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67ED2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9BC1E0C" w14:textId="304315CD" w:rsidR="00704BDF" w:rsidRPr="00DE0019" w:rsidRDefault="00205F67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205F67">
        <w:rPr>
          <w:rFonts w:asciiTheme="minorHAnsi" w:eastAsia="MS PGothic" w:hAnsiTheme="minorHAnsi"/>
          <w:b/>
          <w:bCs/>
          <w:sz w:val="28"/>
          <w:szCs w:val="28"/>
          <w:lang w:val="en-US"/>
        </w:rPr>
        <w:t>Molecular</w:t>
      </w:r>
      <w:r w:rsidR="008C2085" w:rsidRPr="00205F6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-Thermodynamic </w:t>
      </w:r>
      <w:r w:rsidRPr="00205F6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Correlation </w:t>
      </w:r>
      <w:r w:rsidR="008C2085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8C2085" w:rsidRPr="00205F6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 </w:t>
      </w:r>
      <w:r w:rsidRPr="00205F6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Solubility Data </w:t>
      </w:r>
      <w:r w:rsidR="008C2085">
        <w:rPr>
          <w:rFonts w:asciiTheme="minorHAnsi" w:eastAsia="MS PGothic" w:hAnsiTheme="minorHAnsi"/>
          <w:b/>
          <w:bCs/>
          <w:sz w:val="28"/>
          <w:szCs w:val="28"/>
          <w:lang w:val="en-US"/>
        </w:rPr>
        <w:t>f</w:t>
      </w:r>
      <w:r w:rsidR="008C2085" w:rsidRPr="00205F6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or 20 </w:t>
      </w:r>
      <w:r w:rsidRPr="00205F6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Amino Acids </w:t>
      </w:r>
      <w:r w:rsidR="008C2085">
        <w:rPr>
          <w:rFonts w:asciiTheme="minorHAnsi" w:eastAsia="MS PGothic" w:hAnsiTheme="minorHAnsi"/>
          <w:b/>
          <w:bCs/>
          <w:sz w:val="28"/>
          <w:szCs w:val="28"/>
          <w:lang w:val="en-US"/>
        </w:rPr>
        <w:t>i</w:t>
      </w:r>
      <w:r w:rsidR="008C2085" w:rsidRPr="00205F6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 </w:t>
      </w:r>
      <w:r w:rsidRPr="00205F67">
        <w:rPr>
          <w:rFonts w:asciiTheme="minorHAnsi" w:eastAsia="MS PGothic" w:hAnsiTheme="minorHAnsi"/>
          <w:b/>
          <w:bCs/>
          <w:sz w:val="28"/>
          <w:szCs w:val="28"/>
          <w:lang w:val="en-US"/>
        </w:rPr>
        <w:t>Water</w:t>
      </w:r>
      <w:r w:rsidR="008C2085" w:rsidRPr="00205F6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, </w:t>
      </w:r>
      <w:r w:rsidR="008C2085">
        <w:rPr>
          <w:rFonts w:asciiTheme="minorHAnsi" w:eastAsia="MS PGothic" w:hAnsiTheme="minorHAnsi"/>
          <w:b/>
          <w:bCs/>
          <w:sz w:val="28"/>
          <w:szCs w:val="28"/>
          <w:lang w:val="en-US"/>
        </w:rPr>
        <w:t>i</w:t>
      </w:r>
      <w:r w:rsidR="008C2085" w:rsidRPr="00205F6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 </w:t>
      </w:r>
      <w:r w:rsidRPr="00205F6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Ethanol </w:t>
      </w:r>
      <w:r w:rsidR="008C2085">
        <w:rPr>
          <w:rFonts w:asciiTheme="minorHAnsi" w:eastAsia="MS PGothic" w:hAnsiTheme="minorHAnsi"/>
          <w:b/>
          <w:bCs/>
          <w:sz w:val="28"/>
          <w:szCs w:val="28"/>
          <w:lang w:val="en-US"/>
        </w:rPr>
        <w:t>a</w:t>
      </w:r>
      <w:r w:rsidR="008C2085" w:rsidRPr="00205F6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nd </w:t>
      </w:r>
      <w:r w:rsidR="008C2085">
        <w:rPr>
          <w:rFonts w:asciiTheme="minorHAnsi" w:eastAsia="MS PGothic" w:hAnsiTheme="minorHAnsi"/>
          <w:b/>
          <w:bCs/>
          <w:sz w:val="28"/>
          <w:szCs w:val="28"/>
          <w:lang w:val="en-US"/>
        </w:rPr>
        <w:t>i</w:t>
      </w:r>
      <w:r w:rsidR="008C2085" w:rsidRPr="00205F6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 </w:t>
      </w:r>
      <w:r w:rsidRPr="00205F67">
        <w:rPr>
          <w:rFonts w:asciiTheme="minorHAnsi" w:eastAsia="MS PGothic" w:hAnsiTheme="minorHAnsi"/>
          <w:b/>
          <w:bCs/>
          <w:sz w:val="28"/>
          <w:szCs w:val="28"/>
          <w:lang w:val="en-US"/>
        </w:rPr>
        <w:t>Water</w:t>
      </w:r>
      <w:r w:rsidR="008C2085" w:rsidRPr="00205F67">
        <w:rPr>
          <w:rFonts w:asciiTheme="minorHAnsi" w:eastAsia="MS PGothic" w:hAnsiTheme="minorHAnsi"/>
          <w:b/>
          <w:bCs/>
          <w:sz w:val="28"/>
          <w:szCs w:val="28"/>
          <w:lang w:val="en-US"/>
        </w:rPr>
        <w:t>-</w:t>
      </w:r>
      <w:r w:rsidRPr="00205F67">
        <w:rPr>
          <w:rFonts w:asciiTheme="minorHAnsi" w:eastAsia="MS PGothic" w:hAnsiTheme="minorHAnsi"/>
          <w:b/>
          <w:bCs/>
          <w:sz w:val="28"/>
          <w:szCs w:val="28"/>
          <w:lang w:val="en-US"/>
        </w:rPr>
        <w:t>Ethanol Mixtures</w:t>
      </w:r>
      <w:r w:rsidR="008C2085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50D99171" w14:textId="77777777" w:rsidR="00DE0019" w:rsidRPr="00DE0019" w:rsidRDefault="00205F67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Nathan B</w:t>
      </w:r>
      <w:r w:rsidR="00CB1CD5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o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wden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Marieke E. Bruins</w:t>
      </w:r>
      <w:r w:rsidRPr="00A15B93">
        <w:rPr>
          <w:rFonts w:eastAsia="SimSun"/>
          <w:color w:val="000000"/>
          <w:vertAlign w:val="superscript"/>
          <w:lang w:val="en-US" w:eastAsia="zh-CN"/>
        </w:rPr>
        <w:t>2</w:t>
      </w:r>
      <w: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Johan Sanders</w:t>
      </w:r>
      <w:r>
        <w:rPr>
          <w:rFonts w:eastAsia="SimSun"/>
          <w:color w:val="000000"/>
          <w:vertAlign w:val="superscript"/>
          <w:lang w:val="en-US" w:eastAsia="zh-CN"/>
        </w:rPr>
        <w:t>3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Pr="00205F6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John M. Prausnitz</w:t>
      </w:r>
      <w:r>
        <w:rPr>
          <w:rFonts w:eastAsia="SimSun"/>
          <w:color w:val="000000"/>
          <w:vertAlign w:val="superscript"/>
          <w:lang w:val="en-US" w:eastAsia="zh-CN"/>
        </w:rPr>
        <w:t>4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14:paraId="45AD8925" w14:textId="77777777" w:rsidR="00704BDF" w:rsidRPr="00D606B9" w:rsidRDefault="00704BDF" w:rsidP="00704BDF">
      <w:pPr>
        <w:snapToGrid w:val="0"/>
        <w:spacing w:after="120"/>
        <w:jc w:val="center"/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</w:pPr>
      <w:r w:rsidRPr="00D606B9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1 </w:t>
      </w:r>
      <w:r w:rsidR="00F50748" w:rsidRPr="00D606B9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Institute for Sustainable Process Technology, Groen van Prinstererlaan 37</w:t>
      </w:r>
      <w:r w:rsidR="00D606B9" w:rsidRPr="00D606B9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 3818JN Amersfoort, the Netherlands</w:t>
      </w:r>
      <w:r w:rsidRPr="00D606B9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; 2 </w:t>
      </w:r>
      <w:r w:rsidR="00D606B9" w:rsidRPr="00D606B9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Wageningen Food &amp; Biobased Research, Bornse Weilanden 9, 6107WG Wageningen University and Research, The Netherlands; 3 Biobased Chemistry and Technology Group, AFSG, Bornse Weilanden 9, 6708WG Wageningen, Wageningen University and Research, The Netherlands; 4 Department of Chemical &amp; Biomolecular Engineering, Gilman Hall, University of California, Berkeley, CA 94720-1462, USA</w:t>
      </w:r>
    </w:p>
    <w:p w14:paraId="2D733C44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D606B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Nathan.bowden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D606B9">
        <w:rPr>
          <w:rFonts w:asciiTheme="minorHAnsi" w:eastAsia="MS PGothic" w:hAnsiTheme="minorHAnsi"/>
          <w:bCs/>
          <w:i/>
          <w:iCs/>
          <w:sz w:val="20"/>
          <w:lang w:val="en-US"/>
        </w:rPr>
        <w:t>ispt.eu</w:t>
      </w:r>
    </w:p>
    <w:p w14:paraId="38DBBECA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61332D2A" w14:textId="77777777" w:rsidR="00502377" w:rsidRDefault="00CB1CD5" w:rsidP="00C43B5B">
      <w:pPr>
        <w:pStyle w:val="AbstractBody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502377" w:rsidRPr="00502377">
        <w:rPr>
          <w:rFonts w:asciiTheme="minorHAnsi" w:hAnsiTheme="minorHAnsi"/>
        </w:rPr>
        <w:t>solubilities of some amino acids show maxima in</w:t>
      </w:r>
      <w:r w:rsidR="00EE6562">
        <w:rPr>
          <w:rFonts w:asciiTheme="minorHAnsi" w:hAnsiTheme="minorHAnsi"/>
        </w:rPr>
        <w:t xml:space="preserve"> a water-ethanol mixed solution</w:t>
      </w:r>
    </w:p>
    <w:p w14:paraId="03587FAD" w14:textId="77777777" w:rsidR="00502377" w:rsidRDefault="00502377" w:rsidP="00C43B5B">
      <w:pPr>
        <w:pStyle w:val="AbstractBody"/>
        <w:numPr>
          <w:ilvl w:val="0"/>
          <w:numId w:val="18"/>
        </w:numPr>
        <w:rPr>
          <w:rFonts w:asciiTheme="minorHAnsi" w:hAnsiTheme="minorHAnsi"/>
        </w:rPr>
      </w:pPr>
      <w:r w:rsidRPr="00502377">
        <w:rPr>
          <w:rFonts w:asciiTheme="minorHAnsi" w:hAnsiTheme="minorHAnsi"/>
        </w:rPr>
        <w:t>These calculated maxima, predicted by the model, are in agreement with experiments</w:t>
      </w:r>
    </w:p>
    <w:p w14:paraId="7526B409" w14:textId="77777777" w:rsidR="00502377" w:rsidRPr="00502377" w:rsidRDefault="00CB1CD5" w:rsidP="00C43B5B">
      <w:pPr>
        <w:pStyle w:val="AbstractBody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EE6562">
        <w:rPr>
          <w:rFonts w:asciiTheme="minorHAnsi" w:hAnsiTheme="minorHAnsi"/>
        </w:rPr>
        <w:t xml:space="preserve">olubility of </w:t>
      </w:r>
      <w:r w:rsidR="00502377" w:rsidRPr="00502377">
        <w:rPr>
          <w:rFonts w:asciiTheme="minorHAnsi" w:hAnsiTheme="minorHAnsi"/>
        </w:rPr>
        <w:t>amino acid</w:t>
      </w:r>
      <w:r w:rsidR="00EE6562">
        <w:rPr>
          <w:rFonts w:asciiTheme="minorHAnsi" w:hAnsiTheme="minorHAnsi"/>
        </w:rPr>
        <w:t>s</w:t>
      </w:r>
      <w:r w:rsidR="00502377" w:rsidRPr="00502377">
        <w:rPr>
          <w:rFonts w:asciiTheme="minorHAnsi" w:hAnsiTheme="minorHAnsi"/>
        </w:rPr>
        <w:t xml:space="preserve"> depends</w:t>
      </w:r>
      <w:r w:rsidR="00EE656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its </w:t>
      </w:r>
      <w:r w:rsidR="00EE6562">
        <w:rPr>
          <w:rFonts w:asciiTheme="minorHAnsi" w:hAnsiTheme="minorHAnsi"/>
        </w:rPr>
        <w:t xml:space="preserve">on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  <w:w w:val="108"/>
            <w:sz w:val="18"/>
            <w:szCs w:val="18"/>
          </w:rPr>
          <m:t>f</m:t>
        </m:r>
      </m:oMath>
      <w:r w:rsidR="00502377" w:rsidRPr="00047050">
        <w:rPr>
          <w:rFonts w:ascii="Brush Script MT" w:hAnsi="Brush Script MT"/>
          <w:bCs/>
          <w:color w:val="000000"/>
          <w:sz w:val="28"/>
          <w:szCs w:val="28"/>
          <w:vertAlign w:val="superscript"/>
        </w:rPr>
        <w:t>s</w:t>
      </w:r>
      <w:r w:rsidR="00502377" w:rsidRPr="00425028">
        <w:rPr>
          <w:rFonts w:ascii="Calibri" w:hAnsi="Calibri"/>
          <w:bCs/>
          <w:color w:val="000000"/>
        </w:rPr>
        <w:t>/</w:t>
      </w:r>
      <m:oMath>
        <m:sSup>
          <m:sSupPr>
            <m:ctrlPr>
              <w:rPr>
                <w:rFonts w:ascii="Cambria Math" w:hAnsi="Cambria Math"/>
                <w:w w:val="108"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w w:val="108"/>
                <w:sz w:val="18"/>
                <w:szCs w:val="18"/>
              </w:rPr>
              <m:t>f</m:t>
            </m:r>
          </m:e>
          <m:sup>
            <m:r>
              <w:rPr>
                <w:rFonts w:ascii="Cambria Math" w:hAnsi="Cambria Math"/>
                <w:w w:val="108"/>
                <w:sz w:val="18"/>
                <w:szCs w:val="18"/>
              </w:rPr>
              <m:t>L</m:t>
            </m:r>
          </m:sup>
        </m:sSup>
        <m:sSub>
          <m:sSubPr>
            <m:ctrlPr>
              <w:rPr>
                <w:rFonts w:ascii="Cambria Math" w:hAnsi="Cambria Math"/>
                <w:i/>
                <w:w w:val="108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w w:val="108"/>
                <w:sz w:val="18"/>
                <w:szCs w:val="18"/>
              </w:rPr>
              <m:t>)</m:t>
            </m:r>
          </m:e>
          <m:sub>
            <m:r>
              <w:rPr>
                <w:rFonts w:ascii="Cambria Math" w:hAnsi="Cambria Math"/>
                <w:w w:val="108"/>
                <w:sz w:val="18"/>
                <w:szCs w:val="18"/>
              </w:rPr>
              <m:t>pure</m:t>
            </m:r>
          </m:sub>
        </m:sSub>
      </m:oMath>
      <w:r w:rsidR="00502377">
        <w:rPr>
          <w:iCs/>
          <w:lang w:val="en-GB"/>
        </w:rPr>
        <w:t xml:space="preserve"> </w:t>
      </w:r>
      <w:r w:rsidR="00502377" w:rsidRPr="00502377">
        <w:rPr>
          <w:rFonts w:asciiTheme="minorHAnsi" w:hAnsiTheme="minorHAnsi"/>
        </w:rPr>
        <w:t>ratio and its</w:t>
      </w:r>
      <w:r>
        <w:rPr>
          <w:rFonts w:asciiTheme="minorHAnsi" w:hAnsiTheme="minorHAnsi"/>
        </w:rPr>
        <w:t xml:space="preserve"> solvent</w:t>
      </w:r>
      <w:r w:rsidR="00502377" w:rsidRPr="00502377">
        <w:rPr>
          <w:rFonts w:asciiTheme="minorHAnsi" w:hAnsiTheme="minorHAnsi"/>
        </w:rPr>
        <w:t xml:space="preserve"> interaction</w:t>
      </w:r>
    </w:p>
    <w:p w14:paraId="06CB40FD" w14:textId="1A5C7154" w:rsidR="008C2085" w:rsidRDefault="00502377" w:rsidP="008C2085">
      <w:pPr>
        <w:pStyle w:val="AbstractBody"/>
        <w:numPr>
          <w:ilvl w:val="0"/>
          <w:numId w:val="18"/>
        </w:numPr>
        <w:rPr>
          <w:rFonts w:asciiTheme="minorHAnsi" w:hAnsiTheme="minorHAnsi"/>
        </w:rPr>
      </w:pPr>
      <w:r w:rsidRPr="00502377">
        <w:rPr>
          <w:rFonts w:asciiTheme="minorHAnsi" w:hAnsiTheme="minorHAnsi"/>
        </w:rPr>
        <w:t>Amino acids with the lowest interaction parameters are n</w:t>
      </w:r>
      <w:r w:rsidR="00EE6562">
        <w:rPr>
          <w:rFonts w:asciiTheme="minorHAnsi" w:hAnsiTheme="minorHAnsi"/>
        </w:rPr>
        <w:t>ot necessarily the most soluble</w:t>
      </w:r>
    </w:p>
    <w:p w14:paraId="67746560" w14:textId="77777777" w:rsidR="008C2085" w:rsidRPr="008C2085" w:rsidRDefault="008C2085" w:rsidP="008C2085">
      <w:pPr>
        <w:pStyle w:val="AbstractBody"/>
        <w:numPr>
          <w:ilvl w:val="0"/>
          <w:numId w:val="18"/>
        </w:numPr>
        <w:rPr>
          <w:rFonts w:asciiTheme="minorHAnsi" w:hAnsiTheme="minorHAnsi"/>
        </w:rPr>
      </w:pPr>
    </w:p>
    <w:p w14:paraId="6948CE7F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2926BA9A" w14:textId="77777777" w:rsidR="00CE26C6" w:rsidRPr="008D0BEB" w:rsidRDefault="00CE26C6" w:rsidP="00CE26C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E26C6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Models have been proposed for amino acid solubility in aqueous solution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43B5B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Pr="00CE26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for the solubility of amino acids in salt solutions</w:t>
      </w:r>
      <w:r w:rsidR="00C43B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Pr="00CE26C6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 few empirical models with regressed parameters have been proposed to describe the solubility of α-amino acids in ethanol/water systems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43B5B">
        <w:rPr>
          <w:rFonts w:asciiTheme="minorHAnsi" w:eastAsia="MS PGothic" w:hAnsiTheme="minorHAnsi"/>
          <w:color w:val="000000"/>
          <w:sz w:val="22"/>
          <w:szCs w:val="22"/>
          <w:lang w:val="en-US"/>
        </w:rPr>
        <w:t>[3,4]</w:t>
      </w:r>
      <w:r w:rsidRPr="00CE26C6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 this work, we apply the van Laar equation for the molar excess Gibbs energy to all 20 proteinogenic amino acids in ethanol, in water and in ethanol-water mixtures.</w:t>
      </w:r>
    </w:p>
    <w:p w14:paraId="4DD15EF7" w14:textId="77777777" w:rsidR="00704BDF" w:rsidRPr="008D0BEB" w:rsidRDefault="00704BDF" w:rsidP="002D25CF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CB3ECC9" w14:textId="77777777" w:rsidR="008C2085" w:rsidRDefault="007875BE" w:rsidP="008C20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4EDE">
        <w:rPr>
          <w:rFonts w:asciiTheme="minorHAnsi" w:hAnsiTheme="minorHAnsi" w:cstheme="minorHAnsi"/>
          <w:sz w:val="22"/>
          <w:szCs w:val="22"/>
        </w:rPr>
        <w:t xml:space="preserve">For each amino acid, </w:t>
      </w:r>
      <m:oMath>
        <m:sSub>
          <m:sSubPr>
            <m:ctrlPr>
              <w:rPr>
                <w:rFonts w:ascii="Cambria Math" w:hAnsi="Cambria Math" w:cstheme="minorHAnsi"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m</m:t>
            </m:r>
          </m:sub>
        </m:sSub>
      </m:oMath>
      <w:r w:rsidRPr="000A4EDE">
        <w:rPr>
          <w:rFonts w:asciiTheme="minorHAnsi" w:hAnsiTheme="minorHAnsi" w:cstheme="minorHAnsi"/>
          <w:sz w:val="22"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∆h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w w:val="108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w w:val="108"/>
                    <w:sz w:val="22"/>
                    <w:szCs w:val="22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w w:val="108"/>
                    <w:sz w:val="22"/>
                    <w:szCs w:val="22"/>
                  </w:rPr>
                  <m:t>m</m:t>
                </m:r>
              </m:sub>
            </m:sSub>
          </m:sub>
        </m:sSub>
      </m:oMath>
      <w:r w:rsidRPr="000A4EDE">
        <w:rPr>
          <w:rFonts w:asciiTheme="minorHAnsi" w:hAnsiTheme="minorHAnsi" w:cstheme="minorHAnsi"/>
          <w:sz w:val="22"/>
          <w:szCs w:val="22"/>
        </w:rPr>
        <w:t xml:space="preserve"> are estimated using the met</w:t>
      </w:r>
      <w:r w:rsidR="00C43B5B">
        <w:rPr>
          <w:rFonts w:asciiTheme="minorHAnsi" w:hAnsiTheme="minorHAnsi" w:cstheme="minorHAnsi"/>
          <w:sz w:val="22"/>
          <w:szCs w:val="22"/>
        </w:rPr>
        <w:t>hod proposed by Marrero and Gani [4].</w:t>
      </w:r>
      <w:r w:rsidRPr="000A4EDE">
        <w:rPr>
          <w:rFonts w:asciiTheme="minorHAnsi" w:hAnsiTheme="minorHAnsi" w:cstheme="minorHAnsi"/>
          <w:sz w:val="22"/>
          <w:szCs w:val="22"/>
        </w:rPr>
        <w:t xml:space="preserve"> </w:t>
      </w:r>
      <w:r w:rsidR="003753F9" w:rsidRPr="000A4EDE">
        <w:rPr>
          <w:rFonts w:asciiTheme="minorHAnsi" w:hAnsiTheme="minorHAnsi" w:cstheme="minorHAnsi"/>
          <w:sz w:val="22"/>
          <w:szCs w:val="22"/>
        </w:rPr>
        <w:t>To predict the solubility of an amino acid in mixtures of water and ethanol, we must determine the interaction parameters,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ij</m:t>
            </m:r>
          </m:sub>
        </m:sSub>
      </m:oMath>
      <w:r w:rsidR="003753F9" w:rsidRPr="000A4EDE">
        <w:rPr>
          <w:rFonts w:asciiTheme="minorHAnsi" w:hAnsiTheme="minorHAnsi" w:cstheme="minorHAnsi"/>
          <w:sz w:val="22"/>
          <w:szCs w:val="22"/>
        </w:rPr>
        <w:t xml:space="preserve">, of an amino acid </w:t>
      </w:r>
      <m:oMath>
        <m:r>
          <w:rPr>
            <w:rFonts w:ascii="Cambria Math" w:hAnsi="Cambria Math" w:cstheme="minorHAnsi"/>
            <w:sz w:val="22"/>
            <w:szCs w:val="22"/>
          </w:rPr>
          <m:t>(i)</m:t>
        </m:r>
      </m:oMath>
      <w:r w:rsidR="003753F9" w:rsidRPr="000A4EDE">
        <w:rPr>
          <w:rFonts w:asciiTheme="minorHAnsi" w:hAnsiTheme="minorHAnsi" w:cstheme="minorHAnsi"/>
          <w:sz w:val="22"/>
          <w:szCs w:val="22"/>
        </w:rPr>
        <w:t xml:space="preserve"> in water (</w:t>
      </w:r>
      <m:oMath>
        <m:r>
          <w:rPr>
            <w:rFonts w:ascii="Cambria Math" w:hAnsi="Cambria Math" w:cstheme="minorHAnsi"/>
            <w:sz w:val="22"/>
            <w:szCs w:val="22"/>
          </w:rPr>
          <m:t>j</m:t>
        </m:r>
      </m:oMath>
      <w:r w:rsidR="003753F9" w:rsidRPr="000A4EDE">
        <w:rPr>
          <w:rFonts w:asciiTheme="minorHAnsi" w:hAnsiTheme="minorHAnsi" w:cstheme="minorHAnsi"/>
          <w:sz w:val="22"/>
          <w:szCs w:val="22"/>
        </w:rPr>
        <w:t>) or ethanol (</w:t>
      </w:r>
      <m:oMath>
        <m:r>
          <w:rPr>
            <w:rFonts w:ascii="Cambria Math" w:hAnsi="Cambria Math" w:cstheme="minorHAnsi"/>
            <w:sz w:val="22"/>
            <w:szCs w:val="22"/>
          </w:rPr>
          <m:t>j</m:t>
        </m:r>
      </m:oMath>
      <w:r w:rsidR="003753F9" w:rsidRPr="000A4EDE">
        <w:rPr>
          <w:rFonts w:asciiTheme="minorHAnsi" w:hAnsiTheme="minorHAnsi" w:cstheme="minorHAnsi"/>
          <w:sz w:val="22"/>
          <w:szCs w:val="22"/>
        </w:rPr>
        <w:t xml:space="preserve">) and of water </w:t>
      </w:r>
      <m:oMath>
        <m:r>
          <w:rPr>
            <w:rFonts w:ascii="Cambria Math" w:hAnsi="Cambria Math" w:cstheme="minorHAnsi"/>
            <w:sz w:val="22"/>
            <w:szCs w:val="22"/>
          </w:rPr>
          <m:t>(i)</m:t>
        </m:r>
      </m:oMath>
      <w:r w:rsidR="003753F9" w:rsidRPr="000A4EDE">
        <w:rPr>
          <w:rFonts w:asciiTheme="minorHAnsi" w:hAnsiTheme="minorHAnsi" w:cstheme="minorHAnsi"/>
          <w:sz w:val="22"/>
          <w:szCs w:val="22"/>
        </w:rPr>
        <w:t xml:space="preserve"> and ethanol (</w:t>
      </w:r>
      <m:oMath>
        <m:r>
          <w:rPr>
            <w:rFonts w:ascii="Cambria Math" w:hAnsi="Cambria Math" w:cstheme="minorHAnsi"/>
            <w:sz w:val="22"/>
            <w:szCs w:val="22"/>
          </w:rPr>
          <m:t>j</m:t>
        </m:r>
      </m:oMath>
      <w:r w:rsidR="003753F9" w:rsidRPr="000A4EDE">
        <w:rPr>
          <w:rFonts w:asciiTheme="minorHAnsi" w:hAnsiTheme="minorHAnsi" w:cstheme="minorHAnsi"/>
          <w:sz w:val="22"/>
          <w:szCs w:val="22"/>
        </w:rPr>
        <w:t xml:space="preserve">) in a solute free solution, where </w:t>
      </w:r>
      <m:oMath>
        <m:r>
          <w:rPr>
            <w:rFonts w:ascii="Cambria Math" w:hAnsi="Cambria Math" w:cstheme="minorHAnsi"/>
            <w:sz w:val="22"/>
            <w:szCs w:val="22"/>
          </w:rPr>
          <m:t>i</m:t>
        </m:r>
      </m:oMath>
      <w:r w:rsidR="003753F9" w:rsidRPr="000A4EDE">
        <w:rPr>
          <w:rFonts w:asciiTheme="minorHAnsi" w:hAnsiTheme="minorHAnsi" w:cstheme="minorHAnsi"/>
          <w:sz w:val="22"/>
          <w:szCs w:val="22"/>
        </w:rPr>
        <w:t xml:space="preserve"> and </w:t>
      </w:r>
      <m:oMath>
        <m:r>
          <w:rPr>
            <w:rFonts w:ascii="Cambria Math" w:hAnsi="Cambria Math" w:cstheme="minorHAnsi"/>
            <w:sz w:val="22"/>
            <w:szCs w:val="22"/>
          </w:rPr>
          <m:t>j</m:t>
        </m:r>
      </m:oMath>
      <w:r w:rsidR="003753F9" w:rsidRPr="000A4EDE">
        <w:rPr>
          <w:rFonts w:asciiTheme="minorHAnsi" w:hAnsiTheme="minorHAnsi" w:cstheme="minorHAnsi"/>
          <w:sz w:val="22"/>
          <w:szCs w:val="22"/>
        </w:rPr>
        <w:t xml:space="preserve"> are all possible binary combinations of solute (1), water (2) and ethanol (3). To obtain the </w:t>
      </w:r>
      <m:oMath>
        <m:sSub>
          <m:sSubPr>
            <m:ctrlPr>
              <w:rPr>
                <w:rFonts w:ascii="Cambria Math" w:hAnsi="Cambria Math" w:cstheme="minorHAnsi"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ij</m:t>
            </m:r>
          </m:sub>
        </m:sSub>
      </m:oMath>
      <w:r w:rsidR="003753F9" w:rsidRPr="000A4EDE">
        <w:rPr>
          <w:rFonts w:asciiTheme="minorHAnsi" w:hAnsiTheme="minorHAnsi" w:cstheme="minorHAnsi"/>
          <w:sz w:val="22"/>
          <w:szCs w:val="22"/>
        </w:rPr>
        <w:t xml:space="preserve"> parameters, we used the van Laar equation obtained from Wohl’s expansion for the molar excess Gibbs energy of a binary solution.</w:t>
      </w:r>
    </w:p>
    <w:p w14:paraId="32271A95" w14:textId="53FF8591" w:rsidR="003753F9" w:rsidRPr="000A4EDE" w:rsidRDefault="003753F9" w:rsidP="008C20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A4EDE">
        <w:rPr>
          <w:rFonts w:asciiTheme="minorHAnsi" w:hAnsiTheme="minorHAnsi" w:cstheme="minorHAnsi"/>
          <w:sz w:val="22"/>
          <w:szCs w:val="22"/>
        </w:rPr>
        <w:t xml:space="preserve">We then obtain the saturated mole fraction of the amino-acid solute, </w:t>
      </w:r>
      <m:oMath>
        <m:sSubSup>
          <m:sSubSupPr>
            <m:ctrlPr>
              <w:rPr>
                <w:rFonts w:ascii="Cambria Math" w:hAnsi="Cambria Math" w:cstheme="minorHAnsi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s</m:t>
            </m:r>
          </m:sup>
        </m:sSubSup>
      </m:oMath>
      <w:r w:rsidRPr="000A4EDE">
        <w:rPr>
          <w:rFonts w:asciiTheme="minorHAnsi" w:hAnsiTheme="minorHAnsi" w:cstheme="minorHAnsi"/>
          <w:sz w:val="22"/>
          <w:szCs w:val="22"/>
        </w:rPr>
        <w:t xml:space="preserve"> by simultaneously solving </w:t>
      </w:r>
      <w:r w:rsidR="00B44CB8">
        <w:rPr>
          <w:rFonts w:asciiTheme="minorHAnsi" w:hAnsiTheme="minorHAnsi" w:cstheme="minorHAnsi"/>
          <w:sz w:val="22"/>
          <w:szCs w:val="22"/>
        </w:rPr>
        <w:t>the model</w:t>
      </w:r>
      <w:r w:rsidRPr="000A4EDE">
        <w:rPr>
          <w:rFonts w:asciiTheme="minorHAnsi" w:hAnsiTheme="minorHAnsi" w:cstheme="minorHAnsi"/>
          <w:sz w:val="22"/>
          <w:szCs w:val="22"/>
        </w:rPr>
        <w:t xml:space="preserve"> with the mass balance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3</m:t>
            </m:r>
          </m:sub>
        </m:sSub>
      </m:oMath>
      <w:r w:rsidRPr="000A4EDE">
        <w:rPr>
          <w:rFonts w:asciiTheme="minorHAnsi" w:hAnsiTheme="minorHAnsi" w:cstheme="minorHAnsi"/>
          <w:sz w:val="22"/>
          <w:szCs w:val="22"/>
        </w:rPr>
        <w:t xml:space="preserve">= 1.00. The ratio </w:t>
      </w:r>
      <m:oMath>
        <m:r>
          <w:rPr>
            <w:rFonts w:ascii="Cambria Math" w:hAnsi="Cambria Math" w:cstheme="minorHAnsi"/>
            <w:sz w:val="22"/>
            <w:szCs w:val="22"/>
          </w:rPr>
          <m:t>(</m:t>
        </m:r>
        <m:r>
          <w:rPr>
            <w:rFonts w:ascii="Cambria Math" w:hAnsi="Cambria Math" w:cstheme="minorHAnsi"/>
            <w:w w:val="108"/>
            <w:sz w:val="22"/>
            <w:szCs w:val="22"/>
          </w:rPr>
          <m:t>f</m:t>
        </m:r>
      </m:oMath>
      <w:r w:rsidRPr="000A4EDE">
        <w:rPr>
          <w:rFonts w:asciiTheme="minorHAnsi" w:hAnsiTheme="minorHAnsi" w:cstheme="minorHAnsi"/>
          <w:bCs/>
          <w:color w:val="000000"/>
          <w:sz w:val="22"/>
          <w:szCs w:val="22"/>
          <w:vertAlign w:val="superscript"/>
        </w:rPr>
        <w:t>s</w:t>
      </w:r>
      <w:r w:rsidRPr="000A4EDE">
        <w:rPr>
          <w:rFonts w:asciiTheme="minorHAnsi" w:hAnsiTheme="minorHAnsi" w:cstheme="minorHAnsi"/>
          <w:bCs/>
          <w:color w:val="000000"/>
          <w:sz w:val="22"/>
          <w:szCs w:val="22"/>
        </w:rPr>
        <w:t>/</w:t>
      </w:r>
      <m:oMath>
        <m:sSup>
          <m:sSupPr>
            <m:ctrlPr>
              <w:rPr>
                <w:rFonts w:ascii="Cambria Math" w:hAnsi="Cambria Math" w:cstheme="minorHAnsi"/>
                <w:w w:val="108"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w w:val="108"/>
                <w:sz w:val="22"/>
                <w:szCs w:val="22"/>
              </w:rPr>
              <m:t>f</m:t>
            </m:r>
          </m:e>
          <m:sup>
            <m:r>
              <w:rPr>
                <w:rFonts w:ascii="Cambria Math" w:hAnsi="Cambria Math" w:cstheme="minorHAnsi"/>
                <w:w w:val="108"/>
                <w:sz w:val="22"/>
                <w:szCs w:val="22"/>
              </w:rPr>
              <m:t>L</m:t>
            </m:r>
          </m:sup>
        </m:sSup>
        <m:sSub>
          <m:sSubPr>
            <m:ctrlPr>
              <w:rPr>
                <w:rFonts w:ascii="Cambria Math" w:hAnsi="Cambria Math" w:cstheme="minorHAnsi"/>
                <w:i/>
                <w:w w:val="108"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w w:val="108"/>
                <w:sz w:val="22"/>
                <w:szCs w:val="22"/>
              </w:rPr>
              <m:t>)</m:t>
            </m:r>
          </m:e>
          <m:sub>
            <m:r>
              <w:rPr>
                <w:rFonts w:ascii="Cambria Math" w:hAnsi="Cambria Math" w:cstheme="minorHAnsi"/>
                <w:w w:val="108"/>
                <w:sz w:val="22"/>
                <w:szCs w:val="22"/>
              </w:rPr>
              <m:t>pure</m:t>
            </m:r>
          </m:sub>
        </m:sSub>
      </m:oMath>
      <w:r w:rsidRPr="000A4EDE">
        <w:rPr>
          <w:rFonts w:asciiTheme="minorHAnsi" w:hAnsiTheme="minorHAnsi" w:cstheme="minorHAnsi"/>
          <w:w w:val="108"/>
          <w:sz w:val="22"/>
          <w:szCs w:val="22"/>
        </w:rPr>
        <w:t xml:space="preserve"> </w:t>
      </w:r>
      <w:r w:rsidRPr="000A4EDE">
        <w:rPr>
          <w:rFonts w:asciiTheme="minorHAnsi" w:hAnsiTheme="minorHAnsi" w:cstheme="minorHAnsi"/>
          <w:sz w:val="22"/>
          <w:szCs w:val="22"/>
        </w:rPr>
        <w:t>at 25 °C i</w:t>
      </w:r>
      <w:r w:rsidR="008C0FB5" w:rsidRPr="000A4EDE">
        <w:rPr>
          <w:rFonts w:asciiTheme="minorHAnsi" w:hAnsiTheme="minorHAnsi" w:cstheme="minorHAnsi"/>
          <w:sz w:val="22"/>
          <w:szCs w:val="22"/>
        </w:rPr>
        <w:t>s obtained.</w:t>
      </w:r>
    </w:p>
    <w:p w14:paraId="213389CB" w14:textId="77777777" w:rsidR="003753F9" w:rsidRPr="008C0FB5" w:rsidRDefault="00782AE8" w:rsidP="008C0FB5">
      <w:pPr>
        <w:spacing w:before="100" w:beforeAutospacing="1" w:line="360" w:lineRule="auto"/>
        <w:rPr>
          <w:sz w:val="20"/>
        </w:rPr>
      </w:pP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sz w:val="20"/>
          </w:rPr>
          <m:t>=</m:t>
        </m:r>
        <m:r>
          <w:rPr>
            <w:rFonts w:ascii="Cambria Math" w:hAnsi="Cambria Math"/>
            <w:sz w:val="20"/>
          </w:rPr>
          <m:t>(</m:t>
        </m:r>
        <m:r>
          <w:rPr>
            <w:rFonts w:ascii="Cambria Math" w:hAnsi="Cambria Math"/>
            <w:w w:val="108"/>
            <w:sz w:val="20"/>
          </w:rPr>
          <m:t>f</m:t>
        </m:r>
      </m:oMath>
      <w:r w:rsidR="003753F9" w:rsidRPr="008C0FB5">
        <w:rPr>
          <w:rFonts w:ascii="Brush Script MT" w:hAnsi="Brush Script MT"/>
          <w:bCs/>
          <w:color w:val="000000"/>
          <w:sz w:val="20"/>
          <w:vertAlign w:val="superscript"/>
        </w:rPr>
        <w:t>s</w:t>
      </w:r>
      <w:r w:rsidR="003753F9" w:rsidRPr="008C0FB5">
        <w:rPr>
          <w:rFonts w:ascii="Calibri" w:hAnsi="Calibri"/>
          <w:bCs/>
          <w:color w:val="000000"/>
          <w:sz w:val="20"/>
        </w:rPr>
        <w:t>/</w:t>
      </w:r>
      <m:oMath>
        <m:sSup>
          <m:sSupPr>
            <m:ctrlPr>
              <w:rPr>
                <w:rFonts w:ascii="Cambria Math" w:hAnsi="Cambria Math"/>
                <w:w w:val="108"/>
                <w:sz w:val="20"/>
              </w:rPr>
            </m:ctrlPr>
          </m:sSupPr>
          <m:e>
            <m:r>
              <w:rPr>
                <w:rFonts w:ascii="Cambria Math" w:hAnsi="Cambria Math"/>
                <w:w w:val="108"/>
                <w:sz w:val="20"/>
              </w:rPr>
              <m:t>f</m:t>
            </m:r>
          </m:e>
          <m:sup>
            <m:r>
              <w:rPr>
                <w:rFonts w:ascii="Cambria Math" w:hAnsi="Cambria Math"/>
                <w:w w:val="108"/>
                <w:sz w:val="20"/>
              </w:rPr>
              <m:t>L</m:t>
            </m:r>
          </m:sup>
        </m:sSup>
        <m:sSub>
          <m:sSubPr>
            <m:ctrlPr>
              <w:rPr>
                <w:rFonts w:ascii="Cambria Math" w:hAnsi="Cambria Math"/>
                <w:i/>
                <w:w w:val="108"/>
                <w:sz w:val="20"/>
              </w:rPr>
            </m:ctrlPr>
          </m:sSubPr>
          <m:e>
            <m:r>
              <w:rPr>
                <w:rFonts w:ascii="Cambria Math" w:hAnsi="Cambria Math"/>
                <w:w w:val="108"/>
                <w:sz w:val="20"/>
              </w:rPr>
              <m:t>)</m:t>
            </m:r>
          </m:e>
          <m:sub>
            <m:r>
              <w:rPr>
                <w:rFonts w:ascii="Cambria Math" w:hAnsi="Cambria Math"/>
                <w:w w:val="108"/>
                <w:sz w:val="20"/>
              </w:rPr>
              <m:t>pure</m:t>
            </m:r>
          </m:sub>
        </m:sSub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exp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</w:rPr>
                            </m:ctrlPr>
                          </m:sSub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0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12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0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</w:rPr>
                            </m:ctrlPr>
                          </m:sSub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0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13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0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31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13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3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21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12</m:t>
                                </m:r>
                              </m:sub>
                            </m:sSub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13</m:t>
                                </m:r>
                              </m:sub>
                            </m:sSub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12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13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32</m:t>
                                </m:r>
                              </m:sub>
                            </m:sSub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13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31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2</m:t>
                                    </m:r>
                                  </m:sub>
                                </m:sSub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3</m:t>
                                    </m:r>
                                  </m:sub>
                                </m:sSub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31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13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</w:rPr>
              <m:t>-1</m:t>
            </m:r>
          </m:sup>
        </m:sSup>
      </m:oMath>
      <w:r w:rsidR="003753F9" w:rsidRPr="008C0FB5">
        <w:rPr>
          <w:sz w:val="20"/>
        </w:rPr>
        <w:tab/>
      </w:r>
      <m:oMath>
        <m:r>
          <w:rPr>
            <w:rFonts w:ascii="Cambria Math" w:hAnsi="Cambria Math"/>
            <w:sz w:val="20"/>
          </w:rPr>
          <m:t>.</m:t>
        </m:r>
      </m:oMath>
      <w:r w:rsidR="003753F9" w:rsidRPr="008C0FB5">
        <w:rPr>
          <w:sz w:val="20"/>
        </w:rPr>
        <w:tab/>
      </w:r>
    </w:p>
    <w:p w14:paraId="5139E50C" w14:textId="77777777" w:rsidR="00704BDF" w:rsidRPr="000A4EDE" w:rsidRDefault="003753F9" w:rsidP="000A4EDE">
      <w:pPr>
        <w:spacing w:before="100" w:beforeAutospacing="1" w:line="276" w:lineRule="auto"/>
        <w:rPr>
          <w:rFonts w:asciiTheme="minorHAnsi" w:hAnsiTheme="minorHAnsi" w:cstheme="minorHAnsi"/>
          <w:sz w:val="22"/>
          <w:szCs w:val="22"/>
        </w:rPr>
      </w:pPr>
      <w:r w:rsidRPr="000A4EDE">
        <w:rPr>
          <w:rFonts w:asciiTheme="minorHAnsi" w:hAnsiTheme="minorHAnsi" w:cstheme="minorHAnsi"/>
          <w:sz w:val="22"/>
          <w:szCs w:val="22"/>
        </w:rPr>
        <w:t xml:space="preserve">This calculation is not explicit in </w:t>
      </w:r>
      <m:oMath>
        <m:sSubSup>
          <m:sSubSupPr>
            <m:ctrlPr>
              <w:rPr>
                <w:rFonts w:ascii="Cambria Math" w:hAnsi="Cambria Math" w:cstheme="minorHAnsi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s</m:t>
            </m:r>
          </m:sup>
        </m:sSubSup>
      </m:oMath>
      <w:r w:rsidRPr="000A4EDE">
        <w:rPr>
          <w:rFonts w:asciiTheme="minorHAnsi" w:hAnsiTheme="minorHAnsi" w:cstheme="minorHAnsi"/>
          <w:sz w:val="22"/>
          <w:szCs w:val="22"/>
        </w:rPr>
        <w:t>. Solution of Equation</w:t>
      </w:r>
      <w:r w:rsidR="000A4EDE" w:rsidRPr="000A4EDE">
        <w:rPr>
          <w:rFonts w:asciiTheme="minorHAnsi" w:hAnsiTheme="minorHAnsi" w:cstheme="minorHAnsi"/>
          <w:sz w:val="22"/>
          <w:szCs w:val="22"/>
        </w:rPr>
        <w:t xml:space="preserve"> </w:t>
      </w:r>
      <w:r w:rsidRPr="000A4EDE">
        <w:rPr>
          <w:rFonts w:asciiTheme="minorHAnsi" w:hAnsiTheme="minorHAnsi" w:cstheme="minorHAnsi"/>
          <w:sz w:val="22"/>
          <w:szCs w:val="22"/>
        </w:rPr>
        <w:t>is achieved by a simple iterative computer program.</w:t>
      </w:r>
    </w:p>
    <w:p w14:paraId="3514CEF5" w14:textId="77777777" w:rsidR="00704BDF" w:rsidRPr="008D0BEB" w:rsidRDefault="00704BDF" w:rsidP="00C43B5B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7A545F6C" w14:textId="77777777" w:rsidR="000A4EDE" w:rsidRPr="000A4EDE" w:rsidRDefault="000A4EDE" w:rsidP="00C43B5B">
      <w:pPr>
        <w:spacing w:line="276" w:lineRule="auto"/>
        <w:rPr>
          <w:rFonts w:asciiTheme="minorHAnsi" w:eastAsia="MS PGothic" w:hAnsiTheme="minorHAnsi" w:cstheme="minorHAnsi"/>
          <w:color w:val="000000"/>
          <w:sz w:val="22"/>
          <w:szCs w:val="22"/>
        </w:rPr>
      </w:pPr>
      <w:r w:rsidRPr="000A4EDE">
        <w:rPr>
          <w:rFonts w:asciiTheme="minorHAnsi" w:hAnsiTheme="minorHAnsi" w:cstheme="minorHAnsi"/>
          <w:sz w:val="22"/>
          <w:szCs w:val="22"/>
        </w:rPr>
        <w:t>The N</w:t>
      </w:r>
      <w:r>
        <w:rPr>
          <w:rFonts w:asciiTheme="minorHAnsi" w:hAnsiTheme="minorHAnsi" w:cstheme="minorHAnsi"/>
          <w:sz w:val="22"/>
          <w:szCs w:val="22"/>
        </w:rPr>
        <w:t xml:space="preserve">ormalized </w:t>
      </w:r>
      <w:r w:rsidRPr="000A4EDE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oot </w:t>
      </w:r>
      <w:r w:rsidRPr="000A4EDE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ean </w:t>
      </w:r>
      <w:r w:rsidRPr="000A4EDE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quare </w:t>
      </w:r>
      <w:r w:rsidRPr="000A4EDE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ariance</w:t>
      </w:r>
      <w:r w:rsidRPr="000A4EDE">
        <w:rPr>
          <w:rFonts w:asciiTheme="minorHAnsi" w:hAnsiTheme="minorHAnsi" w:cstheme="minorHAnsi"/>
          <w:sz w:val="22"/>
          <w:szCs w:val="22"/>
        </w:rPr>
        <w:t xml:space="preserve"> for 16 of the 20 proteinogenic amino acids were lower than 0.100, indicating very good agreement with the solubility data. This group of amino acids includes L-tyrosine, whose maximum solubility occurs when the solute-free mixed solvent contains 91.1 mole% water and 8.90 mole% ethanol, higher than that at 100 </w:t>
      </w:r>
      <w:proofErr w:type="gramStart"/>
      <w:r w:rsidRPr="000A4EDE">
        <w:rPr>
          <w:rFonts w:asciiTheme="minorHAnsi" w:hAnsiTheme="minorHAnsi" w:cstheme="minorHAnsi"/>
          <w:sz w:val="22"/>
          <w:szCs w:val="22"/>
        </w:rPr>
        <w:t>mole</w:t>
      </w:r>
      <w:proofErr w:type="gramEnd"/>
      <w:r w:rsidRPr="000A4EDE">
        <w:rPr>
          <w:rFonts w:asciiTheme="minorHAnsi" w:hAnsiTheme="minorHAnsi" w:cstheme="minorHAnsi"/>
          <w:sz w:val="22"/>
          <w:szCs w:val="22"/>
        </w:rPr>
        <w:t>% water. For L-isoleucine, L-tryptophan, L-phenylalanine and L-proline, NRMVs are lower than 0.220, indicating good agreement with the solubility data.</w:t>
      </w:r>
    </w:p>
    <w:p w14:paraId="11DDAAF2" w14:textId="77777777" w:rsidR="00704BDF" w:rsidRDefault="00704BDF" w:rsidP="00C43B5B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</w:p>
    <w:p w14:paraId="7FF3D15D" w14:textId="77777777" w:rsidR="000A4EDE" w:rsidRDefault="000A4EDE" w:rsidP="000A4EDE">
      <w:pPr>
        <w:pStyle w:val="Didascalia"/>
        <w:jc w:val="center"/>
        <w:rPr>
          <w:rFonts w:asciiTheme="minorHAnsi" w:hAnsiTheme="minorHAnsi" w:cstheme="minorHAnsi"/>
          <w:bCs w:val="0"/>
          <w:color w:val="auto"/>
          <w:lang w:val="en-US"/>
        </w:rPr>
      </w:pPr>
      <w:r>
        <w:rPr>
          <w:noProof/>
          <w:lang w:val="it-IT" w:eastAsia="it-IT"/>
        </w:rPr>
        <w:drawing>
          <wp:inline distT="0" distB="0" distL="0" distR="0" wp14:anchorId="61FAACBC" wp14:editId="68C18D4C">
            <wp:extent cx="2134310" cy="1569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2620" cy="158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3D99E" w14:textId="77777777" w:rsidR="000A4EDE" w:rsidRPr="000A4EDE" w:rsidRDefault="000A4EDE" w:rsidP="000A4EDE">
      <w:pPr>
        <w:pStyle w:val="Didascalia"/>
        <w:rPr>
          <w:b w:val="0"/>
          <w:noProof/>
        </w:rPr>
      </w:pPr>
      <w:r w:rsidRPr="000A4EDE">
        <w:rPr>
          <w:rFonts w:asciiTheme="minorHAnsi" w:hAnsiTheme="minorHAnsi" w:cstheme="minorHAnsi"/>
          <w:bCs w:val="0"/>
          <w:color w:val="auto"/>
          <w:lang w:val="en-US"/>
        </w:rPr>
        <w:t xml:space="preserve">Figure </w:t>
      </w:r>
      <w:r w:rsidRPr="000A4EDE">
        <w:rPr>
          <w:rFonts w:asciiTheme="minorHAnsi" w:hAnsiTheme="minorHAnsi" w:cstheme="minorHAnsi"/>
          <w:bCs w:val="0"/>
          <w:color w:val="auto"/>
          <w:lang w:val="en-US"/>
        </w:rPr>
        <w:fldChar w:fldCharType="begin"/>
      </w:r>
      <w:r w:rsidRPr="000A4EDE">
        <w:rPr>
          <w:rFonts w:asciiTheme="minorHAnsi" w:hAnsiTheme="minorHAnsi" w:cstheme="minorHAnsi"/>
          <w:bCs w:val="0"/>
          <w:color w:val="auto"/>
          <w:lang w:val="en-US"/>
        </w:rPr>
        <w:instrText xml:space="preserve"> SEQ Figure \* ARABIC </w:instrText>
      </w:r>
      <w:r w:rsidRPr="000A4EDE">
        <w:rPr>
          <w:rFonts w:asciiTheme="minorHAnsi" w:hAnsiTheme="minorHAnsi" w:cstheme="minorHAnsi"/>
          <w:bCs w:val="0"/>
          <w:color w:val="auto"/>
          <w:lang w:val="en-US"/>
        </w:rPr>
        <w:fldChar w:fldCharType="separate"/>
      </w:r>
      <w:r w:rsidRPr="000A4EDE">
        <w:rPr>
          <w:rFonts w:asciiTheme="minorHAnsi" w:hAnsiTheme="minorHAnsi" w:cstheme="minorHAnsi"/>
          <w:bCs w:val="0"/>
          <w:noProof/>
          <w:color w:val="auto"/>
          <w:lang w:val="en-US"/>
        </w:rPr>
        <w:t>1</w:t>
      </w:r>
      <w:r w:rsidRPr="000A4EDE">
        <w:rPr>
          <w:rFonts w:asciiTheme="minorHAnsi" w:hAnsiTheme="minorHAnsi" w:cstheme="minorHAnsi"/>
          <w:bCs w:val="0"/>
          <w:color w:val="auto"/>
          <w:lang w:val="en-US"/>
        </w:rPr>
        <w:fldChar w:fldCharType="end"/>
      </w:r>
      <w:r w:rsidRPr="000A4EDE">
        <w:rPr>
          <w:rFonts w:asciiTheme="minorHAnsi" w:hAnsiTheme="minorHAnsi" w:cstheme="minorHAnsi"/>
          <w:bCs w:val="0"/>
          <w:color w:val="auto"/>
          <w:lang w:val="en-US"/>
        </w:rPr>
        <w:t xml:space="preserve">: </w:t>
      </w:r>
      <w:r w:rsidRPr="000A4EDE">
        <w:rPr>
          <w:rFonts w:asciiTheme="minorHAnsi" w:hAnsiTheme="minorHAnsi" w:cstheme="minorHAnsi"/>
          <w:b w:val="0"/>
          <w:bCs w:val="0"/>
          <w:color w:val="auto"/>
          <w:lang w:val="en-US"/>
        </w:rPr>
        <w:t xml:space="preserve">Predicted (solid line) and experimental (circles) solubilities of </w:t>
      </w:r>
      <w:r w:rsidRPr="000A4EDE">
        <w:rPr>
          <w:rFonts w:asciiTheme="minorHAnsi" w:hAnsiTheme="minorHAnsi" w:cstheme="minorHAnsi"/>
          <w:b w:val="0"/>
          <w:bCs w:val="0"/>
          <w:smallCaps/>
          <w:color w:val="auto"/>
          <w:lang w:val="en-US"/>
        </w:rPr>
        <w:t>l</w:t>
      </w:r>
      <w:r w:rsidRPr="000A4EDE">
        <w:rPr>
          <w:rFonts w:asciiTheme="minorHAnsi" w:hAnsiTheme="minorHAnsi" w:cstheme="minorHAnsi"/>
          <w:b w:val="0"/>
          <w:bCs w:val="0"/>
          <w:color w:val="auto"/>
          <w:lang w:val="en-US"/>
        </w:rPr>
        <w:t>-alanine in water-ethanol mixtures at 25 ˚C.</w:t>
      </w:r>
      <w:r w:rsidRPr="000A4EDE">
        <w:rPr>
          <w:b w:val="0"/>
          <w:noProof/>
          <w:color w:val="auto"/>
        </w:rPr>
        <w:t xml:space="preserve"> </w:t>
      </w:r>
    </w:p>
    <w:p w14:paraId="59B04D8D" w14:textId="77777777" w:rsidR="000A4EDE" w:rsidRPr="008D0BEB" w:rsidRDefault="000A4EDE" w:rsidP="008C0FB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p w14:paraId="5B9BFB2E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9FFEF34" w14:textId="77777777" w:rsidR="006C0550" w:rsidRDefault="006C0550" w:rsidP="00C43B5B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C0550">
        <w:rPr>
          <w:rFonts w:asciiTheme="minorHAnsi" w:hAnsiTheme="minorHAnsi" w:cstheme="minorHAnsi"/>
          <w:sz w:val="22"/>
          <w:szCs w:val="22"/>
        </w:rPr>
        <w:t>The ternary form of the van Laar equation for the molar excess Gibbs energy is useful for predicting the solubilities of amino acids in water-ethanol mixtures at 25 °C. The calculated solubilities of some amino acids show maxima in a water-ethanol mixed solution. These calculated maxima, predicted by the van Laar model, are in agreement with experiments.</w:t>
      </w:r>
    </w:p>
    <w:p w14:paraId="3A88490D" w14:textId="77777777" w:rsidR="00C43B5B" w:rsidRPr="006C0550" w:rsidRDefault="00C43B5B" w:rsidP="00C43B5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967432E" w14:textId="77777777" w:rsidR="002D25CF" w:rsidRPr="002D25CF" w:rsidRDefault="006C0550" w:rsidP="00C43B5B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C0550">
        <w:rPr>
          <w:rFonts w:asciiTheme="minorHAnsi" w:hAnsiTheme="minorHAnsi" w:cstheme="minorHAnsi"/>
          <w:sz w:val="22"/>
          <w:szCs w:val="22"/>
        </w:rPr>
        <w:t>The advantage of the thermodynamic technique used in this work is scale-up. A good solubility of a solute in a binary solvent (i.e. a ternary system) can be calculated based on only binary information.</w:t>
      </w:r>
    </w:p>
    <w:p w14:paraId="2988EBD1" w14:textId="77777777" w:rsidR="00704BDF" w:rsidRPr="008D0BEB" w:rsidRDefault="00704BDF" w:rsidP="002D25CF">
      <w:pPr>
        <w:snapToGrid w:val="0"/>
        <w:spacing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04CB7BEF" w14:textId="77777777" w:rsidR="002D25CF" w:rsidRDefault="002D25CF" w:rsidP="002D25CF">
      <w:pPr>
        <w:spacing w:line="276" w:lineRule="auto"/>
        <w:jc w:val="left"/>
        <w:rPr>
          <w:rFonts w:asciiTheme="minorHAnsi" w:hAnsiTheme="minorHAnsi" w:cstheme="minorHAnsi"/>
          <w:sz w:val="20"/>
        </w:rPr>
      </w:pPr>
    </w:p>
    <w:p w14:paraId="0D5E2C7C" w14:textId="77777777" w:rsidR="00B44CB8" w:rsidRPr="00B44CB8" w:rsidRDefault="00C43B5B" w:rsidP="00C43B5B">
      <w:pPr>
        <w:spacing w:line="276" w:lineRule="auto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[1] </w:t>
      </w:r>
      <w:r w:rsidR="00B44CB8" w:rsidRPr="00B44CB8">
        <w:rPr>
          <w:rFonts w:asciiTheme="minorHAnsi" w:hAnsiTheme="minorHAnsi" w:cstheme="minorHAnsi"/>
          <w:sz w:val="20"/>
        </w:rPr>
        <w:tab/>
        <w:t xml:space="preserve">Gude, M. T.; Meuwissen, H. H. J.; van der Wielen, L. A. M.; Luyben, K. C. A. M., Partition Coefficients and Solubilities of α-Amino Acids in Aqueous 1-Butanol Solutions. </w:t>
      </w:r>
      <w:r w:rsidR="00B44CB8" w:rsidRPr="00B44CB8">
        <w:rPr>
          <w:rFonts w:asciiTheme="minorHAnsi" w:hAnsiTheme="minorHAnsi" w:cstheme="minorHAnsi"/>
          <w:i/>
          <w:sz w:val="20"/>
        </w:rPr>
        <w:t>Industrial &amp; Engineering Chemistry Research</w:t>
      </w:r>
      <w:r w:rsidR="00B44CB8" w:rsidRPr="00B44CB8">
        <w:rPr>
          <w:rFonts w:asciiTheme="minorHAnsi" w:hAnsiTheme="minorHAnsi" w:cstheme="minorHAnsi"/>
          <w:sz w:val="20"/>
        </w:rPr>
        <w:t xml:space="preserve"> </w:t>
      </w:r>
      <w:r w:rsidR="00B44CB8" w:rsidRPr="00B44CB8">
        <w:rPr>
          <w:rFonts w:asciiTheme="minorHAnsi" w:hAnsiTheme="minorHAnsi" w:cstheme="minorHAnsi"/>
          <w:b/>
          <w:sz w:val="20"/>
        </w:rPr>
        <w:t>1996</w:t>
      </w:r>
      <w:r w:rsidR="00B44CB8" w:rsidRPr="00B44CB8">
        <w:rPr>
          <w:rFonts w:asciiTheme="minorHAnsi" w:hAnsiTheme="minorHAnsi" w:cstheme="minorHAnsi"/>
          <w:sz w:val="20"/>
        </w:rPr>
        <w:t xml:space="preserve">, 35 (12), 4700-4712; </w:t>
      </w:r>
      <w:r>
        <w:rPr>
          <w:rFonts w:asciiTheme="minorHAnsi" w:hAnsiTheme="minorHAnsi" w:cstheme="minorHAnsi"/>
          <w:sz w:val="20"/>
        </w:rPr>
        <w:t xml:space="preserve"> </w:t>
      </w:r>
      <w:bookmarkStart w:id="1" w:name="_ENREF_18"/>
    </w:p>
    <w:p w14:paraId="70DD4E69" w14:textId="77777777" w:rsidR="00B44CB8" w:rsidRPr="00B44CB8" w:rsidRDefault="00C43B5B" w:rsidP="00C43B5B">
      <w:p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[2] </w:t>
      </w:r>
      <w:r w:rsidR="00B44CB8" w:rsidRPr="00B44CB8">
        <w:rPr>
          <w:rFonts w:asciiTheme="minorHAnsi" w:hAnsiTheme="minorHAnsi" w:cstheme="minorHAnsi"/>
          <w:sz w:val="20"/>
        </w:rPr>
        <w:t xml:space="preserve">Held, C.; Prinz, A.; Wallmeyer, V.; Sadowski, G., Measuring and modeling alcohol/salt systems. </w:t>
      </w:r>
      <w:r w:rsidR="00B44CB8" w:rsidRPr="00B44CB8">
        <w:rPr>
          <w:rFonts w:asciiTheme="minorHAnsi" w:hAnsiTheme="minorHAnsi" w:cstheme="minorHAnsi"/>
          <w:i/>
          <w:sz w:val="20"/>
        </w:rPr>
        <w:t xml:space="preserve">Chemical Engineering Science </w:t>
      </w:r>
      <w:r w:rsidR="00B44CB8" w:rsidRPr="00B44CB8">
        <w:rPr>
          <w:rFonts w:asciiTheme="minorHAnsi" w:hAnsiTheme="minorHAnsi" w:cstheme="minorHAnsi"/>
          <w:b/>
          <w:sz w:val="20"/>
        </w:rPr>
        <w:t>2012,</w:t>
      </w:r>
      <w:r w:rsidR="00B44CB8" w:rsidRPr="00B44CB8">
        <w:rPr>
          <w:rFonts w:asciiTheme="minorHAnsi" w:hAnsiTheme="minorHAnsi" w:cstheme="minorHAnsi"/>
          <w:sz w:val="20"/>
        </w:rPr>
        <w:t xml:space="preserve"> </w:t>
      </w:r>
      <w:r w:rsidR="00B44CB8" w:rsidRPr="00B44CB8">
        <w:rPr>
          <w:rFonts w:asciiTheme="minorHAnsi" w:hAnsiTheme="minorHAnsi" w:cstheme="minorHAnsi"/>
          <w:i/>
          <w:sz w:val="20"/>
        </w:rPr>
        <w:t>68</w:t>
      </w:r>
      <w:r w:rsidR="00B44CB8" w:rsidRPr="00B44CB8">
        <w:rPr>
          <w:rFonts w:asciiTheme="minorHAnsi" w:hAnsiTheme="minorHAnsi" w:cstheme="minorHAnsi"/>
          <w:sz w:val="20"/>
        </w:rPr>
        <w:t xml:space="preserve"> (1), 328-339;</w:t>
      </w:r>
      <w:bookmarkEnd w:id="1"/>
    </w:p>
    <w:p w14:paraId="75160947" w14:textId="77777777" w:rsidR="00B44CB8" w:rsidRPr="00B44CB8" w:rsidRDefault="00C43B5B" w:rsidP="00C43B5B">
      <w:p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[3] </w:t>
      </w:r>
      <w:r w:rsidR="00B44CB8" w:rsidRPr="00B44CB8">
        <w:rPr>
          <w:rFonts w:asciiTheme="minorHAnsi" w:hAnsiTheme="minorHAnsi" w:cstheme="minorHAnsi"/>
          <w:sz w:val="20"/>
        </w:rPr>
        <w:t xml:space="preserve">Gude, M. T.; van der Wielen, L. A. M.; Luyben, K. C. A. M., Phase behavior of α-amino acids in multicomponent aqueous alkanol solutions. </w:t>
      </w:r>
      <w:r w:rsidR="00B44CB8" w:rsidRPr="00B44CB8">
        <w:rPr>
          <w:rFonts w:asciiTheme="minorHAnsi" w:hAnsiTheme="minorHAnsi" w:cstheme="minorHAnsi"/>
          <w:i/>
          <w:sz w:val="20"/>
        </w:rPr>
        <w:t xml:space="preserve">Fluid Phase Equilibria </w:t>
      </w:r>
      <w:r w:rsidR="00B44CB8" w:rsidRPr="00B44CB8">
        <w:rPr>
          <w:rFonts w:asciiTheme="minorHAnsi" w:hAnsiTheme="minorHAnsi" w:cstheme="minorHAnsi"/>
          <w:b/>
          <w:sz w:val="20"/>
        </w:rPr>
        <w:t>1996,</w:t>
      </w:r>
      <w:r w:rsidR="00B44CB8" w:rsidRPr="00B44CB8">
        <w:rPr>
          <w:rFonts w:asciiTheme="minorHAnsi" w:hAnsiTheme="minorHAnsi" w:cstheme="minorHAnsi"/>
          <w:sz w:val="20"/>
        </w:rPr>
        <w:t xml:space="preserve"> </w:t>
      </w:r>
      <w:r w:rsidR="00B44CB8" w:rsidRPr="00B44CB8">
        <w:rPr>
          <w:rFonts w:asciiTheme="minorHAnsi" w:hAnsiTheme="minorHAnsi" w:cstheme="minorHAnsi"/>
          <w:i/>
          <w:sz w:val="20"/>
        </w:rPr>
        <w:t>116</w:t>
      </w:r>
      <w:r w:rsidR="00B44CB8" w:rsidRPr="00B44CB8">
        <w:rPr>
          <w:rFonts w:asciiTheme="minorHAnsi" w:hAnsiTheme="minorHAnsi" w:cstheme="minorHAnsi"/>
          <w:sz w:val="20"/>
        </w:rPr>
        <w:t xml:space="preserve"> (1–2), 110-117.</w:t>
      </w:r>
    </w:p>
    <w:p w14:paraId="696EE1CD" w14:textId="77777777" w:rsidR="00B44CB8" w:rsidRDefault="00C43B5B" w:rsidP="00B44CB8">
      <w:p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[4] </w:t>
      </w:r>
      <w:r w:rsidR="00B44CB8" w:rsidRPr="00B44CB8">
        <w:rPr>
          <w:rFonts w:asciiTheme="minorHAnsi" w:hAnsiTheme="minorHAnsi" w:cstheme="minorHAnsi"/>
          <w:sz w:val="20"/>
        </w:rPr>
        <w:tab/>
        <w:t xml:space="preserve">Bowden, N. A.; Mendez Sevillano, D.; Sanders, J. M. P.; Bruins, M. E. Modelling the effects of ethanol on the solubility of the proteinogenic amino acids with the NRTL, Gude and Jouyban-Acree models. </w:t>
      </w:r>
      <w:r w:rsidR="00B44CB8" w:rsidRPr="00B44CB8">
        <w:rPr>
          <w:rFonts w:asciiTheme="minorHAnsi" w:hAnsiTheme="minorHAnsi" w:cstheme="minorHAnsi"/>
          <w:i/>
          <w:sz w:val="20"/>
        </w:rPr>
        <w:t>Fluid Phase Equilibria</w:t>
      </w:r>
      <w:r w:rsidR="00B44CB8" w:rsidRPr="00B44CB8">
        <w:rPr>
          <w:rFonts w:asciiTheme="minorHAnsi" w:hAnsiTheme="minorHAnsi" w:cstheme="minorHAnsi"/>
          <w:sz w:val="20"/>
        </w:rPr>
        <w:t xml:space="preserve"> </w:t>
      </w:r>
      <w:r w:rsidR="00B44CB8" w:rsidRPr="00B44CB8">
        <w:rPr>
          <w:rFonts w:asciiTheme="minorHAnsi" w:hAnsiTheme="minorHAnsi" w:cstheme="minorHAnsi"/>
          <w:b/>
          <w:sz w:val="20"/>
        </w:rPr>
        <w:t>2017</w:t>
      </w:r>
      <w:r w:rsidR="00B44CB8" w:rsidRPr="00B44CB8">
        <w:rPr>
          <w:rFonts w:asciiTheme="minorHAnsi" w:hAnsiTheme="minorHAnsi" w:cstheme="minorHAnsi"/>
          <w:sz w:val="20"/>
        </w:rPr>
        <w:t xml:space="preserve"> 459: 158-169</w:t>
      </w:r>
    </w:p>
    <w:p w14:paraId="5DD95CCC" w14:textId="77777777" w:rsidR="00C43B5B" w:rsidRPr="002D25CF" w:rsidRDefault="00C43B5B" w:rsidP="00C43B5B">
      <w:p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[5] </w:t>
      </w:r>
      <w:r w:rsidRPr="002D25CF">
        <w:rPr>
          <w:rFonts w:asciiTheme="minorHAnsi" w:hAnsiTheme="minorHAnsi" w:cstheme="minorHAnsi"/>
          <w:sz w:val="20"/>
        </w:rPr>
        <w:tab/>
        <w:t xml:space="preserve">Marrero, J.; Gani, R.; Group-contribution based estimation of pure component properties </w:t>
      </w:r>
      <w:r w:rsidRPr="002D25CF">
        <w:rPr>
          <w:rFonts w:asciiTheme="minorHAnsi" w:hAnsiTheme="minorHAnsi" w:cstheme="minorHAnsi"/>
          <w:i/>
          <w:sz w:val="20"/>
        </w:rPr>
        <w:t>Fluid Phase Equilibria</w:t>
      </w:r>
      <w:r w:rsidRPr="002D25CF">
        <w:rPr>
          <w:rFonts w:asciiTheme="minorHAnsi" w:hAnsiTheme="minorHAnsi" w:cstheme="minorHAnsi"/>
          <w:sz w:val="20"/>
        </w:rPr>
        <w:t xml:space="preserve"> </w:t>
      </w:r>
      <w:r w:rsidRPr="002D25CF">
        <w:rPr>
          <w:rFonts w:asciiTheme="minorHAnsi" w:hAnsiTheme="minorHAnsi" w:cstheme="minorHAnsi"/>
          <w:b/>
          <w:sz w:val="20"/>
        </w:rPr>
        <w:t>2001</w:t>
      </w:r>
      <w:r w:rsidRPr="002D25CF">
        <w:rPr>
          <w:rFonts w:asciiTheme="minorHAnsi" w:hAnsiTheme="minorHAnsi" w:cstheme="minorHAnsi"/>
          <w:sz w:val="20"/>
        </w:rPr>
        <w:t>, 183-208</w:t>
      </w:r>
    </w:p>
    <w:p w14:paraId="76C9EA74" w14:textId="77777777" w:rsidR="00C43B5B" w:rsidRPr="00B44CB8" w:rsidRDefault="00C43B5B" w:rsidP="00B44CB8">
      <w:pPr>
        <w:spacing w:line="276" w:lineRule="auto"/>
        <w:rPr>
          <w:rFonts w:asciiTheme="minorHAnsi" w:hAnsiTheme="minorHAnsi" w:cstheme="minorHAnsi"/>
          <w:sz w:val="20"/>
        </w:rPr>
      </w:pPr>
    </w:p>
    <w:p w14:paraId="3B345702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166CC" w14:textId="77777777" w:rsidR="00782AE8" w:rsidRDefault="00782AE8" w:rsidP="004F5E36">
      <w:r>
        <w:separator/>
      </w:r>
    </w:p>
  </w:endnote>
  <w:endnote w:type="continuationSeparator" w:id="0">
    <w:p w14:paraId="67BA24BD" w14:textId="77777777" w:rsidR="00782AE8" w:rsidRDefault="00782AE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7F183" w14:textId="77777777" w:rsidR="00782AE8" w:rsidRDefault="00782AE8" w:rsidP="004F5E36">
      <w:r>
        <w:separator/>
      </w:r>
    </w:p>
  </w:footnote>
  <w:footnote w:type="continuationSeparator" w:id="0">
    <w:p w14:paraId="2259C08E" w14:textId="77777777" w:rsidR="00782AE8" w:rsidRDefault="00782AE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164B3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B1ED25" wp14:editId="62E37AD5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BEC27C7" wp14:editId="3DBED46F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BB9F5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CE889AD" wp14:editId="5FF6AC8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1E29CC5D" w14:textId="77777777" w:rsidR="00704BDF" w:rsidRDefault="00704BDF">
    <w:pPr>
      <w:pStyle w:val="Intestazione"/>
    </w:pPr>
  </w:p>
  <w:p w14:paraId="4491D5E4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44B7F8" wp14:editId="0852562D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0A1457DE"/>
    <w:multiLevelType w:val="hybridMultilevel"/>
    <w:tmpl w:val="6110FEF4"/>
    <w:lvl w:ilvl="0" w:tplc="13C83E30">
      <w:start w:val="1"/>
      <w:numFmt w:val="bullet"/>
      <w:lvlText w:val=""/>
      <w:lvlJc w:val="left"/>
      <w:pPr>
        <w:ind w:left="1077" w:hanging="2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A4EDE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5F67"/>
    <w:rsid w:val="002065DB"/>
    <w:rsid w:val="002447EF"/>
    <w:rsid w:val="00251550"/>
    <w:rsid w:val="0027221A"/>
    <w:rsid w:val="00275B61"/>
    <w:rsid w:val="002D1F12"/>
    <w:rsid w:val="002D25CF"/>
    <w:rsid w:val="003009B7"/>
    <w:rsid w:val="0030469C"/>
    <w:rsid w:val="003723D4"/>
    <w:rsid w:val="003753F9"/>
    <w:rsid w:val="003A7D1C"/>
    <w:rsid w:val="00454ED4"/>
    <w:rsid w:val="0046164A"/>
    <w:rsid w:val="00462DCD"/>
    <w:rsid w:val="004D1162"/>
    <w:rsid w:val="004E4DD6"/>
    <w:rsid w:val="004F5E36"/>
    <w:rsid w:val="00502377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5F17FC"/>
    <w:rsid w:val="00620DEE"/>
    <w:rsid w:val="00625639"/>
    <w:rsid w:val="0064184D"/>
    <w:rsid w:val="00651E68"/>
    <w:rsid w:val="00660E3E"/>
    <w:rsid w:val="00662E74"/>
    <w:rsid w:val="006A58D2"/>
    <w:rsid w:val="006C0550"/>
    <w:rsid w:val="006C5579"/>
    <w:rsid w:val="00704BDF"/>
    <w:rsid w:val="00736B13"/>
    <w:rsid w:val="007447F3"/>
    <w:rsid w:val="007661C8"/>
    <w:rsid w:val="00782AE8"/>
    <w:rsid w:val="007875BE"/>
    <w:rsid w:val="007D52CD"/>
    <w:rsid w:val="00813288"/>
    <w:rsid w:val="008168FC"/>
    <w:rsid w:val="008479A2"/>
    <w:rsid w:val="0087637F"/>
    <w:rsid w:val="008A1512"/>
    <w:rsid w:val="008C0FB5"/>
    <w:rsid w:val="008C2085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44CB8"/>
    <w:rsid w:val="00B61DBF"/>
    <w:rsid w:val="00BC30C9"/>
    <w:rsid w:val="00BE3E58"/>
    <w:rsid w:val="00C01616"/>
    <w:rsid w:val="00C0162B"/>
    <w:rsid w:val="00C345B1"/>
    <w:rsid w:val="00C40142"/>
    <w:rsid w:val="00C43B5B"/>
    <w:rsid w:val="00C57182"/>
    <w:rsid w:val="00C655FD"/>
    <w:rsid w:val="00C867B1"/>
    <w:rsid w:val="00C94434"/>
    <w:rsid w:val="00CA1C95"/>
    <w:rsid w:val="00CA5A9C"/>
    <w:rsid w:val="00CB1CD5"/>
    <w:rsid w:val="00CD5FE2"/>
    <w:rsid w:val="00CD63B9"/>
    <w:rsid w:val="00CE26C6"/>
    <w:rsid w:val="00D02B4C"/>
    <w:rsid w:val="00D51E0F"/>
    <w:rsid w:val="00D606B9"/>
    <w:rsid w:val="00D84576"/>
    <w:rsid w:val="00DE0019"/>
    <w:rsid w:val="00DE264A"/>
    <w:rsid w:val="00E041E7"/>
    <w:rsid w:val="00E23CA1"/>
    <w:rsid w:val="00E409A8"/>
    <w:rsid w:val="00E7209D"/>
    <w:rsid w:val="00EA50E1"/>
    <w:rsid w:val="00EE0131"/>
    <w:rsid w:val="00EE6562"/>
    <w:rsid w:val="00F30C64"/>
    <w:rsid w:val="00F50748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0A501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Testosegnaposto">
    <w:name w:val="Placeholder Text"/>
    <w:basedOn w:val="Carpredefinitoparagrafo"/>
    <w:uiPriority w:val="99"/>
    <w:semiHidden/>
    <w:locked/>
    <w:rsid w:val="008C0F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ED5DA-590D-4151-A19A-FA44D874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4</cp:revision>
  <cp:lastPrinted>2015-05-12T18:31:00Z</cp:lastPrinted>
  <dcterms:created xsi:type="dcterms:W3CDTF">2019-06-17T11:02:00Z</dcterms:created>
  <dcterms:modified xsi:type="dcterms:W3CDTF">2019-08-22T10:31:00Z</dcterms:modified>
</cp:coreProperties>
</file>