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537CCB" w:rsidRDefault="00537CCB" w:rsidP="00704BDF">
      <w:pPr>
        <w:snapToGrid w:val="0"/>
        <w:spacing w:after="360"/>
        <w:jc w:val="center"/>
        <w:rPr>
          <w:rFonts w:asciiTheme="minorHAnsi" w:eastAsia="MS PGothic" w:hAnsiTheme="minorHAnsi" w:cstheme="minorHAnsi"/>
          <w:b/>
          <w:bCs/>
          <w:sz w:val="28"/>
          <w:szCs w:val="28"/>
          <w:lang w:val="en-US" w:eastAsia="ko-KR"/>
        </w:rPr>
      </w:pPr>
      <w:r w:rsidRPr="00537CCB">
        <w:rPr>
          <w:rFonts w:asciiTheme="minorHAnsi" w:hAnsiTheme="minorHAnsi" w:cstheme="minorHAnsi"/>
          <w:b/>
          <w:sz w:val="28"/>
          <w:szCs w:val="28"/>
          <w:lang w:val="en-US" w:bidi="fr-FR"/>
        </w:rPr>
        <w:t xml:space="preserve">Particle generation process by </w:t>
      </w:r>
      <w:proofErr w:type="gramStart"/>
      <w:r w:rsidRPr="00537CCB">
        <w:rPr>
          <w:rFonts w:asciiTheme="minorHAnsi" w:hAnsiTheme="minorHAnsi" w:cstheme="minorHAnsi"/>
          <w:b/>
          <w:sz w:val="28"/>
          <w:szCs w:val="28"/>
          <w:lang w:val="en-US" w:bidi="fr-FR"/>
        </w:rPr>
        <w:t>crystallization :</w:t>
      </w:r>
      <w:proofErr w:type="gramEnd"/>
      <w:r w:rsidRPr="00537CCB">
        <w:rPr>
          <w:rFonts w:asciiTheme="minorHAnsi" w:hAnsiTheme="minorHAnsi" w:cstheme="minorHAnsi"/>
          <w:b/>
          <w:sz w:val="28"/>
          <w:szCs w:val="28"/>
          <w:lang w:val="en-US" w:bidi="fr-FR"/>
        </w:rPr>
        <w:t xml:space="preserve"> a multiscale approach</w:t>
      </w:r>
      <w:r w:rsidR="00704BDF" w:rsidRPr="00537CCB">
        <w:rPr>
          <w:rFonts w:asciiTheme="minorHAnsi" w:eastAsia="MS PGothic" w:hAnsiTheme="minorHAnsi" w:cstheme="minorHAnsi"/>
          <w:b/>
          <w:bCs/>
          <w:sz w:val="28"/>
          <w:szCs w:val="28"/>
          <w:lang w:val="en-US"/>
        </w:rPr>
        <w:t>.</w:t>
      </w:r>
    </w:p>
    <w:p w:rsidR="00DE0019" w:rsidRPr="00537CCB" w:rsidRDefault="00537CCB" w:rsidP="00704BDF">
      <w:pPr>
        <w:snapToGrid w:val="0"/>
        <w:spacing w:after="120"/>
        <w:jc w:val="center"/>
        <w:rPr>
          <w:rFonts w:eastAsia="SimSun"/>
          <w:color w:val="000000"/>
          <w:lang w:val="fr-FR" w:eastAsia="zh-CN"/>
        </w:rPr>
      </w:pPr>
      <w:bookmarkStart w:id="0" w:name="_GoBack"/>
      <w:bookmarkEnd w:id="0"/>
      <w:r w:rsidRPr="00537CCB">
        <w:rPr>
          <w:rFonts w:asciiTheme="minorHAnsi" w:eastAsia="SimSun" w:hAnsiTheme="minorHAnsi"/>
          <w:color w:val="000000"/>
          <w:sz w:val="24"/>
          <w:szCs w:val="24"/>
          <w:u w:val="single"/>
          <w:lang w:val="fr-FR" w:eastAsia="zh-CN"/>
        </w:rPr>
        <w:t xml:space="preserve">Béatrice </w:t>
      </w:r>
      <w:proofErr w:type="spellStart"/>
      <w:r w:rsidRPr="00537CCB">
        <w:rPr>
          <w:rFonts w:asciiTheme="minorHAnsi" w:eastAsia="SimSun" w:hAnsiTheme="minorHAnsi"/>
          <w:color w:val="000000"/>
          <w:sz w:val="24"/>
          <w:szCs w:val="24"/>
          <w:u w:val="single"/>
          <w:lang w:val="fr-FR" w:eastAsia="zh-CN"/>
        </w:rPr>
        <w:t>B</w:t>
      </w:r>
      <w:r w:rsidR="00A05A15">
        <w:rPr>
          <w:rFonts w:asciiTheme="minorHAnsi" w:eastAsia="SimSun" w:hAnsiTheme="minorHAnsi"/>
          <w:color w:val="000000"/>
          <w:sz w:val="24"/>
          <w:szCs w:val="24"/>
          <w:u w:val="single"/>
          <w:lang w:val="fr-FR" w:eastAsia="zh-CN"/>
        </w:rPr>
        <w:t>i</w:t>
      </w:r>
      <w:r w:rsidRPr="00537CCB">
        <w:rPr>
          <w:rFonts w:asciiTheme="minorHAnsi" w:eastAsia="SimSun" w:hAnsiTheme="minorHAnsi"/>
          <w:color w:val="000000"/>
          <w:sz w:val="24"/>
          <w:szCs w:val="24"/>
          <w:u w:val="single"/>
          <w:lang w:val="fr-FR" w:eastAsia="zh-CN"/>
        </w:rPr>
        <w:t>scans</w:t>
      </w:r>
      <w:proofErr w:type="spellEnd"/>
      <w:r w:rsidR="00736B13" w:rsidRPr="00537CCB">
        <w:rPr>
          <w:rFonts w:asciiTheme="minorHAnsi" w:eastAsia="SimSun" w:hAnsiTheme="minorHAnsi"/>
          <w:color w:val="000000"/>
          <w:sz w:val="24"/>
          <w:szCs w:val="24"/>
          <w:lang w:val="fr-FR" w:eastAsia="zh-CN"/>
        </w:rPr>
        <w:t xml:space="preserve"> </w:t>
      </w:r>
    </w:p>
    <w:p w:rsidR="00704BDF" w:rsidRDefault="00537CCB" w:rsidP="00704BDF">
      <w:pPr>
        <w:snapToGrid w:val="0"/>
        <w:spacing w:after="120"/>
        <w:jc w:val="center"/>
        <w:rPr>
          <w:rFonts w:eastAsia="MS PGothic"/>
          <w:i/>
          <w:iCs/>
          <w:color w:val="000000"/>
          <w:sz w:val="20"/>
          <w:lang w:val="fr-FR"/>
        </w:rPr>
      </w:pPr>
      <w:r w:rsidRPr="00537CCB">
        <w:rPr>
          <w:rFonts w:eastAsia="MS PGothic"/>
          <w:i/>
          <w:iCs/>
          <w:color w:val="000000"/>
          <w:sz w:val="20"/>
          <w:lang w:val="fr-FR"/>
        </w:rPr>
        <w:t xml:space="preserve">Laboratoire de Génie Chimique CNRS/INP/UPS </w:t>
      </w:r>
    </w:p>
    <w:p w:rsidR="00537CCB" w:rsidRPr="00537CCB" w:rsidRDefault="00537CCB" w:rsidP="00704BDF">
      <w:pPr>
        <w:snapToGrid w:val="0"/>
        <w:spacing w:after="120"/>
        <w:jc w:val="center"/>
        <w:rPr>
          <w:rFonts w:asciiTheme="minorHAnsi" w:eastAsia="MS PGothic" w:hAnsiTheme="minorHAnsi"/>
          <w:i/>
          <w:iCs/>
          <w:color w:val="000000"/>
          <w:sz w:val="20"/>
          <w:lang w:val="en-US"/>
        </w:rPr>
      </w:pPr>
      <w:r w:rsidRPr="00537CCB">
        <w:rPr>
          <w:rFonts w:asciiTheme="minorHAnsi" w:eastAsia="MS PGothic" w:hAnsiTheme="minorHAnsi"/>
          <w:i/>
          <w:iCs/>
          <w:color w:val="000000"/>
          <w:sz w:val="20"/>
          <w:lang w:val="en-US"/>
        </w:rPr>
        <w:t>Toulouse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37CCB">
        <w:rPr>
          <w:rFonts w:asciiTheme="minorHAnsi" w:eastAsia="MS PGothic" w:hAnsiTheme="minorHAnsi"/>
          <w:bCs/>
          <w:i/>
          <w:iCs/>
          <w:sz w:val="20"/>
          <w:lang w:val="en-US"/>
        </w:rPr>
        <w:t>beatrice.biscans@ensiacet.fr</w:t>
      </w:r>
    </w:p>
    <w:p w:rsidR="00704BDF" w:rsidRPr="00EC66CC" w:rsidRDefault="003B61C3" w:rsidP="00704BDF">
      <w:pPr>
        <w:pStyle w:val="AbstractHeading"/>
        <w:tabs>
          <w:tab w:val="left" w:pos="3547"/>
          <w:tab w:val="center" w:pos="4694"/>
        </w:tabs>
        <w:spacing w:before="240" w:after="0"/>
        <w:ind w:firstLine="357"/>
        <w:rPr>
          <w:rFonts w:asciiTheme="minorHAnsi" w:hAnsiTheme="minorHAnsi"/>
          <w:b/>
        </w:rPr>
      </w:pPr>
      <w:r>
        <w:rPr>
          <w:rFonts w:asciiTheme="minorHAnsi" w:hAnsiTheme="minorHAnsi"/>
          <w:b/>
        </w:rPr>
        <w:t>Crystallization science and engineering workshop</w:t>
      </w:r>
      <w:r w:rsidRPr="003B61C3">
        <w:t xml:space="preserve"> </w:t>
      </w:r>
      <w:r>
        <w:rPr>
          <w:rFonts w:asciiTheme="minorHAnsi" w:hAnsiTheme="minorHAnsi"/>
          <w:b/>
        </w:rPr>
        <w:t>o</w:t>
      </w:r>
      <w:r w:rsidRPr="003B61C3">
        <w:rPr>
          <w:rFonts w:asciiTheme="minorHAnsi" w:hAnsiTheme="minorHAnsi"/>
          <w:b/>
        </w:rPr>
        <w:t>rganized by EFCE Working Party on Crystallization</w:t>
      </w:r>
    </w:p>
    <w:p w:rsidR="00704BDF" w:rsidRPr="00A15B93" w:rsidRDefault="00704BDF" w:rsidP="00704BDF">
      <w:pPr>
        <w:snapToGrid w:val="0"/>
        <w:spacing w:after="120"/>
        <w:jc w:val="center"/>
        <w:rPr>
          <w:rFonts w:eastAsia="SimSun"/>
          <w:bCs/>
          <w:i/>
          <w:iCs/>
          <w:color w:val="0000FF"/>
          <w:sz w:val="20"/>
          <w:lang w:val="en-US" w:eastAsia="zh-CN"/>
        </w:rPr>
      </w:pPr>
    </w:p>
    <w:p w:rsidR="00537CCB" w:rsidRPr="00537CCB" w:rsidRDefault="002626FE" w:rsidP="002626FE">
      <w:pPr>
        <w:snapToGrid w:val="0"/>
        <w:spacing w:line="300" w:lineRule="auto"/>
        <w:rPr>
          <w:rFonts w:asciiTheme="minorHAnsi" w:eastAsia="MS PGothic" w:hAnsiTheme="minorHAnsi"/>
          <w:bCs/>
          <w:color w:val="000000"/>
          <w:sz w:val="22"/>
          <w:szCs w:val="22"/>
          <w:lang w:val="en-US"/>
        </w:rPr>
      </w:pPr>
      <w:r w:rsidRPr="002626FE">
        <w:rPr>
          <w:rFonts w:asciiTheme="minorHAnsi" w:eastAsia="MS PGothic" w:hAnsiTheme="minorHAnsi"/>
          <w:bCs/>
          <w:color w:val="000000"/>
          <w:sz w:val="22"/>
          <w:szCs w:val="22"/>
          <w:lang w:val="en-US"/>
        </w:rPr>
        <w:t xml:space="preserve">Crystallization is a separation and purification process used in the production of a wide range </w:t>
      </w:r>
      <w:r w:rsidR="00537CCB" w:rsidRPr="00537CCB">
        <w:rPr>
          <w:rFonts w:asciiTheme="minorHAnsi" w:eastAsia="MS PGothic" w:hAnsiTheme="minorHAnsi"/>
          <w:bCs/>
          <w:color w:val="000000"/>
          <w:sz w:val="22"/>
          <w:szCs w:val="22"/>
          <w:lang w:val="en-US"/>
        </w:rPr>
        <w:t xml:space="preserve">of materials. Many aspects of industrial crystallization have been developed in the past years and have a good scientific basis. Recent developments are in progress such as isolation of polymorphs and resolution of enantiomeric systems, molecular modelling, effect of added impurities on the crystal growth process, use of </w:t>
      </w:r>
      <w:proofErr w:type="spellStart"/>
      <w:r w:rsidR="00537CCB" w:rsidRPr="00537CCB">
        <w:rPr>
          <w:rFonts w:asciiTheme="minorHAnsi" w:eastAsia="MS PGothic" w:hAnsiTheme="minorHAnsi"/>
          <w:bCs/>
          <w:color w:val="000000"/>
          <w:sz w:val="22"/>
          <w:szCs w:val="22"/>
          <w:lang w:val="en-US"/>
        </w:rPr>
        <w:t>computed</w:t>
      </w:r>
      <w:proofErr w:type="spellEnd"/>
      <w:r w:rsidR="00537CCB" w:rsidRPr="00537CCB">
        <w:rPr>
          <w:rFonts w:asciiTheme="minorHAnsi" w:eastAsia="MS PGothic" w:hAnsiTheme="minorHAnsi"/>
          <w:bCs/>
          <w:color w:val="000000"/>
          <w:sz w:val="22"/>
          <w:szCs w:val="22"/>
          <w:lang w:val="en-US"/>
        </w:rPr>
        <w:t xml:space="preserve"> aided fluid dynamic modelling or new methods for crystal characterization. However, new challenges arise from new industrial needs. These developments create research on complicated substances such as drugs or proteins in complicated or new solvents or multi-phase systems and lead to consider what is called “complex media”. </w:t>
      </w:r>
    </w:p>
    <w:p w:rsidR="00537CCB" w:rsidRPr="00537CCB" w:rsidRDefault="00537CCB" w:rsidP="002626FE">
      <w:pPr>
        <w:snapToGrid w:val="0"/>
        <w:spacing w:line="300" w:lineRule="auto"/>
        <w:rPr>
          <w:rFonts w:asciiTheme="minorHAnsi" w:eastAsia="MS PGothic" w:hAnsiTheme="minorHAnsi"/>
          <w:bCs/>
          <w:color w:val="000000"/>
          <w:sz w:val="22"/>
          <w:szCs w:val="22"/>
          <w:lang w:val="en-US"/>
        </w:rPr>
      </w:pPr>
      <w:r w:rsidRPr="00537CCB">
        <w:rPr>
          <w:rFonts w:asciiTheme="minorHAnsi" w:eastAsia="MS PGothic" w:hAnsiTheme="minorHAnsi"/>
          <w:bCs/>
          <w:color w:val="000000"/>
          <w:sz w:val="22"/>
          <w:szCs w:val="22"/>
          <w:lang w:val="en-US"/>
        </w:rPr>
        <w:t xml:space="preserve">This presentation gives some examples of crystallization in complex media. Different reactor scales are used as generic tools studying crystal nucleation and growth. </w:t>
      </w:r>
    </w:p>
    <w:p w:rsidR="00537CCB" w:rsidRDefault="00537CCB" w:rsidP="002626FE">
      <w:pPr>
        <w:snapToGrid w:val="0"/>
        <w:spacing w:line="300" w:lineRule="auto"/>
        <w:rPr>
          <w:rFonts w:asciiTheme="minorHAnsi" w:eastAsia="MS PGothic" w:hAnsiTheme="minorHAnsi"/>
          <w:bCs/>
          <w:color w:val="000000"/>
          <w:sz w:val="22"/>
          <w:szCs w:val="22"/>
          <w:lang w:val="en-US"/>
        </w:rPr>
      </w:pPr>
      <w:r w:rsidRPr="00581815">
        <w:rPr>
          <w:rFonts w:asciiTheme="minorHAnsi" w:eastAsia="MS PGothic" w:hAnsiTheme="minorHAnsi"/>
          <w:bCs/>
          <w:color w:val="000000"/>
          <w:sz w:val="22"/>
          <w:szCs w:val="22"/>
          <w:u w:val="single"/>
          <w:lang w:val="en-US"/>
        </w:rPr>
        <w:t>Scale 1</w:t>
      </w:r>
      <w:r w:rsidRPr="00537CCB">
        <w:rPr>
          <w:rFonts w:asciiTheme="minorHAnsi" w:eastAsia="MS PGothic" w:hAnsiTheme="minorHAnsi"/>
          <w:bCs/>
          <w:color w:val="000000"/>
          <w:sz w:val="22"/>
          <w:szCs w:val="22"/>
          <w:lang w:val="en-US"/>
        </w:rPr>
        <w:t>: an original microfluidic device was developed for investigating nucleation rate, growth kinetics, and phase transition of organic crystals in organic solvents (1</w:t>
      </w:r>
      <w:proofErr w:type="gramStart"/>
      <w:r w:rsidRPr="00537CCB">
        <w:rPr>
          <w:rFonts w:asciiTheme="minorHAnsi" w:eastAsia="MS PGothic" w:hAnsiTheme="minorHAnsi"/>
          <w:bCs/>
          <w:color w:val="000000"/>
          <w:sz w:val="22"/>
          <w:szCs w:val="22"/>
          <w:lang w:val="en-US"/>
        </w:rPr>
        <w:t>,2</w:t>
      </w:r>
      <w:proofErr w:type="gramEnd"/>
      <w:r w:rsidRPr="00537CCB">
        <w:rPr>
          <w:rFonts w:asciiTheme="minorHAnsi" w:eastAsia="MS PGothic" w:hAnsiTheme="minorHAnsi"/>
          <w:bCs/>
          <w:color w:val="000000"/>
          <w:sz w:val="22"/>
          <w:szCs w:val="22"/>
          <w:lang w:val="en-US"/>
        </w:rPr>
        <w:t xml:space="preserve">) . This set-up allows to store up to 2000 small crystallization containers (20 to 100nL) and to control precisely their temperature and supersaturation. The case of </w:t>
      </w:r>
      <w:proofErr w:type="spellStart"/>
      <w:r w:rsidRPr="00537CCB">
        <w:rPr>
          <w:rFonts w:asciiTheme="minorHAnsi" w:eastAsia="MS PGothic" w:hAnsiTheme="minorHAnsi"/>
          <w:bCs/>
          <w:color w:val="000000"/>
          <w:sz w:val="22"/>
          <w:szCs w:val="22"/>
          <w:lang w:val="en-US"/>
        </w:rPr>
        <w:t>eflucimibe</w:t>
      </w:r>
      <w:proofErr w:type="spellEnd"/>
      <w:r w:rsidRPr="00537CCB">
        <w:rPr>
          <w:rFonts w:asciiTheme="minorHAnsi" w:eastAsia="MS PGothic" w:hAnsiTheme="minorHAnsi"/>
          <w:bCs/>
          <w:color w:val="000000"/>
          <w:sz w:val="22"/>
          <w:szCs w:val="22"/>
          <w:lang w:val="en-US"/>
        </w:rPr>
        <w:t xml:space="preserve"> showing two polymorphs and </w:t>
      </w:r>
      <w:proofErr w:type="spellStart"/>
      <w:r w:rsidRPr="00537CCB">
        <w:rPr>
          <w:rFonts w:asciiTheme="minorHAnsi" w:eastAsia="MS PGothic" w:hAnsiTheme="minorHAnsi"/>
          <w:bCs/>
          <w:color w:val="000000"/>
          <w:sz w:val="22"/>
          <w:szCs w:val="22"/>
          <w:lang w:val="en-US"/>
        </w:rPr>
        <w:t>ibuprofen</w:t>
      </w:r>
      <w:proofErr w:type="gramStart"/>
      <w:r w:rsidRPr="00537CCB">
        <w:rPr>
          <w:rFonts w:asciiTheme="minorHAnsi" w:eastAsia="MS PGothic" w:hAnsiTheme="minorHAnsi"/>
          <w:bCs/>
          <w:color w:val="000000"/>
          <w:sz w:val="22"/>
          <w:szCs w:val="22"/>
          <w:lang w:val="en-US"/>
        </w:rPr>
        <w:t>,in</w:t>
      </w:r>
      <w:proofErr w:type="spellEnd"/>
      <w:proofErr w:type="gramEnd"/>
      <w:r w:rsidRPr="00537CCB">
        <w:rPr>
          <w:rFonts w:asciiTheme="minorHAnsi" w:eastAsia="MS PGothic" w:hAnsiTheme="minorHAnsi"/>
          <w:bCs/>
          <w:color w:val="000000"/>
          <w:sz w:val="22"/>
          <w:szCs w:val="22"/>
          <w:lang w:val="en-US"/>
        </w:rPr>
        <w:t xml:space="preserve"> different organic solvents are studied. We believe that this microfluidic system gives new </w:t>
      </w:r>
      <w:proofErr w:type="spellStart"/>
      <w:r w:rsidRPr="00537CCB">
        <w:rPr>
          <w:rFonts w:asciiTheme="minorHAnsi" w:eastAsia="MS PGothic" w:hAnsiTheme="minorHAnsi"/>
          <w:bCs/>
          <w:color w:val="000000"/>
          <w:sz w:val="22"/>
          <w:szCs w:val="22"/>
          <w:lang w:val="en-US"/>
        </w:rPr>
        <w:t>opportunies</w:t>
      </w:r>
      <w:proofErr w:type="spellEnd"/>
      <w:r w:rsidRPr="00537CCB">
        <w:rPr>
          <w:rFonts w:asciiTheme="minorHAnsi" w:eastAsia="MS PGothic" w:hAnsiTheme="minorHAnsi"/>
          <w:bCs/>
          <w:color w:val="000000"/>
          <w:sz w:val="22"/>
          <w:szCs w:val="22"/>
          <w:lang w:val="en-US"/>
        </w:rPr>
        <w:t xml:space="preserve"> to study nucleation and phase transition of complex materials.</w:t>
      </w:r>
    </w:p>
    <w:p w:rsidR="009425B4" w:rsidRDefault="009425B4" w:rsidP="002626FE">
      <w:pPr>
        <w:snapToGrid w:val="0"/>
        <w:spacing w:line="300" w:lineRule="auto"/>
        <w:rPr>
          <w:rFonts w:asciiTheme="minorHAnsi" w:eastAsia="MS PGothic" w:hAnsiTheme="minorHAnsi"/>
          <w:bCs/>
          <w:color w:val="000000"/>
          <w:sz w:val="22"/>
          <w:szCs w:val="22"/>
          <w:lang w:val="en-US"/>
        </w:rPr>
      </w:pPr>
    </w:p>
    <w:p w:rsidR="009425B4" w:rsidRDefault="009425B4" w:rsidP="00A6255A">
      <w:pPr>
        <w:snapToGrid w:val="0"/>
        <w:spacing w:line="300" w:lineRule="auto"/>
        <w:jc w:val="center"/>
        <w:rPr>
          <w:rFonts w:asciiTheme="minorHAnsi" w:eastAsia="MS PGothic" w:hAnsiTheme="minorHAnsi"/>
          <w:bCs/>
          <w:color w:val="000000"/>
          <w:sz w:val="22"/>
          <w:szCs w:val="22"/>
          <w:lang w:val="en-US"/>
        </w:rPr>
      </w:pPr>
      <w:r>
        <w:rPr>
          <w:noProof/>
          <w:lang w:val="it-IT" w:eastAsia="it-IT"/>
        </w:rPr>
        <w:drawing>
          <wp:inline distT="0" distB="0" distL="0" distR="0" wp14:anchorId="7B7BE3C7" wp14:editId="1C54A348">
            <wp:extent cx="3251200" cy="1346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1200" cy="1346200"/>
                    </a:xfrm>
                    <a:prstGeom prst="rect">
                      <a:avLst/>
                    </a:prstGeom>
                  </pic:spPr>
                </pic:pic>
              </a:graphicData>
            </a:graphic>
          </wp:inline>
        </w:drawing>
      </w:r>
    </w:p>
    <w:p w:rsidR="009425B4" w:rsidRPr="00537CCB" w:rsidRDefault="009425B4" w:rsidP="002626FE">
      <w:pPr>
        <w:snapToGrid w:val="0"/>
        <w:spacing w:line="300" w:lineRule="auto"/>
        <w:rPr>
          <w:rFonts w:asciiTheme="minorHAnsi" w:eastAsia="MS PGothic" w:hAnsiTheme="minorHAnsi"/>
          <w:bCs/>
          <w:color w:val="000000"/>
          <w:sz w:val="22"/>
          <w:szCs w:val="22"/>
          <w:lang w:val="en-US"/>
        </w:rPr>
      </w:pPr>
    </w:p>
    <w:p w:rsidR="00537CCB" w:rsidRPr="00537CCB" w:rsidRDefault="00537CCB" w:rsidP="002626FE">
      <w:pPr>
        <w:snapToGrid w:val="0"/>
        <w:spacing w:line="300" w:lineRule="auto"/>
        <w:rPr>
          <w:rFonts w:asciiTheme="minorHAnsi" w:eastAsia="MS PGothic" w:hAnsiTheme="minorHAnsi"/>
          <w:bCs/>
          <w:color w:val="000000"/>
          <w:sz w:val="22"/>
          <w:szCs w:val="22"/>
          <w:lang w:val="en-US"/>
        </w:rPr>
      </w:pPr>
      <w:r w:rsidRPr="00581815">
        <w:rPr>
          <w:rFonts w:asciiTheme="minorHAnsi" w:eastAsia="MS PGothic" w:hAnsiTheme="minorHAnsi"/>
          <w:bCs/>
          <w:color w:val="000000"/>
          <w:sz w:val="22"/>
          <w:szCs w:val="22"/>
          <w:u w:val="single"/>
          <w:lang w:val="en-US"/>
        </w:rPr>
        <w:t>Scale 2</w:t>
      </w:r>
      <w:r w:rsidRPr="00537CCB">
        <w:rPr>
          <w:rFonts w:asciiTheme="minorHAnsi" w:eastAsia="MS PGothic" w:hAnsiTheme="minorHAnsi"/>
          <w:bCs/>
          <w:color w:val="000000"/>
          <w:sz w:val="22"/>
          <w:szCs w:val="22"/>
          <w:lang w:val="en-US"/>
        </w:rPr>
        <w:t xml:space="preserve">: in a batch reactor the effect of additives on crystal growth is difficult to study because of the supersaturation evolution. We propose to adapt the constant composition (constant supersaturation) method in a semi-batch reactor, to compare the effect of several additives (3). </w:t>
      </w:r>
      <w:r w:rsidRPr="00537CCB">
        <w:rPr>
          <w:rFonts w:asciiTheme="minorHAnsi" w:eastAsia="MS PGothic" w:hAnsiTheme="minorHAnsi"/>
          <w:bCs/>
          <w:color w:val="000000"/>
          <w:sz w:val="22"/>
          <w:szCs w:val="22"/>
          <w:lang w:val="en-US"/>
        </w:rPr>
        <w:lastRenderedPageBreak/>
        <w:t>This study provides insights on the mechanisms governing the inhibition CaCO</w:t>
      </w:r>
      <w:r w:rsidRPr="00F72C4F">
        <w:rPr>
          <w:rFonts w:asciiTheme="minorHAnsi" w:eastAsia="MS PGothic" w:hAnsiTheme="minorHAnsi"/>
          <w:bCs/>
          <w:color w:val="000000"/>
          <w:sz w:val="22"/>
          <w:szCs w:val="22"/>
          <w:vertAlign w:val="subscript"/>
          <w:lang w:val="en-US"/>
        </w:rPr>
        <w:t>3</w:t>
      </w:r>
      <w:r w:rsidRPr="00537CCB">
        <w:rPr>
          <w:rFonts w:asciiTheme="minorHAnsi" w:eastAsia="MS PGothic" w:hAnsiTheme="minorHAnsi"/>
          <w:bCs/>
          <w:color w:val="000000"/>
          <w:sz w:val="22"/>
          <w:szCs w:val="22"/>
          <w:lang w:val="en-US"/>
        </w:rPr>
        <w:t xml:space="preserve"> crystallization at local scale, and enable to benchmark several additives.</w:t>
      </w:r>
    </w:p>
    <w:p w:rsidR="002626FE" w:rsidRPr="00537CCB" w:rsidRDefault="00537CCB" w:rsidP="009425B4">
      <w:pPr>
        <w:snapToGrid w:val="0"/>
        <w:spacing w:line="300" w:lineRule="auto"/>
        <w:rPr>
          <w:rFonts w:asciiTheme="minorHAnsi" w:eastAsia="MS PGothic" w:hAnsiTheme="minorHAnsi"/>
          <w:bCs/>
          <w:color w:val="000000"/>
          <w:sz w:val="22"/>
          <w:szCs w:val="22"/>
          <w:lang w:val="en-US"/>
        </w:rPr>
      </w:pPr>
      <w:r w:rsidRPr="00581815">
        <w:rPr>
          <w:rFonts w:asciiTheme="minorHAnsi" w:eastAsia="MS PGothic" w:hAnsiTheme="minorHAnsi"/>
          <w:bCs/>
          <w:color w:val="000000"/>
          <w:sz w:val="22"/>
          <w:szCs w:val="22"/>
          <w:u w:val="single"/>
          <w:lang w:val="en-US"/>
        </w:rPr>
        <w:t>Scale 3</w:t>
      </w:r>
      <w:r w:rsidRPr="00537CCB">
        <w:rPr>
          <w:rFonts w:asciiTheme="minorHAnsi" w:eastAsia="MS PGothic" w:hAnsiTheme="minorHAnsi"/>
          <w:bCs/>
          <w:color w:val="000000"/>
          <w:sz w:val="22"/>
          <w:szCs w:val="22"/>
          <w:lang w:val="en-US"/>
        </w:rPr>
        <w:t>: transposition of the kinetics laws obtained are made at industrial scale with respect to changes in operating conditions. Observations at lab-scale allows to propose laws for governing mechanisms and explains the trends observed at pilot-plant scale.</w:t>
      </w:r>
    </w:p>
    <w:p w:rsidR="00537CCB" w:rsidRDefault="00704BDF" w:rsidP="00537CCB">
      <w:pPr>
        <w:snapToGrid w:val="0"/>
        <w:spacing w:before="240" w:line="300" w:lineRule="auto"/>
        <w:rPr>
          <w:rFonts w:asciiTheme="minorHAnsi" w:eastAsia="MS PGothic" w:hAnsiTheme="minorHAnsi" w:cstheme="minorHAnsi"/>
          <w:b/>
          <w:bCs/>
          <w:color w:val="000000"/>
          <w:sz w:val="20"/>
          <w:lang w:val="en-US"/>
        </w:rPr>
      </w:pPr>
      <w:r w:rsidRPr="00537CCB">
        <w:rPr>
          <w:rFonts w:asciiTheme="minorHAnsi" w:eastAsia="MS PGothic" w:hAnsiTheme="minorHAnsi" w:cstheme="minorHAnsi"/>
          <w:b/>
          <w:bCs/>
          <w:color w:val="000000"/>
          <w:sz w:val="20"/>
          <w:lang w:val="en-US"/>
        </w:rPr>
        <w:t xml:space="preserve">References </w:t>
      </w:r>
      <w:r w:rsidR="008D0BEB" w:rsidRPr="00537CCB">
        <w:rPr>
          <w:rFonts w:asciiTheme="minorHAnsi" w:eastAsia="MS PGothic" w:hAnsiTheme="minorHAnsi" w:cstheme="minorHAnsi"/>
          <w:b/>
          <w:bCs/>
          <w:color w:val="000000"/>
          <w:sz w:val="20"/>
          <w:lang w:val="en-US"/>
        </w:rPr>
        <w:t xml:space="preserve"> </w:t>
      </w:r>
    </w:p>
    <w:p w:rsidR="00537CCB" w:rsidRPr="00537CCB" w:rsidRDefault="00537CCB" w:rsidP="00537CCB">
      <w:pPr>
        <w:pStyle w:val="Paragrafoelenco"/>
        <w:numPr>
          <w:ilvl w:val="0"/>
          <w:numId w:val="19"/>
        </w:numPr>
        <w:snapToGrid w:val="0"/>
        <w:spacing w:before="240" w:line="300" w:lineRule="auto"/>
        <w:rPr>
          <w:rFonts w:asciiTheme="minorHAnsi" w:hAnsiTheme="minorHAnsi" w:cstheme="minorHAnsi"/>
          <w:i/>
          <w:sz w:val="20"/>
          <w:lang w:val="en-US"/>
        </w:rPr>
      </w:pPr>
      <w:r w:rsidRPr="00537CCB">
        <w:rPr>
          <w:rFonts w:asciiTheme="minorHAnsi" w:hAnsiTheme="minorHAnsi" w:cstheme="minorHAnsi"/>
          <w:i/>
          <w:sz w:val="20"/>
          <w:lang w:val="en-US"/>
        </w:rPr>
        <w:t>VITRY Y., TEYCHENE S, CHARTRON S., LAMADIE F., BISCANS B.</w:t>
      </w:r>
    </w:p>
    <w:p w:rsidR="00537CCB" w:rsidRDefault="00537CCB" w:rsidP="00537CCB">
      <w:pPr>
        <w:rPr>
          <w:rFonts w:asciiTheme="minorHAnsi" w:hAnsiTheme="minorHAnsi" w:cstheme="minorHAnsi"/>
          <w:i/>
          <w:sz w:val="20"/>
          <w:lang w:val="en-US"/>
        </w:rPr>
      </w:pPr>
      <w:r w:rsidRPr="00537CCB">
        <w:rPr>
          <w:rFonts w:asciiTheme="minorHAnsi" w:hAnsiTheme="minorHAnsi" w:cstheme="minorHAnsi"/>
          <w:i/>
          <w:sz w:val="20"/>
          <w:lang w:val="en-US"/>
        </w:rPr>
        <w:t>Investigation of a microfluidic approach to study very high nucleation rates involved in precipitation processes. Chem. Eng. Science, 2015,</w:t>
      </w:r>
      <w:r w:rsidR="00F72C4F">
        <w:rPr>
          <w:rFonts w:asciiTheme="minorHAnsi" w:hAnsiTheme="minorHAnsi" w:cstheme="minorHAnsi"/>
          <w:i/>
          <w:sz w:val="20"/>
          <w:lang w:val="en-US"/>
        </w:rPr>
        <w:t xml:space="preserve"> </w:t>
      </w:r>
      <w:r w:rsidRPr="00537CCB">
        <w:rPr>
          <w:rFonts w:asciiTheme="minorHAnsi" w:hAnsiTheme="minorHAnsi" w:cstheme="minorHAnsi"/>
          <w:i/>
          <w:sz w:val="20"/>
          <w:lang w:val="en-US"/>
        </w:rPr>
        <w:t>vol.133, pp. 54-61.</w:t>
      </w:r>
    </w:p>
    <w:p w:rsidR="00537CCB" w:rsidRPr="00537CCB" w:rsidRDefault="00537CCB" w:rsidP="00537CCB">
      <w:pPr>
        <w:pStyle w:val="Paragrafoelenco"/>
        <w:numPr>
          <w:ilvl w:val="0"/>
          <w:numId w:val="19"/>
        </w:numPr>
        <w:rPr>
          <w:rFonts w:asciiTheme="minorHAnsi" w:hAnsiTheme="minorHAnsi" w:cstheme="minorHAnsi"/>
          <w:i/>
          <w:sz w:val="20"/>
          <w:lang w:val="en-US"/>
        </w:rPr>
      </w:pPr>
      <w:r w:rsidRPr="00537CCB">
        <w:rPr>
          <w:rFonts w:asciiTheme="minorHAnsi" w:hAnsiTheme="minorHAnsi" w:cstheme="minorHAnsi"/>
          <w:i/>
          <w:sz w:val="20"/>
          <w:lang w:val="en-US"/>
        </w:rPr>
        <w:t>BOURGEOIS F., TEYCHENE S., BISCANS B.</w:t>
      </w:r>
    </w:p>
    <w:p w:rsidR="00537CCB" w:rsidRPr="00537CCB" w:rsidRDefault="00537CCB" w:rsidP="00537CCB">
      <w:pPr>
        <w:rPr>
          <w:rFonts w:asciiTheme="minorHAnsi" w:hAnsiTheme="minorHAnsi" w:cstheme="minorHAnsi"/>
          <w:i/>
          <w:sz w:val="20"/>
          <w:lang w:val="en-US"/>
        </w:rPr>
      </w:pPr>
      <w:r w:rsidRPr="00537CCB">
        <w:rPr>
          <w:rFonts w:asciiTheme="minorHAnsi" w:hAnsiTheme="minorHAnsi" w:cstheme="minorHAnsi"/>
          <w:i/>
          <w:sz w:val="20"/>
          <w:lang w:val="en-US"/>
        </w:rPr>
        <w:t>Applicability of probabilistic nucleation modelling for analysis of microfluidics data</w:t>
      </w:r>
    </w:p>
    <w:p w:rsidR="00537CCB" w:rsidRDefault="00537CCB" w:rsidP="00537CCB">
      <w:pPr>
        <w:rPr>
          <w:rFonts w:asciiTheme="minorHAnsi" w:hAnsiTheme="minorHAnsi" w:cstheme="minorHAnsi"/>
          <w:i/>
          <w:sz w:val="20"/>
          <w:lang w:val="en-US"/>
        </w:rPr>
      </w:pPr>
      <w:r w:rsidRPr="00537CCB">
        <w:rPr>
          <w:rFonts w:asciiTheme="minorHAnsi" w:hAnsiTheme="minorHAnsi" w:cstheme="minorHAnsi"/>
          <w:i/>
          <w:sz w:val="20"/>
          <w:lang w:val="en-US"/>
        </w:rPr>
        <w:t>KONA Powder and Particle Journal, 2018, n°35, pp. 258-272</w:t>
      </w:r>
    </w:p>
    <w:p w:rsidR="00537CCB" w:rsidRPr="00537CCB" w:rsidRDefault="00537CCB" w:rsidP="00537CCB">
      <w:pPr>
        <w:pStyle w:val="Paragrafoelenco"/>
        <w:numPr>
          <w:ilvl w:val="0"/>
          <w:numId w:val="19"/>
        </w:numPr>
        <w:rPr>
          <w:rFonts w:asciiTheme="minorHAnsi" w:hAnsiTheme="minorHAnsi" w:cstheme="minorHAnsi"/>
          <w:i/>
          <w:sz w:val="20"/>
          <w:lang w:val="en-US"/>
        </w:rPr>
      </w:pPr>
      <w:r w:rsidRPr="00537CCB">
        <w:rPr>
          <w:rFonts w:asciiTheme="minorHAnsi" w:hAnsiTheme="minorHAnsi" w:cstheme="minorHAnsi"/>
          <w:i/>
          <w:sz w:val="20"/>
          <w:lang w:val="en-US"/>
        </w:rPr>
        <w:t xml:space="preserve">CHHIM N., KHARBACHI C., NEVEUX T., BOUTELEUX C., TEYCHENE S., BISCANS B.; </w:t>
      </w:r>
    </w:p>
    <w:p w:rsidR="00537CCB" w:rsidRPr="00537CCB" w:rsidRDefault="00537CCB" w:rsidP="00537CCB">
      <w:pPr>
        <w:rPr>
          <w:rFonts w:asciiTheme="minorHAnsi" w:hAnsiTheme="minorHAnsi" w:cstheme="minorHAnsi"/>
          <w:i/>
          <w:sz w:val="20"/>
          <w:lang w:val="en-US"/>
        </w:rPr>
      </w:pPr>
      <w:r w:rsidRPr="00537CCB">
        <w:rPr>
          <w:rFonts w:asciiTheme="minorHAnsi" w:hAnsiTheme="minorHAnsi" w:cstheme="minorHAnsi"/>
          <w:i/>
          <w:sz w:val="20"/>
          <w:lang w:val="en-US"/>
        </w:rPr>
        <w:t xml:space="preserve">Inhibition of calcium carbonate crystal growth by organic additives using the constant composition method. </w:t>
      </w:r>
    </w:p>
    <w:p w:rsidR="00537CCB" w:rsidRPr="00537CCB" w:rsidRDefault="00537CCB" w:rsidP="00537CCB">
      <w:pPr>
        <w:rPr>
          <w:rFonts w:asciiTheme="minorHAnsi" w:hAnsiTheme="minorHAnsi" w:cstheme="minorHAnsi"/>
          <w:i/>
          <w:sz w:val="20"/>
          <w:lang w:val="en-US"/>
        </w:rPr>
      </w:pPr>
      <w:r w:rsidRPr="00537CCB">
        <w:rPr>
          <w:rFonts w:asciiTheme="minorHAnsi" w:hAnsiTheme="minorHAnsi" w:cstheme="minorHAnsi"/>
          <w:i/>
          <w:sz w:val="20"/>
          <w:lang w:val="en-US"/>
        </w:rPr>
        <w:t>Journal of Crystal Growth, 2017, Vol. 472, pp. 35-45</w:t>
      </w:r>
    </w:p>
    <w:p w:rsidR="00704BDF" w:rsidRPr="00537CCB"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cstheme="minorHAnsi"/>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74" w:rsidRDefault="001D4E74" w:rsidP="004F5E36">
      <w:r>
        <w:separator/>
      </w:r>
    </w:p>
  </w:endnote>
  <w:endnote w:type="continuationSeparator" w:id="0">
    <w:p w:rsidR="001D4E74" w:rsidRDefault="001D4E7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74" w:rsidRDefault="001D4E74" w:rsidP="004F5E36">
      <w:r>
        <w:separator/>
      </w:r>
    </w:p>
  </w:footnote>
  <w:footnote w:type="continuationSeparator" w:id="0">
    <w:p w:rsidR="001D4E74" w:rsidRDefault="001D4E7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8"/>
  </w:num>
  <w:num w:numId="17">
    <w:abstractNumId w:val="10"/>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167D"/>
    <w:rsid w:val="000D34BE"/>
    <w:rsid w:val="000E36F1"/>
    <w:rsid w:val="000E3A73"/>
    <w:rsid w:val="000E414A"/>
    <w:rsid w:val="0013121F"/>
    <w:rsid w:val="00134DE4"/>
    <w:rsid w:val="00150E59"/>
    <w:rsid w:val="00184AD6"/>
    <w:rsid w:val="001B65C1"/>
    <w:rsid w:val="001C684B"/>
    <w:rsid w:val="001D4E74"/>
    <w:rsid w:val="001D53FC"/>
    <w:rsid w:val="001F2EC7"/>
    <w:rsid w:val="002065DB"/>
    <w:rsid w:val="002447EF"/>
    <w:rsid w:val="00251550"/>
    <w:rsid w:val="002626FE"/>
    <w:rsid w:val="0027221A"/>
    <w:rsid w:val="00275B61"/>
    <w:rsid w:val="002D1F12"/>
    <w:rsid w:val="003009B7"/>
    <w:rsid w:val="0030469C"/>
    <w:rsid w:val="00356395"/>
    <w:rsid w:val="003723D4"/>
    <w:rsid w:val="003A7D1C"/>
    <w:rsid w:val="003B61C3"/>
    <w:rsid w:val="0046164A"/>
    <w:rsid w:val="00462DCD"/>
    <w:rsid w:val="004D1162"/>
    <w:rsid w:val="004E4DD6"/>
    <w:rsid w:val="004F5E36"/>
    <w:rsid w:val="005119A5"/>
    <w:rsid w:val="005278B7"/>
    <w:rsid w:val="005346C8"/>
    <w:rsid w:val="00537CCB"/>
    <w:rsid w:val="00581815"/>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E4079"/>
    <w:rsid w:val="00704BDF"/>
    <w:rsid w:val="00736B13"/>
    <w:rsid w:val="007447F3"/>
    <w:rsid w:val="007661C8"/>
    <w:rsid w:val="007D52CD"/>
    <w:rsid w:val="00813288"/>
    <w:rsid w:val="008168FC"/>
    <w:rsid w:val="008479A2"/>
    <w:rsid w:val="0087637F"/>
    <w:rsid w:val="008A1512"/>
    <w:rsid w:val="008D0BEB"/>
    <w:rsid w:val="008E566E"/>
    <w:rsid w:val="00901EB6"/>
    <w:rsid w:val="009425B4"/>
    <w:rsid w:val="009450CE"/>
    <w:rsid w:val="0095164B"/>
    <w:rsid w:val="00996483"/>
    <w:rsid w:val="009E788A"/>
    <w:rsid w:val="00A05A15"/>
    <w:rsid w:val="00A1763D"/>
    <w:rsid w:val="00A17CEC"/>
    <w:rsid w:val="00A27EF0"/>
    <w:rsid w:val="00A6255A"/>
    <w:rsid w:val="00A76EFC"/>
    <w:rsid w:val="00A9626B"/>
    <w:rsid w:val="00A97F29"/>
    <w:rsid w:val="00AB0964"/>
    <w:rsid w:val="00AE377D"/>
    <w:rsid w:val="00B31173"/>
    <w:rsid w:val="00B61DBF"/>
    <w:rsid w:val="00BB6185"/>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01F0"/>
    <w:rsid w:val="00D84576"/>
    <w:rsid w:val="00DE0019"/>
    <w:rsid w:val="00DE264A"/>
    <w:rsid w:val="00E041E7"/>
    <w:rsid w:val="00E23CA1"/>
    <w:rsid w:val="00E409A8"/>
    <w:rsid w:val="00E7209D"/>
    <w:rsid w:val="00EA50E1"/>
    <w:rsid w:val="00EE0131"/>
    <w:rsid w:val="00F30C64"/>
    <w:rsid w:val="00F72C4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537CCB"/>
    <w:pPr>
      <w:tabs>
        <w:tab w:val="clear" w:pos="7100"/>
      </w:tabs>
      <w:spacing w:line="240" w:lineRule="auto"/>
      <w:ind w:left="720"/>
      <w:contextualSpacing/>
      <w:jc w:val="left"/>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160D-2B63-4460-91DA-83313325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0</DocSecurity>
  <Lines>22</Lines>
  <Paragraphs>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Dipartimento CMIC - Politecnico di Milano</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2019-08-01T08:55:00Z</dcterms:created>
  <dcterms:modified xsi:type="dcterms:W3CDTF">2019-08-01T08:55:00Z</dcterms:modified>
</cp:coreProperties>
</file>