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F7747" w14:textId="77777777" w:rsidR="000A03B2" w:rsidRPr="008450E9" w:rsidRDefault="000A03B2" w:rsidP="00704BDF">
      <w:pPr>
        <w:pStyle w:val="CETAuthors"/>
        <w:tabs>
          <w:tab w:val="clear" w:pos="7100"/>
          <w:tab w:val="right" w:pos="9070"/>
        </w:tabs>
        <w:rPr>
          <w:b/>
          <w:sz w:val="36"/>
          <w:szCs w:val="28"/>
          <w:lang w:val="en-US"/>
        </w:rPr>
        <w:sectPr w:rsidR="000A03B2" w:rsidRPr="008450E9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9581178" w14:textId="1FA8CDBB" w:rsidR="00D06EDE" w:rsidRPr="008450E9" w:rsidRDefault="00D06EDE" w:rsidP="00D06ED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50E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GASOLINE BLENDING </w:t>
      </w:r>
      <w:r w:rsidR="00A05AC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and</w:t>
      </w:r>
      <w:r w:rsidRPr="008450E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DISTRIBUTION </w:t>
      </w:r>
      <w:r w:rsidR="00A05AC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SCHEDULING </w:t>
      </w:r>
    </w:p>
    <w:p w14:paraId="15E5DCDF" w14:textId="77777777" w:rsidR="006506B4" w:rsidRPr="008450E9" w:rsidRDefault="006506B4" w:rsidP="006506B4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</w:pPr>
      <w:r w:rsidRPr="008450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Feleke </w:t>
      </w:r>
      <w:r w:rsidRPr="008450E9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Bayu,</w:t>
      </w:r>
      <w:r w:rsidRPr="008450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Debashish Panda, Munawar Shaik</w:t>
      </w:r>
      <w:r w:rsidRPr="008450E9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, Manojkumar</w:t>
      </w:r>
      <w:r w:rsidRPr="008450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50E9">
        <w:rPr>
          <w:rFonts w:asciiTheme="minorHAnsi" w:hAnsiTheme="minorHAnsi" w:cstheme="minorHAnsi"/>
          <w:color w:val="000000" w:themeColor="text1"/>
          <w:sz w:val="24"/>
          <w:szCs w:val="24"/>
        </w:rPr>
        <w:t>Ramteke</w:t>
      </w:r>
      <w:proofErr w:type="spellEnd"/>
    </w:p>
    <w:p w14:paraId="2E572577" w14:textId="77777777" w:rsidR="006506B4" w:rsidRPr="00A05AC2" w:rsidRDefault="006506B4" w:rsidP="006506B4">
      <w:pPr>
        <w:spacing w:line="360" w:lineRule="auto"/>
        <w:jc w:val="center"/>
        <w:rPr>
          <w:rFonts w:asciiTheme="minorHAnsi" w:hAnsiTheme="minorHAnsi" w:cstheme="minorHAnsi"/>
          <w:i/>
          <w:iCs/>
          <w:color w:val="000000" w:themeColor="text1"/>
          <w:sz w:val="20"/>
        </w:rPr>
      </w:pPr>
      <w:r w:rsidRPr="00A05AC2">
        <w:rPr>
          <w:rFonts w:asciiTheme="minorHAnsi" w:hAnsiTheme="minorHAnsi" w:cstheme="minorHAnsi"/>
          <w:i/>
          <w:iCs/>
          <w:color w:val="000000" w:themeColor="text1"/>
          <w:sz w:val="20"/>
        </w:rPr>
        <w:t>Department of Chemical Engineering,</w:t>
      </w:r>
    </w:p>
    <w:p w14:paraId="60450086" w14:textId="77777777" w:rsidR="006506B4" w:rsidRPr="00A05AC2" w:rsidRDefault="006506B4" w:rsidP="006506B4">
      <w:pPr>
        <w:spacing w:line="360" w:lineRule="auto"/>
        <w:jc w:val="center"/>
        <w:rPr>
          <w:rFonts w:asciiTheme="minorHAnsi" w:hAnsiTheme="minorHAnsi" w:cstheme="minorHAnsi"/>
          <w:i/>
          <w:iCs/>
          <w:color w:val="000000" w:themeColor="text1"/>
          <w:sz w:val="20"/>
        </w:rPr>
      </w:pPr>
      <w:r w:rsidRPr="00A05AC2">
        <w:rPr>
          <w:rFonts w:asciiTheme="minorHAnsi" w:hAnsiTheme="minorHAnsi" w:cstheme="minorHAnsi"/>
          <w:i/>
          <w:iCs/>
          <w:color w:val="000000" w:themeColor="text1"/>
          <w:sz w:val="20"/>
        </w:rPr>
        <w:t>Indian Institute of Technology Delhi, India</w:t>
      </w:r>
    </w:p>
    <w:p w14:paraId="5231FAA8" w14:textId="77777777" w:rsidR="006506B4" w:rsidRPr="00A05AC2" w:rsidRDefault="006506B4" w:rsidP="006506B4">
      <w:pPr>
        <w:spacing w:line="360" w:lineRule="auto"/>
        <w:jc w:val="center"/>
        <w:rPr>
          <w:rFonts w:asciiTheme="minorHAnsi" w:hAnsiTheme="minorHAnsi" w:cstheme="minorHAnsi"/>
          <w:i/>
          <w:iCs/>
          <w:color w:val="000000" w:themeColor="text1"/>
          <w:sz w:val="20"/>
        </w:rPr>
      </w:pPr>
      <w:r w:rsidRPr="00A05AC2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E-mail: </w:t>
      </w:r>
      <w:hyperlink r:id="rId10" w:history="1">
        <w:r w:rsidRPr="00A05AC2">
          <w:rPr>
            <w:rStyle w:val="Hyperlink"/>
            <w:rFonts w:asciiTheme="minorHAnsi" w:hAnsiTheme="minorHAnsi" w:cstheme="minorHAnsi"/>
            <w:i/>
            <w:iCs/>
            <w:color w:val="000000" w:themeColor="text1"/>
            <w:sz w:val="20"/>
            <w:u w:val="none"/>
          </w:rPr>
          <w:t>ramtekemanoj@gmail.com</w:t>
        </w:r>
      </w:hyperlink>
      <w:r w:rsidRPr="00A05AC2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, </w:t>
      </w:r>
      <w:hyperlink r:id="rId11" w:history="1">
        <w:r w:rsidRPr="00A05AC2">
          <w:rPr>
            <w:rStyle w:val="Hyperlink"/>
            <w:rFonts w:asciiTheme="minorHAnsi" w:hAnsiTheme="minorHAnsi" w:cstheme="minorHAnsi"/>
            <w:i/>
            <w:iCs/>
            <w:color w:val="000000" w:themeColor="text1"/>
            <w:sz w:val="20"/>
            <w:u w:val="none"/>
          </w:rPr>
          <w:t>mcramteke@chemical.iitd.ac.in</w:t>
        </w:r>
      </w:hyperlink>
    </w:p>
    <w:p w14:paraId="6269E109" w14:textId="77777777" w:rsidR="006506B4" w:rsidRPr="00A05AC2" w:rsidRDefault="006506B4" w:rsidP="006506B4">
      <w:pPr>
        <w:spacing w:line="360" w:lineRule="auto"/>
        <w:jc w:val="center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05AC2">
        <w:rPr>
          <w:rFonts w:asciiTheme="minorHAnsi" w:hAnsiTheme="minorHAnsi" w:cstheme="minorHAnsi"/>
          <w:i/>
          <w:iCs/>
          <w:color w:val="000000" w:themeColor="text1"/>
          <w:sz w:val="20"/>
        </w:rPr>
        <w:t>Tel No.: (91)-1126591026 (Office); Fax No: +91-1126581120</w:t>
      </w:r>
    </w:p>
    <w:p w14:paraId="260755DE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BE31D70" w14:textId="4673DE93" w:rsidR="008450E9" w:rsidRDefault="008450E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Graphical GA is used to minimize gasoline blending and distribution operating cost</w:t>
      </w:r>
    </w:p>
    <w:p w14:paraId="662E7A80" w14:textId="62B2F8CC" w:rsidR="00B7354E" w:rsidRDefault="00B7354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efficacy of the proposed model is checked by solving an industrial problem </w:t>
      </w:r>
    </w:p>
    <w:p w14:paraId="46018FB4" w14:textId="3AA1BE81" w:rsidR="008450E9" w:rsidRDefault="008450E9" w:rsidP="008450E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It gives about 1.</w:t>
      </w:r>
      <w:r w:rsidR="00B7354E">
        <w:rPr>
          <w:rFonts w:asciiTheme="minorHAnsi" w:hAnsiTheme="minorHAnsi"/>
        </w:rPr>
        <w:t>1</w:t>
      </w:r>
      <w:r>
        <w:rPr>
          <w:rFonts w:asciiTheme="minorHAnsi" w:hAnsiTheme="minorHAnsi"/>
        </w:rPr>
        <w:t>-million-</w:t>
      </w:r>
      <w:r w:rsidR="00B7354E">
        <w:rPr>
          <w:rFonts w:asciiTheme="minorHAnsi" w:hAnsiTheme="minorHAnsi"/>
        </w:rPr>
        <w:t>euro</w:t>
      </w:r>
      <w:r>
        <w:rPr>
          <w:rFonts w:asciiTheme="minorHAnsi" w:hAnsiTheme="minorHAnsi"/>
        </w:rPr>
        <w:t xml:space="preserve"> cost reduction compared to the benchmark reference</w:t>
      </w:r>
    </w:p>
    <w:p w14:paraId="4FCEBCAA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FBE32E4" w14:textId="37CCFAD5" w:rsidR="00DC7780" w:rsidRPr="00A05AC2" w:rsidRDefault="008450E9" w:rsidP="00A05AC2">
      <w:p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A05AC2">
        <w:rPr>
          <w:rFonts w:asciiTheme="minorHAnsi" w:hAnsiTheme="minorHAnsi"/>
          <w:sz w:val="22"/>
          <w:szCs w:val="22"/>
        </w:rPr>
        <w:t>Scheduling of gasoline blending and distribution scheduling (SGBD) is a process of allocating resources in the way the cost is minimized without compromising the quality and the demand</w:t>
      </w:r>
      <w:r w:rsidR="006D3E66" w:rsidRPr="00A05AC2">
        <w:rPr>
          <w:rFonts w:asciiTheme="minorHAnsi" w:hAnsiTheme="minorHAnsi"/>
          <w:sz w:val="22"/>
          <w:szCs w:val="22"/>
        </w:rPr>
        <w:t xml:space="preserve"> of the products</w:t>
      </w:r>
      <w:r w:rsidRPr="00A05AC2">
        <w:rPr>
          <w:rFonts w:asciiTheme="minorHAnsi" w:hAnsiTheme="minorHAnsi"/>
          <w:sz w:val="22"/>
          <w:szCs w:val="22"/>
        </w:rPr>
        <w:t xml:space="preserve">. </w:t>
      </w:r>
      <w:r w:rsidR="00DC778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>Gasoline accounts about 43% of the total crude oil products.</w:t>
      </w:r>
      <w:r w:rsidR="006D3E66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DC778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According to the </w:t>
      </w:r>
      <w:r w:rsid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>‘</w:t>
      </w:r>
      <w:r w:rsidR="00DC778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>International Energy Agency’s (IEA)</w:t>
      </w:r>
      <w:r w:rsidR="00A05AC2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DC778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>New Policies Scenario</w:t>
      </w:r>
      <w:r w:rsid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>’</w:t>
      </w:r>
      <w:r w:rsidR="00DC778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[1] </w:t>
      </w:r>
      <w:r w:rsidR="00DC778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>estimates</w:t>
      </w:r>
      <w:r w:rsidR="006D3E66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r w:rsidR="00DC778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>the total crude oil demand will increase from 95 Mb/d to 115 Mb/d between the year 2016 and 2040</w:t>
      </w:r>
      <w:r w:rsidR="006D3E66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. Although </w:t>
      </w:r>
      <w:r w:rsidR="005F3DE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the usage of </w:t>
      </w:r>
      <w:r w:rsidR="006D3E66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renewable energy sources is significantly increasing, </w:t>
      </w:r>
      <w:r w:rsidR="00874426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for the next two decades, </w:t>
      </w:r>
      <w:r w:rsidR="00DC778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>Crude oil</w:t>
      </w:r>
      <w:r w:rsidR="006D3E66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will remain the main energy source, particularly for transportation. </w:t>
      </w:r>
      <w:r w:rsidR="00874426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>Therefore, optimizing</w:t>
      </w:r>
      <w:r w:rsidR="005F3DE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874426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gasoline blending process </w:t>
      </w:r>
      <w:r w:rsidR="00F3035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>enables to</w:t>
      </w:r>
      <w:r w:rsidR="00874426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boost </w:t>
      </w:r>
      <w:r w:rsidR="00F3035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the </w:t>
      </w:r>
      <w:r w:rsidR="00874426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profitability and productivity </w:t>
      </w:r>
      <w:r w:rsidR="00F3035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of crude oil refinery plants </w:t>
      </w:r>
      <w:r w:rsidR="005F3DE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which </w:t>
      </w:r>
      <w:r w:rsidR="00F30350" w:rsidRPr="00A05AC2">
        <w:rPr>
          <w:rFonts w:asciiTheme="minorHAnsi" w:hAnsiTheme="minorHAnsi"/>
          <w:color w:val="000000" w:themeColor="text1"/>
          <w:sz w:val="22"/>
          <w:szCs w:val="22"/>
          <w:lang w:val="en-US"/>
        </w:rPr>
        <w:t>intern reduces the environmental load.</w:t>
      </w:r>
    </w:p>
    <w:p w14:paraId="1D8CDC82" w14:textId="781A34E3" w:rsidR="005F3DE0" w:rsidRPr="00A05AC2" w:rsidRDefault="005F3DE0" w:rsidP="005F3DE0">
      <w:pPr>
        <w:spacing w:line="360" w:lineRule="auto"/>
        <w:ind w:firstLine="357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05AC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Gasoline blending involves combining the refining intermediate products in a way that gasoline yield becomes maximized since gasoline has a high-</w:t>
      </w:r>
      <w:r w:rsidRPr="00A05AC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profit</w:t>
      </w:r>
      <w:r w:rsidRPr="00A05AC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m</w:t>
      </w:r>
      <w:r w:rsidRPr="00A05AC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argin</w:t>
      </w:r>
      <w:r w:rsidRPr="00A05AC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compared to the other products. In the meantime, maintaining gasoline property indices such as </w:t>
      </w:r>
      <w:r w:rsidRPr="00A05AC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octane number (ON), Reid vapour pressure (RVP), anti-nocking and stability specifications, sulphur content, ASTM distillation point and flash point</w:t>
      </w:r>
      <w:r w:rsidRPr="00A05AC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come together. </w:t>
      </w:r>
    </w:p>
    <w:p w14:paraId="383D0E36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2C99EC5" w14:textId="095E092A" w:rsidR="005F3DE0" w:rsidRPr="00B7354E" w:rsidRDefault="005F3DE0" w:rsidP="005F3DE0">
      <w:pPr>
        <w:snapToGrid w:val="0"/>
        <w:spacing w:after="120"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B7354E">
        <w:rPr>
          <w:rFonts w:asciiTheme="minorHAnsi" w:hAnsiTheme="minorHAnsi" w:cstheme="minorHAnsi"/>
          <w:noProof/>
          <w:sz w:val="22"/>
          <w:szCs w:val="22"/>
        </w:rPr>
        <w:t>A g</w:t>
      </w:r>
      <w:r w:rsidRPr="00B7354E">
        <w:rPr>
          <w:rFonts w:asciiTheme="minorHAnsi" w:hAnsiTheme="minorHAnsi" w:cstheme="minorHAnsi"/>
          <w:noProof/>
          <w:sz w:val="22"/>
          <w:szCs w:val="22"/>
        </w:rPr>
        <w:t>raphical genetic algorithm</w:t>
      </w:r>
      <w:r w:rsidRPr="00B7354E">
        <w:rPr>
          <w:rFonts w:asciiTheme="minorHAnsi" w:hAnsiTheme="minorHAnsi" w:cstheme="minorHAnsi"/>
          <w:noProof/>
          <w:sz w:val="22"/>
          <w:szCs w:val="22"/>
        </w:rPr>
        <w:t xml:space="preserve"> (GGA)</w:t>
      </w:r>
      <w:r w:rsidRPr="00B7354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7354E">
        <w:rPr>
          <w:rFonts w:asciiTheme="minorHAnsi" w:hAnsiTheme="minorHAnsi" w:cstheme="minorHAnsi"/>
          <w:noProof/>
          <w:sz w:val="22"/>
          <w:szCs w:val="22"/>
        </w:rPr>
        <w:t>which has a sparse representation compared to the conventional GA</w:t>
      </w:r>
      <w:r w:rsidR="00B7354E">
        <w:rPr>
          <w:rFonts w:asciiTheme="minorHAnsi" w:hAnsiTheme="minorHAnsi" w:cstheme="minorHAnsi"/>
          <w:noProof/>
          <w:sz w:val="22"/>
          <w:szCs w:val="22"/>
        </w:rPr>
        <w:t xml:space="preserve"> (CGA)</w:t>
      </w:r>
      <w:r w:rsidRPr="00B7354E">
        <w:rPr>
          <w:rFonts w:asciiTheme="minorHAnsi" w:hAnsiTheme="minorHAnsi" w:cstheme="minorHAnsi"/>
          <w:noProof/>
          <w:sz w:val="22"/>
          <w:szCs w:val="22"/>
        </w:rPr>
        <w:t xml:space="preserve"> is used to optimize gasoline blending and distribution process. GGA uses a graphical representation where the material flow is represented by the arrow (edge) and processing units or orders by the box. Here, a discrete time-based (period-wise) model is developed. For each period, unlike </w:t>
      </w:r>
      <w:r w:rsidR="00B7354E">
        <w:rPr>
          <w:rFonts w:asciiTheme="minorHAnsi" w:hAnsiTheme="minorHAnsi" w:cstheme="minorHAnsi"/>
          <w:noProof/>
          <w:sz w:val="22"/>
          <w:szCs w:val="22"/>
        </w:rPr>
        <w:t>C</w:t>
      </w:r>
      <w:r w:rsidRPr="00B7354E">
        <w:rPr>
          <w:rFonts w:asciiTheme="minorHAnsi" w:hAnsiTheme="minorHAnsi" w:cstheme="minorHAnsi"/>
          <w:noProof/>
          <w:sz w:val="22"/>
          <w:szCs w:val="22"/>
        </w:rPr>
        <w:t xml:space="preserve">GA,  in the chromosome structure, GGA considers only the feasible edges which </w:t>
      </w:r>
      <w:r w:rsidRPr="00B7354E">
        <w:rPr>
          <w:rFonts w:asciiTheme="minorHAnsi" w:hAnsiTheme="minorHAnsi" w:cstheme="minorHAnsi"/>
          <w:noProof/>
          <w:sz w:val="22"/>
          <w:szCs w:val="22"/>
        </w:rPr>
        <w:lastRenderedPageBreak/>
        <w:t xml:space="preserve">leads to a tremendous chromosome size reduction. Moreover, it executes genetic operation (crossover and mutation) using a graphical method. During decoding as well as after a genetic operation, the correction will be performed whenever there is constraint violation. Other than the aforementioned differences it follows the same procedure with the conventional NSGA_II.   </w:t>
      </w:r>
    </w:p>
    <w:p w14:paraId="36F77105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7037B0E4" w14:textId="7E9EAF38" w:rsidR="00B7354E" w:rsidRDefault="00B7354E" w:rsidP="00A05AC2">
      <w:pPr>
        <w:snapToGrid w:val="0"/>
        <w:spacing w:after="120" w:line="36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the proposed model, an industrial problem is solved. The result is shown in the table </w:t>
      </w:r>
      <w:r w:rsidR="00A05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As shown in the table, compared to the CGA there is a significant variable and constraint size reduction for GGA which will enable it to solve complex industrial problems. At the same time, it has around 5 % of production cost reduction compared to the benchmark reference which is a mathematical </w:t>
      </w:r>
      <w:r w:rsidR="00A05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programming-based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model. </w:t>
      </w:r>
    </w:p>
    <w:p w14:paraId="4EF26BA0" w14:textId="3EA40F4B" w:rsidR="00A05AC2" w:rsidRPr="00A05AC2" w:rsidRDefault="00A05AC2" w:rsidP="00A05AC2">
      <w:pPr>
        <w:snapToGrid w:val="0"/>
        <w:spacing w:after="120" w:line="360" w:lineRule="auto"/>
        <w:rPr>
          <w:rFonts w:asciiTheme="minorHAnsi" w:eastAsia="MS PGothic" w:hAnsiTheme="minorHAnsi"/>
          <w:color w:val="000000"/>
          <w:szCs w:val="18"/>
          <w:lang w:val="en-US"/>
        </w:rPr>
      </w:pPr>
      <w:r w:rsidRPr="00A05AC2">
        <w:rPr>
          <w:rFonts w:asciiTheme="minorHAnsi" w:eastAsia="MS PGothic" w:hAnsiTheme="minorHAnsi"/>
          <w:color w:val="000000"/>
          <w:szCs w:val="18"/>
          <w:lang w:val="en-US"/>
        </w:rPr>
        <w:t xml:space="preserve">Table 1: </w:t>
      </w:r>
      <w:r w:rsidR="009F136E">
        <w:rPr>
          <w:rFonts w:asciiTheme="minorHAnsi" w:eastAsia="MS PGothic" w:hAnsiTheme="minorHAnsi"/>
          <w:color w:val="000000"/>
          <w:szCs w:val="18"/>
          <w:lang w:val="en-US"/>
        </w:rPr>
        <w:t>Model</w:t>
      </w:r>
      <w:bookmarkStart w:id="0" w:name="_GoBack"/>
      <w:bookmarkEnd w:id="0"/>
      <w:r w:rsidRPr="00A05AC2">
        <w:rPr>
          <w:rFonts w:asciiTheme="minorHAnsi" w:eastAsia="MS PGothic" w:hAnsiTheme="minorHAnsi"/>
          <w:color w:val="000000"/>
          <w:szCs w:val="18"/>
          <w:lang w:val="en-US"/>
        </w:rPr>
        <w:t xml:space="preserve"> statistics </w:t>
      </w:r>
    </w:p>
    <w:tbl>
      <w:tblPr>
        <w:tblStyle w:val="TableGrid"/>
        <w:tblW w:w="4915" w:type="pct"/>
        <w:tblLook w:val="04A0" w:firstRow="1" w:lastRow="0" w:firstColumn="1" w:lastColumn="0" w:noHBand="0" w:noVBand="1"/>
      </w:tblPr>
      <w:tblGrid>
        <w:gridCol w:w="2084"/>
        <w:gridCol w:w="1233"/>
        <w:gridCol w:w="1638"/>
        <w:gridCol w:w="1125"/>
        <w:gridCol w:w="1449"/>
        <w:gridCol w:w="1099"/>
      </w:tblGrid>
      <w:tr w:rsidR="00B7354E" w:rsidRPr="00A05AC2" w14:paraId="4318575C" w14:textId="77777777" w:rsidTr="00A05AC2">
        <w:trPr>
          <w:trHeight w:val="419"/>
        </w:trPr>
        <w:tc>
          <w:tcPr>
            <w:tcW w:w="1230" w:type="pct"/>
          </w:tcPr>
          <w:p w14:paraId="031980CB" w14:textId="77777777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Number of Variables</w:t>
            </w:r>
          </w:p>
        </w:tc>
        <w:tc>
          <w:tcPr>
            <w:tcW w:w="2248" w:type="pct"/>
            <w:gridSpan w:val="3"/>
          </w:tcPr>
          <w:p w14:paraId="046EA6F2" w14:textId="77777777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Number of</w:t>
            </w:r>
          </w:p>
        </w:tc>
        <w:tc>
          <w:tcPr>
            <w:tcW w:w="1522" w:type="pct"/>
            <w:gridSpan w:val="2"/>
          </w:tcPr>
          <w:p w14:paraId="24073210" w14:textId="5B890E47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Costs (k</w:t>
            </w:r>
            <w:r w:rsidRPr="00A05AC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€</w:t>
            </w: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7354E" w:rsidRPr="00A05AC2" w14:paraId="5CE7D4A1" w14:textId="77777777" w:rsidTr="00A05AC2">
        <w:trPr>
          <w:trHeight w:val="737"/>
        </w:trPr>
        <w:tc>
          <w:tcPr>
            <w:tcW w:w="1230" w:type="pct"/>
          </w:tcPr>
          <w:p w14:paraId="1706FDF9" w14:textId="67A8E004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% Reduction over CGA</w:t>
            </w:r>
          </w:p>
        </w:tc>
        <w:tc>
          <w:tcPr>
            <w:tcW w:w="626" w:type="pct"/>
          </w:tcPr>
          <w:p w14:paraId="0249E9CA" w14:textId="77777777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Constraints for CGA</w:t>
            </w:r>
          </w:p>
        </w:tc>
        <w:tc>
          <w:tcPr>
            <w:tcW w:w="971" w:type="pct"/>
          </w:tcPr>
          <w:p w14:paraId="689AA3ED" w14:textId="11602681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Penalty function for</w:t>
            </w: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 xml:space="preserve"> GGA</w:t>
            </w:r>
          </w:p>
        </w:tc>
        <w:tc>
          <w:tcPr>
            <w:tcW w:w="652" w:type="pct"/>
          </w:tcPr>
          <w:p w14:paraId="0F8FA820" w14:textId="77777777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% Reduction</w:t>
            </w:r>
          </w:p>
        </w:tc>
        <w:tc>
          <w:tcPr>
            <w:tcW w:w="862" w:type="pct"/>
          </w:tcPr>
          <w:p w14:paraId="153182C2" w14:textId="2259A88B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Cerda et al</w:t>
            </w: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 xml:space="preserve"> [2]</w:t>
            </w:r>
          </w:p>
        </w:tc>
        <w:tc>
          <w:tcPr>
            <w:tcW w:w="660" w:type="pct"/>
          </w:tcPr>
          <w:p w14:paraId="2772099F" w14:textId="3DCEF349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Proposed GGA</w:t>
            </w:r>
          </w:p>
        </w:tc>
      </w:tr>
      <w:tr w:rsidR="00B7354E" w:rsidRPr="00A05AC2" w14:paraId="4F7CD342" w14:textId="77777777" w:rsidTr="00A05AC2">
        <w:trPr>
          <w:trHeight w:val="404"/>
        </w:trPr>
        <w:tc>
          <w:tcPr>
            <w:tcW w:w="1230" w:type="pct"/>
          </w:tcPr>
          <w:p w14:paraId="55D0F235" w14:textId="7FE65606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87</w:t>
            </w:r>
          </w:p>
        </w:tc>
        <w:tc>
          <w:tcPr>
            <w:tcW w:w="626" w:type="pct"/>
          </w:tcPr>
          <w:p w14:paraId="4BE8B82A" w14:textId="77777777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11541</w:t>
            </w:r>
          </w:p>
        </w:tc>
        <w:tc>
          <w:tcPr>
            <w:tcW w:w="971" w:type="pct"/>
          </w:tcPr>
          <w:p w14:paraId="39EE0617" w14:textId="77777777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309</w:t>
            </w:r>
          </w:p>
        </w:tc>
        <w:tc>
          <w:tcPr>
            <w:tcW w:w="652" w:type="pct"/>
          </w:tcPr>
          <w:p w14:paraId="7B6C6A3B" w14:textId="774D42DE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97</w:t>
            </w:r>
          </w:p>
        </w:tc>
        <w:tc>
          <w:tcPr>
            <w:tcW w:w="862" w:type="pct"/>
          </w:tcPr>
          <w:p w14:paraId="09345D63" w14:textId="5A8F8B1C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18517.24</w:t>
            </w:r>
          </w:p>
        </w:tc>
        <w:tc>
          <w:tcPr>
            <w:tcW w:w="660" w:type="pct"/>
          </w:tcPr>
          <w:p w14:paraId="38EF4D7F" w14:textId="69FBC975" w:rsidR="00B7354E" w:rsidRPr="00A05AC2" w:rsidRDefault="00B7354E" w:rsidP="000B235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5AC2">
              <w:rPr>
                <w:rFonts w:asciiTheme="minorHAnsi" w:hAnsiTheme="minorHAnsi" w:cstheme="minorHAnsi"/>
                <w:sz w:val="22"/>
                <w:szCs w:val="22"/>
              </w:rPr>
              <w:t>17413.85</w:t>
            </w:r>
          </w:p>
        </w:tc>
      </w:tr>
    </w:tbl>
    <w:p w14:paraId="23832F0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AB05E4F" w14:textId="3BF144C6" w:rsidR="00704BDF" w:rsidRDefault="00B7354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proposed model is more compact and has a  better computational efficiency compared to the CGA and it also gives a better economic benefit relative to the benchmark reference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 w:fldLock="1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CSL_CITATION {"citationItems":[{"id":"ITEM-1","itemData":{"DOI":"10.1002/aic","author":[{"dropping-particle":"","family":"Cerd","given":"Jaime","non-dropping-particle":"","parse-names":false,"suffix":""},{"dropping-particle":"","family":"Pautasso","given":"Pedro C","non-dropping-particle":"","parse-names":false,"suffix":""},{"dropping-particle":"","family":"Cafaro","given":"Diego C","non-dropping-particle":"","parse-names":false,"suffix":""},{"dropping-particle":"","family":"Conicet","given":"Intec U N L","non-dropping-particle":"","parse-names":false,"suffix":""}],"container-title":"AIChE Journal","id":"ITEM-1","issue":"9","issued":{"date-parts":[["2016"]]},"title":"A Cost-effective model for the gasoline blend optimization problem","type":"article-journal","volume":"62"},"uris":["http://www.mendeley.com/documents/?uuid=b1260b58-10f2-450e-8d84-8d2baa1a3f2b"]}],"mendeley":{"formattedCitation":"[2]","plainTextFormattedCitation":"[2]","previouslyFormattedCitation":"[2]"},"properties":{"noteIndex":0},"schema":"https://github.com/citation-style-language/schema/raw/master/csl-citation.json"}</w:instrTex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Pr="00B7354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[2]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191E1C42" w14:textId="0AC280B7" w:rsidR="00B7354E" w:rsidRPr="00B7354E" w:rsidRDefault="00B7354E" w:rsidP="00B7354E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Calibri" w:hAnsi="Calibri" w:cs="Calibri"/>
          <w:noProof/>
          <w:sz w:val="20"/>
          <w:szCs w:val="22"/>
        </w:rPr>
      </w:pPr>
      <w:r w:rsidRPr="00B7354E">
        <w:rPr>
          <w:rFonts w:asciiTheme="minorHAnsi" w:eastAsia="MS PGothic" w:hAnsiTheme="minorHAnsi"/>
          <w:color w:val="000000"/>
          <w:sz w:val="20"/>
          <w:lang w:val="en-US"/>
        </w:rPr>
        <w:fldChar w:fldCharType="begin" w:fldLock="1"/>
      </w:r>
      <w:r w:rsidRPr="00B7354E">
        <w:rPr>
          <w:rFonts w:asciiTheme="minorHAnsi" w:eastAsia="MS PGothic" w:hAnsiTheme="minorHAnsi"/>
          <w:color w:val="000000"/>
          <w:sz w:val="20"/>
          <w:lang w:val="en-US"/>
        </w:rPr>
        <w:instrText xml:space="preserve">ADDIN Mendeley Bibliography CSL_BIBLIOGRAPHY </w:instrText>
      </w:r>
      <w:r w:rsidRPr="00B7354E">
        <w:rPr>
          <w:rFonts w:asciiTheme="minorHAnsi" w:eastAsia="MS PGothic" w:hAnsiTheme="minorHAnsi"/>
          <w:color w:val="000000"/>
          <w:sz w:val="20"/>
          <w:lang w:val="en-US"/>
        </w:rPr>
        <w:fldChar w:fldCharType="separate"/>
      </w:r>
      <w:r w:rsidRPr="00B7354E">
        <w:rPr>
          <w:rFonts w:ascii="Calibri" w:hAnsi="Calibri" w:cs="Calibri"/>
          <w:noProof/>
          <w:sz w:val="20"/>
          <w:szCs w:val="22"/>
        </w:rPr>
        <w:t>[1]</w:t>
      </w:r>
      <w:r w:rsidRPr="00B7354E">
        <w:rPr>
          <w:rFonts w:ascii="Calibri" w:hAnsi="Calibri" w:cs="Calibri"/>
          <w:noProof/>
          <w:sz w:val="20"/>
          <w:szCs w:val="22"/>
        </w:rPr>
        <w:tab/>
        <w:t xml:space="preserve">E. W. Rocha, P. Huet, and G. M. Mohatarem, The 2040 Economy: Long-term growth determinants, in </w:t>
      </w:r>
      <w:r w:rsidRPr="00B7354E">
        <w:rPr>
          <w:rFonts w:ascii="Calibri" w:hAnsi="Calibri" w:cs="Calibri"/>
          <w:i/>
          <w:iCs/>
          <w:noProof/>
          <w:sz w:val="20"/>
          <w:szCs w:val="22"/>
        </w:rPr>
        <w:t>Global Economics &amp; Country Risk Conference</w:t>
      </w:r>
      <w:r w:rsidRPr="00B7354E">
        <w:rPr>
          <w:rFonts w:ascii="Calibri" w:hAnsi="Calibri" w:cs="Calibri"/>
          <w:noProof/>
          <w:sz w:val="20"/>
          <w:szCs w:val="22"/>
        </w:rPr>
        <w:t>, 2014.</w:t>
      </w:r>
    </w:p>
    <w:p w14:paraId="332ECB8C" w14:textId="770E5D43" w:rsidR="00B7354E" w:rsidRPr="00B7354E" w:rsidRDefault="00B7354E" w:rsidP="00B7354E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Calibri" w:hAnsi="Calibri" w:cs="Calibri"/>
          <w:noProof/>
          <w:sz w:val="20"/>
          <w:szCs w:val="18"/>
        </w:rPr>
      </w:pPr>
      <w:r w:rsidRPr="00B7354E">
        <w:rPr>
          <w:rFonts w:ascii="Calibri" w:hAnsi="Calibri" w:cs="Calibri"/>
          <w:noProof/>
          <w:sz w:val="20"/>
          <w:szCs w:val="22"/>
        </w:rPr>
        <w:t>[2]</w:t>
      </w:r>
      <w:r w:rsidRPr="00B7354E">
        <w:rPr>
          <w:rFonts w:ascii="Calibri" w:hAnsi="Calibri" w:cs="Calibri"/>
          <w:noProof/>
          <w:sz w:val="20"/>
          <w:szCs w:val="22"/>
        </w:rPr>
        <w:tab/>
        <w:t xml:space="preserve">J. Cerd, P. C. Pautasso, D. C. Cafaro, and I. U. N. L. Conicet, A Cost-effective model for the gasoline blend optimization problem, </w:t>
      </w:r>
      <w:r w:rsidRPr="00B7354E">
        <w:rPr>
          <w:rFonts w:ascii="Calibri" w:hAnsi="Calibri" w:cs="Calibri"/>
          <w:i/>
          <w:iCs/>
          <w:noProof/>
          <w:sz w:val="20"/>
          <w:szCs w:val="22"/>
        </w:rPr>
        <w:t>AIChE J.</w:t>
      </w:r>
      <w:r w:rsidRPr="00B7354E">
        <w:rPr>
          <w:rFonts w:ascii="Calibri" w:hAnsi="Calibri" w:cs="Calibri"/>
          <w:noProof/>
          <w:sz w:val="20"/>
          <w:szCs w:val="22"/>
        </w:rPr>
        <w:t>, vol. 62, no. 9, 2016.</w:t>
      </w:r>
    </w:p>
    <w:p w14:paraId="056427EA" w14:textId="539C27E2" w:rsidR="00704BDF" w:rsidRPr="00DE0019" w:rsidRDefault="00B7354E" w:rsidP="00A05AC2">
      <w:pPr>
        <w:snapToGrid w:val="0"/>
        <w:spacing w:after="120"/>
        <w:rPr>
          <w:rFonts w:asciiTheme="minorHAnsi" w:eastAsia="SimSun" w:hAnsiTheme="minorHAnsi"/>
          <w:sz w:val="22"/>
          <w:szCs w:val="22"/>
          <w:lang w:eastAsia="zh-CN"/>
        </w:rPr>
      </w:pPr>
      <w:r w:rsidRPr="00B7354E">
        <w:rPr>
          <w:rFonts w:asciiTheme="minorHAnsi" w:eastAsia="MS PGothic" w:hAnsiTheme="minorHAnsi"/>
          <w:color w:val="000000"/>
          <w:sz w:val="20"/>
          <w:lang w:val="en-US"/>
        </w:rPr>
        <w:fldChar w:fldCharType="end"/>
      </w:r>
    </w:p>
    <w:p w14:paraId="6E5BEA63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73BC283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AA200D2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4063AFA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E1155A0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A0E9592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C8CCF97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104ADA0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B857778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A44EDBE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1616B61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0C91B" w14:textId="77777777" w:rsidR="00762DCD" w:rsidRDefault="00762DCD" w:rsidP="004F5E36">
      <w:r>
        <w:separator/>
      </w:r>
    </w:p>
  </w:endnote>
  <w:endnote w:type="continuationSeparator" w:id="0">
    <w:p w14:paraId="5E1522E7" w14:textId="77777777" w:rsidR="00762DCD" w:rsidRDefault="00762DC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1EB35" w14:textId="77777777" w:rsidR="00762DCD" w:rsidRDefault="00762DCD" w:rsidP="004F5E36">
      <w:r>
        <w:separator/>
      </w:r>
    </w:p>
  </w:footnote>
  <w:footnote w:type="continuationSeparator" w:id="0">
    <w:p w14:paraId="66587370" w14:textId="77777777" w:rsidR="00762DCD" w:rsidRDefault="00762DC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F42DF" w14:textId="77777777" w:rsidR="008450E9" w:rsidRDefault="008450E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E04080" wp14:editId="0617365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38D2251" wp14:editId="186A4E6D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6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2416" w14:textId="77777777" w:rsidR="008450E9" w:rsidRPr="00DE0019" w:rsidRDefault="008450E9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14F6CA3" wp14:editId="1F07762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7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25164A05" w14:textId="77777777" w:rsidR="008450E9" w:rsidRDefault="008450E9">
    <w:pPr>
      <w:pStyle w:val="Header"/>
    </w:pPr>
  </w:p>
  <w:p w14:paraId="63225631" w14:textId="77777777" w:rsidR="008450E9" w:rsidRDefault="008450E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D1800" wp14:editId="349EA3A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zMDIxtTCwMDcztDRX0lEKTi0uzszPAykwqgUAaEqvnCwAAAA="/>
  </w:docVars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5F3DE0"/>
    <w:rsid w:val="00620DEE"/>
    <w:rsid w:val="00625639"/>
    <w:rsid w:val="0064184D"/>
    <w:rsid w:val="006506B4"/>
    <w:rsid w:val="00660E3E"/>
    <w:rsid w:val="00662E74"/>
    <w:rsid w:val="006A58D2"/>
    <w:rsid w:val="006C5579"/>
    <w:rsid w:val="006D3E66"/>
    <w:rsid w:val="00704BDF"/>
    <w:rsid w:val="00736B13"/>
    <w:rsid w:val="007447F3"/>
    <w:rsid w:val="00762DCD"/>
    <w:rsid w:val="007661C8"/>
    <w:rsid w:val="007D52CD"/>
    <w:rsid w:val="00813288"/>
    <w:rsid w:val="008168FC"/>
    <w:rsid w:val="008450E9"/>
    <w:rsid w:val="008479A2"/>
    <w:rsid w:val="00874426"/>
    <w:rsid w:val="0087637F"/>
    <w:rsid w:val="008A1512"/>
    <w:rsid w:val="008D0BEB"/>
    <w:rsid w:val="008E566E"/>
    <w:rsid w:val="00901EB6"/>
    <w:rsid w:val="009450CE"/>
    <w:rsid w:val="0095164B"/>
    <w:rsid w:val="00996483"/>
    <w:rsid w:val="009C050D"/>
    <w:rsid w:val="009E788A"/>
    <w:rsid w:val="009F136E"/>
    <w:rsid w:val="00A05AC2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7354E"/>
    <w:rsid w:val="00BB7ED9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06EDE"/>
    <w:rsid w:val="00D84576"/>
    <w:rsid w:val="00DC7780"/>
    <w:rsid w:val="00DE0019"/>
    <w:rsid w:val="00DE264A"/>
    <w:rsid w:val="00E041E7"/>
    <w:rsid w:val="00E23CA1"/>
    <w:rsid w:val="00E409A8"/>
    <w:rsid w:val="00E7209D"/>
    <w:rsid w:val="00EA50E1"/>
    <w:rsid w:val="00EE0131"/>
    <w:rsid w:val="00F30350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1B8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6506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84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ramteke@chemical.iitd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mtekemanoj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823B-9FF4-459B-AE32-906007A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Feleke Bayu Bati</cp:lastModifiedBy>
  <cp:revision>6</cp:revision>
  <cp:lastPrinted>2015-05-12T18:31:00Z</cp:lastPrinted>
  <dcterms:created xsi:type="dcterms:W3CDTF">2019-06-22T06:21:00Z</dcterms:created>
  <dcterms:modified xsi:type="dcterms:W3CDTF">2019-06-22T07:40:00Z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http://www.zotero.org/styles/chemical-engineering-research-and-design</vt:lpwstr>
  </property>
  <property fmtid="{D5CDD505-2E9C-101B-9397-08002B2CF9AE}" pid="11" name="Mendeley Recent Style Name 4_1">
    <vt:lpwstr>Chemical Engineering Research and Design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16th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7378e5b5-1a29-3f57-ae2e-293a6e4ff365</vt:lpwstr>
  </property>
  <property fmtid="{D5CDD505-2E9C-101B-9397-08002B2CF9AE}" pid="24" name="Mendeley Citation Style_1">
    <vt:lpwstr>http://www.zotero.org/styles/ieee</vt:lpwstr>
  </property>
</Properties>
</file>