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12634" w:rsidRDefault="00FB6283" w:rsidP="0071263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Production of a</w:t>
      </w:r>
      <w:r w:rsidR="007A181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fungal fermented product as a meat substitute</w:t>
      </w:r>
    </w:p>
    <w:p w:rsidR="006E6129" w:rsidRPr="00712634" w:rsidRDefault="00316291" w:rsidP="007C2F1E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16291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Rebecca Gmoser</w:t>
      </w:r>
      <w:r w:rsidRPr="007C2F1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316291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*, </w:t>
      </w:r>
      <w:r w:rsidRPr="006E612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Mohammad J. </w:t>
      </w:r>
      <w:proofErr w:type="spellStart"/>
      <w:r w:rsidRPr="006E612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Taherzadeh</w:t>
      </w:r>
      <w:proofErr w:type="spellEnd"/>
      <w:r w:rsidR="007C2F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7C2F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Patrik</w:t>
      </w:r>
      <w:proofErr w:type="spellEnd"/>
      <w:r w:rsidR="007C2F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R. </w:t>
      </w:r>
      <w:proofErr w:type="spellStart"/>
      <w:r w:rsidR="007C2F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Lennartsson</w:t>
      </w:r>
      <w:proofErr w:type="spellEnd"/>
      <w:r w:rsidRPr="00316291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</w:p>
    <w:p w:rsidR="00704BDF" w:rsidRPr="00DE0019" w:rsidRDefault="006E6129" w:rsidP="006E612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6E6129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Pr="006E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Swedish Centre for Resource Recovery, University of </w:t>
      </w:r>
      <w:proofErr w:type="spellStart"/>
      <w:r w:rsidRPr="006E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Borås</w:t>
      </w:r>
      <w:proofErr w:type="spellEnd"/>
      <w:r w:rsidRPr="006E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50190 </w:t>
      </w:r>
      <w:proofErr w:type="spellStart"/>
      <w:r w:rsidRPr="006E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Borås</w:t>
      </w:r>
      <w:proofErr w:type="spellEnd"/>
      <w:r w:rsidRPr="006E61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 Sweden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6E612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Rebecca.gmoser@hb.se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652E88" w:rsidRDefault="00652E88" w:rsidP="00E25D2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Food residues</w:t>
      </w:r>
      <w:r w:rsidRPr="00652E88">
        <w:rPr>
          <w:rFonts w:asciiTheme="minorHAnsi" w:hAnsiTheme="minorHAnsi"/>
        </w:rPr>
        <w:t xml:space="preserve"> </w:t>
      </w:r>
      <w:r w:rsidR="00E25D2B">
        <w:rPr>
          <w:rFonts w:asciiTheme="minorHAnsi" w:hAnsiTheme="minorHAnsi"/>
        </w:rPr>
        <w:t>is</w:t>
      </w:r>
      <w:r>
        <w:rPr>
          <w:rFonts w:asciiTheme="minorHAnsi" w:hAnsiTheme="minorHAnsi"/>
        </w:rPr>
        <w:t xml:space="preserve"> co</w:t>
      </w:r>
      <w:r w:rsidR="00A970B7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verted </w:t>
      </w:r>
      <w:proofErr w:type="gramStart"/>
      <w:r w:rsidRPr="00652E88">
        <w:rPr>
          <w:rFonts w:asciiTheme="minorHAnsi" w:hAnsiTheme="minorHAnsi"/>
        </w:rPr>
        <w:t xml:space="preserve">by </w:t>
      </w:r>
      <w:r>
        <w:rPr>
          <w:rFonts w:asciiTheme="minorHAnsi" w:hAnsiTheme="minorHAnsi"/>
        </w:rPr>
        <w:t xml:space="preserve">an edible </w:t>
      </w:r>
      <w:r w:rsidRPr="00652E88">
        <w:rPr>
          <w:rFonts w:asciiTheme="minorHAnsi" w:hAnsiTheme="minorHAnsi"/>
        </w:rPr>
        <w:t>fungi</w:t>
      </w:r>
      <w:proofErr w:type="gramEnd"/>
      <w:r w:rsidRPr="00652E88">
        <w:rPr>
          <w:rFonts w:asciiTheme="minorHAnsi" w:hAnsiTheme="minorHAnsi"/>
        </w:rPr>
        <w:t xml:space="preserve"> into a </w:t>
      </w:r>
      <w:r>
        <w:rPr>
          <w:rFonts w:asciiTheme="minorHAnsi" w:hAnsiTheme="minorHAnsi"/>
        </w:rPr>
        <w:t xml:space="preserve">high protein </w:t>
      </w:r>
      <w:r w:rsidRPr="00652E88">
        <w:rPr>
          <w:rFonts w:asciiTheme="minorHAnsi" w:hAnsiTheme="minorHAnsi"/>
        </w:rPr>
        <w:t>meat replacer.</w:t>
      </w:r>
      <w:r>
        <w:rPr>
          <w:rFonts w:asciiTheme="minorHAnsi" w:hAnsiTheme="minorHAnsi"/>
        </w:rPr>
        <w:t xml:space="preserve"> </w:t>
      </w:r>
    </w:p>
    <w:p w:rsidR="00652E88" w:rsidRDefault="00652E88" w:rsidP="00652E8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fungal product contain 29 % protein and 0.8 mg/g carotenoids.</w:t>
      </w:r>
    </w:p>
    <w:p w:rsidR="00652E88" w:rsidRPr="00652E88" w:rsidRDefault="00652E88" w:rsidP="00A970B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product showed textural similarities </w:t>
      </w:r>
      <w:r w:rsidR="00A970B7">
        <w:rPr>
          <w:rFonts w:asciiTheme="minorHAnsi" w:hAnsiTheme="minorHAnsi"/>
        </w:rPr>
        <w:t>with</w:t>
      </w:r>
      <w:r>
        <w:rPr>
          <w:rFonts w:asciiTheme="minorHAnsi" w:hAnsiTheme="minorHAnsi"/>
        </w:rPr>
        <w:t xml:space="preserve"> </w:t>
      </w:r>
      <w:r w:rsidRPr="00652E88">
        <w:rPr>
          <w:rFonts w:asciiTheme="minorHAnsi" w:hAnsiTheme="minorHAnsi"/>
        </w:rPr>
        <w:t xml:space="preserve">hamburgers and </w:t>
      </w:r>
      <w:r w:rsidR="00A970B7">
        <w:rPr>
          <w:rFonts w:asciiTheme="minorHAnsi" w:hAnsiTheme="minorHAnsi"/>
        </w:rPr>
        <w:t>non-meat products.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A181D" w:rsidRDefault="007A181D" w:rsidP="00E25D2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2050 world population is set to increase to over 9 billio</w:t>
      </w:r>
      <w:r w:rsidR="00E25D2B">
        <w:rPr>
          <w:rFonts w:asciiTheme="minorHAnsi" w:eastAsia="MS PGothic" w:hAnsiTheme="minorHAnsi"/>
          <w:color w:val="000000"/>
          <w:sz w:val="22"/>
          <w:szCs w:val="22"/>
          <w:lang w:val="en-US"/>
        </w:rPr>
        <w:t>n. In order to feed this larger and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wealthier population, food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</w:t>
      </w:r>
      <w:r w:rsidR="00E25D2B">
        <w:rPr>
          <w:rFonts w:asciiTheme="minorHAnsi" w:eastAsia="MS PGothic" w:hAnsiTheme="minorHAnsi"/>
          <w:color w:val="000000"/>
          <w:sz w:val="22"/>
          <w:szCs w:val="22"/>
          <w:lang w:val="en-US"/>
        </w:rPr>
        <w:t>uction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5D2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foresees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rise by 70%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Access to a healthy </w:t>
      </w:r>
      <w:r w:rsidR="00990A1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sustainable </w:t>
      </w:r>
      <w:r w:rsidR="00990A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diet 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become more important than ever as the planet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accommodates for increased population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7A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context, the present study presents a way to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biotransform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food residues into a valuable food product with promising attributes to substitute meat products. The edible filamentous fungi </w:t>
      </w:r>
      <w:r w:rsidRPr="007A181D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N. intermedia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to create a fungal burger with stale bread and brewers spent grain as substrate. </w:t>
      </w:r>
      <w:r w:rsid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Since </w:t>
      </w:r>
      <w:r w:rsidR="003E7E8F" w:rsidRP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than one billion people worldwide </w:t>
      </w:r>
      <w:r w:rsid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3E7E8F" w:rsidRP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unable to meet their daily protein requirement </w:t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&lt;EndNote&gt;&lt;Cite&gt;&lt;Author&gt;Godfray&lt;/Author&gt;&lt;Year&gt;2010&lt;/Year&gt;&lt;RecNum&gt;3102&lt;/RecNum&gt;&lt;DisplayText&gt;[1, 2]&lt;/DisplayText&gt;&lt;record&gt;&lt;rec-number&gt;3102&lt;/rec-number&gt;&lt;foreign-keys&gt;&lt;key app="EN" db-id="50wxdpzd9vd5r7e9t5b595djrfpttrxw9avp" timestamp="1556018970"&gt;3102&lt;/key&gt;&lt;/foreign-keys&gt;&lt;ref-type name="Journal Article"&gt;17&lt;/ref-type&gt;&lt;contributors&gt;&lt;authors&gt;&lt;author&gt;Godfray, H. Charles J.&lt;/author&gt;&lt;author&gt;Beddington, John R.&lt;/author&gt;&lt;author&gt;Crute, Ian R.&lt;/author&gt;&lt;author&gt;Haddad, Lawrence&lt;/author&gt;&lt;author&gt;Lawrence, David&lt;/author&gt;&lt;author&gt;Muir, James F.&lt;/author&gt;&lt;author&gt;Pretty, Jules&lt;/author&gt;&lt;author&gt;Robinson, Sherman&lt;/author&gt;&lt;author&gt;Thomas, Sandy M.&lt;/author&gt;&lt;author&gt;Toulmin, Camilla&lt;/author&gt;&lt;/authors&gt;&lt;/contributors&gt;&lt;titles&gt;&lt;title&gt;Food security: the challenge of feeding 9 billion people&lt;/title&gt;&lt;secondary-title&gt;science&lt;/secondary-title&gt;&lt;/titles&gt;&lt;periodical&gt;&lt;full-title&gt;Science&lt;/full-title&gt;&lt;abbr-1&gt;Science&lt;/abbr-1&gt;&lt;abbr-2&gt;Science&lt;/abbr-2&gt;&lt;/periodical&gt;&lt;pages&gt;812-818&lt;/pages&gt;&lt;volume&gt;327&lt;/volume&gt;&lt;number&gt;5967&lt;/number&gt;&lt;dates&gt;&lt;year&gt;2010&lt;/year&gt;&lt;/dates&gt;&lt;isbn&gt;0036-8075&lt;/isbn&gt;&lt;urls&gt;&lt;/urls&gt;&lt;/record&gt;&lt;/Cite&gt;&lt;Cite&gt;&lt;Author&gt;Hartmann&lt;/Author&gt;&lt;Year&gt;2017&lt;/Year&gt;&lt;RecNum&gt;3103&lt;/RecNum&gt;&lt;record&gt;&lt;rec-number&gt;3103&lt;/rec-number&gt;&lt;foreign-keys&gt;&lt;key app="EN" db-id="50wxdpzd9vd5r7e9t5b595djrfpttrxw9avp" timestamp="1556019057"&gt;3103&lt;/key&gt;&lt;/foreign-keys&gt;&lt;ref-type name="Journal Article"&gt;17&lt;/ref-type&gt;&lt;contributors&gt;&lt;authors&gt;&lt;author&gt;Hartmann, Christina&lt;/author&gt;&lt;author&gt;Siegrist, Michael&lt;/author&gt;&lt;/authors&gt;&lt;/contributors&gt;&lt;titles&gt;&lt;title&gt;Consumer perception and behaviour regarding sustainable protein consumption: A systematic review&lt;/title&gt;&lt;secondary-title&gt;Trends in Food Science &amp;amp; Technology&lt;/secondary-title&gt;&lt;/titles&gt;&lt;periodical&gt;&lt;full-title&gt;Trends in food science &amp;amp; technology&lt;/full-title&gt;&lt;/periodical&gt;&lt;pages&gt;11-25&lt;/pages&gt;&lt;volume&gt;61&lt;/volume&gt;&lt;dates&gt;&lt;year&gt;2017&lt;/year&gt;&lt;/dates&gt;&lt;isbn&gt;0924-2244&lt;/isbn&gt;&lt;urls&gt;&lt;/urls&gt;&lt;/record&gt;&lt;/Cite&gt;&lt;/EndNote&gt;</w:instrText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A970B7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[1, 2]</w:t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</w:t>
      </w:r>
      <w:r w:rsidR="003E7E8F" w:rsidRP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exture is </w:t>
      </w:r>
      <w:r w:rsid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of the </w:t>
      </w:r>
      <w:r w:rsidR="003E7E8F" w:rsidRP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biggest barrier to widespread acceptance for meat alternatives </w:t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&lt;EndNote&gt;&lt;Cite&gt;&lt;Author&gt;Asgar&lt;/Author&gt;&lt;Year&gt;2010&lt;/Year&gt;&lt;RecNum&gt;3125&lt;/RecNum&gt;&lt;DisplayText&gt;[3]&lt;/DisplayText&gt;&lt;record&gt;&lt;rec-number&gt;3125&lt;/rec-number&gt;&lt;foreign-keys&gt;&lt;key app="EN" db-id="50wxdpzd9vd5r7e9t5b595djrfpttrxw9avp" timestamp="1557581725"&gt;3125&lt;/key&gt;&lt;/foreign-keys&gt;&lt;ref-type name="Journal Article"&gt;17&lt;/ref-type&gt;&lt;contributors&gt;&lt;authors&gt;&lt;author&gt;Asgar, M. A.&lt;/author&gt;&lt;author&gt;Fazilah, A.&lt;/author&gt;&lt;author&gt;Huda, Nurul&lt;/author&gt;&lt;author&gt;Bhat, Rajeev&lt;/author&gt;&lt;author&gt;Karim, A. A.&lt;/author&gt;&lt;/authors&gt;&lt;/contributors&gt;&lt;titles&gt;&lt;title&gt;Nonmeat protein alternatives as meat extenders and meat analogs&lt;/title&gt;&lt;secondary-title&gt;Comprehensive reviews in food science and food safety&lt;/secondary-title&gt;&lt;/titles&gt;&lt;periodical&gt;&lt;full-title&gt;Comprehensive Reviews in Food Science and Food Safety&lt;/full-title&gt;&lt;/periodical&gt;&lt;pages&gt;513-529&lt;/pages&gt;&lt;volume&gt;9&lt;/volume&gt;&lt;number&gt;5&lt;/number&gt;&lt;dates&gt;&lt;year&gt;2010&lt;/year&gt;&lt;/dates&gt;&lt;isbn&gt;1541-4337&lt;/isbn&gt;&lt;urls&gt;&lt;/urls&gt;&lt;/record&gt;&lt;/Cite&gt;&lt;/EndNote&gt;</w:instrText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A970B7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A970B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3E7E8F" w:rsidRP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E7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product was mainly evaluated based on its protein and texture attributes.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B55D38" w:rsidRPr="00B55D38" w:rsidRDefault="00B55D38" w:rsidP="008C6C97">
      <w:pPr>
        <w:snapToGrid w:val="0"/>
        <w:spacing w:after="120" w:line="240" w:lineRule="auto"/>
        <w:rPr>
          <w:rFonts w:asciiTheme="minorHAnsi" w:eastAsia="MS PGothic" w:hAnsiTheme="minorHAnsi"/>
          <w:iCs/>
          <w:color w:val="000000"/>
          <w:sz w:val="22"/>
          <w:szCs w:val="22"/>
        </w:rPr>
      </w:pP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Fungal fermentation 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>of t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he edible food grade filamentous fungi  </w:t>
      </w:r>
      <w:proofErr w:type="spellStart"/>
      <w:r w:rsidRPr="00B55D38">
        <w:rPr>
          <w:rFonts w:asciiTheme="minorHAnsi" w:eastAsia="MS PGothic" w:hAnsiTheme="minorHAnsi"/>
          <w:i/>
          <w:color w:val="000000"/>
          <w:sz w:val="22"/>
          <w:szCs w:val="22"/>
        </w:rPr>
        <w:t>Neurospora</w:t>
      </w:r>
      <w:proofErr w:type="spellEnd"/>
      <w:r w:rsidRPr="00B55D38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intermedia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CBS 131.92 (</w:t>
      </w:r>
      <w:proofErr w:type="spellStart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Centraalbureau</w:t>
      </w:r>
      <w:proofErr w:type="spellEnd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proofErr w:type="spellStart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voor</w:t>
      </w:r>
      <w:proofErr w:type="spellEnd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proofErr w:type="spellStart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Schimmelcultures</w:t>
      </w:r>
      <w:proofErr w:type="spellEnd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, The Netherlands) 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>was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carried out in sterile petri 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dishes with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bread crumbs alone or addition of brewers spent grain were 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>used as substrate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Total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15 g substrate was inoculated with 1 ml spore suspension of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Pr="000D3099">
        <w:rPr>
          <w:rFonts w:asciiTheme="minorHAnsi" w:eastAsia="MS PGothic" w:hAnsiTheme="minorHAnsi"/>
          <w:i/>
          <w:color w:val="000000"/>
          <w:sz w:val="22"/>
          <w:szCs w:val="22"/>
        </w:rPr>
        <w:t>N. intermedia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separately for each petri dish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and i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nitial moisture content was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adjusted to 40% (on a dry basis (w/w, </w:t>
      </w:r>
      <w:proofErr w:type="spellStart"/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db</w:t>
      </w:r>
      <w:proofErr w:type="spellEnd"/>
      <w:r w:rsidR="002F16F4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).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Solid state fermentation was carried out batch wise for 6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days in a climatic test cabinet (NUVE test cabinet TK 120, Turkey) at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>90-95% Rh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at 35 °C under light. All</w:t>
      </w:r>
      <w:r w:rsidR="00B50F34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the cultivation experiments were conducted in duplicate except for texture analysis where six</w:t>
      </w:r>
      <w:r w:rsidR="000D3099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replicates were made, and the mean values are presented with standard deviations. </w:t>
      </w:r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The textural profile analysis (TPA) of the samples was assessed with a TVT 6700 texture </w:t>
      </w:r>
      <w:r w:rsidR="0076434C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analyser</w:t>
      </w:r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(</w:t>
      </w:r>
      <w:proofErr w:type="spellStart"/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Perten</w:t>
      </w:r>
      <w:proofErr w:type="spellEnd"/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Instruments, Sweden with software </w:t>
      </w:r>
      <w:proofErr w:type="spellStart"/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TexCalc</w:t>
      </w:r>
      <w:proofErr w:type="spellEnd"/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version 4.0.2.50</w:t>
      </w:r>
      <w:r w:rsidR="001F3065">
        <w:rPr>
          <w:rFonts w:asciiTheme="minorHAnsi" w:eastAsia="MS PGothic" w:hAnsiTheme="minorHAnsi"/>
          <w:iCs/>
          <w:color w:val="000000"/>
          <w:sz w:val="22"/>
          <w:szCs w:val="22"/>
        </w:rPr>
        <w:t>)</w:t>
      </w:r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. </w:t>
      </w:r>
      <w:r w:rsidR="0076434C" w:rsidRPr="0076434C">
        <w:rPr>
          <w:rFonts w:asciiTheme="minorHAnsi" w:eastAsia="MS PGothic" w:hAnsiTheme="minorHAnsi"/>
          <w:iCs/>
          <w:color w:val="000000"/>
          <w:sz w:val="22"/>
          <w:szCs w:val="22"/>
        </w:rPr>
        <w:t>To simulate a bite force through the burgers, a heavy Duty Stand, a knife blade probe with holder and blade set was attached. The maximum force required to break the sample was compared between samples.</w:t>
      </w:r>
      <w:r w:rsidR="00B50F34"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>I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>nstrumental texture measurement of the fermented fungal burgers was investigate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d after </w:t>
      </w:r>
      <w:r w:rsidR="0076434C">
        <w:rPr>
          <w:rFonts w:asciiTheme="minorHAnsi" w:eastAsia="MS PGothic" w:hAnsiTheme="minorHAnsi"/>
          <w:iCs/>
          <w:color w:val="000000"/>
          <w:sz w:val="22"/>
          <w:szCs w:val="22"/>
        </w:rPr>
        <w:t>frozen samples for 24 h followed by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frying at 100°C in 2 g of canola oil for 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>10</w:t>
      </w:r>
      <w:r w:rsidRPr="00B55D38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minutes</w:t>
      </w:r>
      <w:r w:rsidR="008C6C97">
        <w:rPr>
          <w:rFonts w:asciiTheme="minorHAnsi" w:eastAsia="MS PGothic" w:hAnsiTheme="minorHAnsi"/>
          <w:iCs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652E88" w:rsidRDefault="000533E1" w:rsidP="00E25D2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0533E1">
        <w:rPr>
          <w:rFonts w:asciiTheme="minorHAnsi" w:eastAsia="MS PGothic" w:hAnsiTheme="minorHAnsi"/>
          <w:color w:val="000000"/>
          <w:sz w:val="22"/>
          <w:szCs w:val="22"/>
        </w:rPr>
        <w:t xml:space="preserve">Bite force was measured by shearing with a knife blade to simulate a human bite and ease of chewing through the sample. As expected, the maximum force increased overall with increasing </w:t>
      </w:r>
      <w:r w:rsidRPr="000533E1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BSG concentration in the substrate. </w:t>
      </w:r>
      <w:r w:rsidR="00B50F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Texture analysis on </w:t>
      </w:r>
      <w:r w:rsidR="0076434C" w:rsidRPr="0076434C">
        <w:rPr>
          <w:rFonts w:asciiTheme="minorHAnsi" w:eastAsia="MS PGothic" w:hAnsiTheme="minorHAnsi"/>
          <w:i/>
          <w:iCs/>
          <w:color w:val="000000"/>
          <w:sz w:val="22"/>
          <w:szCs w:val="22"/>
        </w:rPr>
        <w:t>N. intermedia</w:t>
      </w:r>
      <w:r w:rsidR="0076434C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50F34" w:rsidRPr="00B50F34">
        <w:rPr>
          <w:rFonts w:asciiTheme="minorHAnsi" w:eastAsia="MS PGothic" w:hAnsiTheme="minorHAnsi"/>
          <w:color w:val="000000"/>
          <w:sz w:val="22"/>
          <w:szCs w:val="22"/>
        </w:rPr>
        <w:t>fungal burgers produced from stale sourdough bread with</w:t>
      </w:r>
      <w:r w:rsidR="0076434C">
        <w:rPr>
          <w:rFonts w:asciiTheme="minorHAnsi" w:eastAsia="MS PGothic" w:hAnsiTheme="minorHAnsi"/>
          <w:color w:val="000000"/>
          <w:sz w:val="22"/>
          <w:szCs w:val="22"/>
        </w:rPr>
        <w:t xml:space="preserve"> 0 </w:t>
      </w:r>
      <w:r w:rsidR="00B50F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% addition of BSG revealed a similar </w:t>
      </w:r>
      <w:r w:rsidR="0076434C">
        <w:rPr>
          <w:rFonts w:asciiTheme="minorHAnsi" w:eastAsia="MS PGothic" w:hAnsiTheme="minorHAnsi"/>
          <w:color w:val="000000"/>
          <w:sz w:val="22"/>
          <w:szCs w:val="22"/>
        </w:rPr>
        <w:t>bite</w:t>
      </w:r>
      <w:r w:rsidR="00B50F3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50F34" w:rsidRPr="00B50F34">
        <w:rPr>
          <w:rFonts w:asciiTheme="minorHAnsi" w:eastAsia="MS PGothic" w:hAnsiTheme="minorHAnsi"/>
          <w:color w:val="000000"/>
          <w:sz w:val="22"/>
          <w:szCs w:val="22"/>
        </w:rPr>
        <w:t>force response when fried as hamburger</w:t>
      </w:r>
      <w:r w:rsidR="0076434C">
        <w:rPr>
          <w:rFonts w:asciiTheme="minorHAnsi" w:eastAsia="MS PGothic" w:hAnsiTheme="minorHAnsi"/>
          <w:color w:val="000000"/>
          <w:sz w:val="22"/>
          <w:szCs w:val="22"/>
        </w:rPr>
        <w:t xml:space="preserve"> whereas addition of 10 % BSG was </w:t>
      </w:r>
      <w:r w:rsidR="00C94821">
        <w:rPr>
          <w:rFonts w:asciiTheme="minorHAnsi" w:eastAsia="MS PGothic" w:hAnsiTheme="minorHAnsi"/>
          <w:color w:val="000000"/>
          <w:sz w:val="22"/>
          <w:szCs w:val="22"/>
        </w:rPr>
        <w:t>needed</w:t>
      </w:r>
      <w:r w:rsidR="0076434C">
        <w:rPr>
          <w:rFonts w:asciiTheme="minorHAnsi" w:eastAsia="MS PGothic" w:hAnsiTheme="minorHAnsi"/>
          <w:color w:val="000000"/>
          <w:sz w:val="22"/>
          <w:szCs w:val="22"/>
        </w:rPr>
        <w:t xml:space="preserve"> to reach a similar bite force response as </w:t>
      </w:r>
      <w:r w:rsidR="00C94821">
        <w:rPr>
          <w:rFonts w:asciiTheme="minorHAnsi" w:eastAsia="MS PGothic" w:hAnsiTheme="minorHAnsi"/>
          <w:color w:val="000000"/>
          <w:sz w:val="22"/>
          <w:szCs w:val="22"/>
        </w:rPr>
        <w:t>a commercial soy burger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>, Figure 1</w:t>
      </w:r>
      <w:r w:rsidR="00B50F34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652E88" w:rsidRPr="00652E88">
        <w:rPr>
          <w:rFonts w:asciiTheme="minorHAnsi" w:eastAsia="MS PGothic" w:hAnsiTheme="minorHAnsi"/>
          <w:color w:val="000000"/>
          <w:sz w:val="22"/>
          <w:szCs w:val="22"/>
        </w:rPr>
        <w:t>The objective textural data contribute to important knowledge about the products quality attributes.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 xml:space="preserve"> The s</w:t>
      </w:r>
      <w:r w:rsidR="007126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tale bread with 10 % BSG 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 xml:space="preserve">used as substrate </w:t>
      </w:r>
      <w:r w:rsidR="007126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was converted into a high protein and nutritional fungal burger where mostly carbohydrates were converted into protein by </w:t>
      </w:r>
      <w:r w:rsidR="00712634" w:rsidRPr="00B50F34">
        <w:rPr>
          <w:rFonts w:asciiTheme="minorHAnsi" w:eastAsia="MS PGothic" w:hAnsiTheme="minorHAnsi"/>
          <w:i/>
          <w:iCs/>
          <w:color w:val="000000"/>
          <w:sz w:val="22"/>
          <w:szCs w:val="22"/>
        </w:rPr>
        <w:t>N. intermedia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>. This fungal burger resulte</w:t>
      </w:r>
      <w:r w:rsidR="00E25D2B">
        <w:rPr>
          <w:rFonts w:asciiTheme="minorHAnsi" w:eastAsia="MS PGothic" w:hAnsiTheme="minorHAnsi"/>
          <w:color w:val="000000"/>
          <w:sz w:val="22"/>
          <w:szCs w:val="22"/>
        </w:rPr>
        <w:t>d in a protein increase by 152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 xml:space="preserve"> % </w:t>
      </w:r>
      <w:r w:rsidR="007126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by </w:t>
      </w:r>
      <w:r w:rsidR="00712634" w:rsidRPr="00B50F34">
        <w:rPr>
          <w:rFonts w:asciiTheme="minorHAnsi" w:eastAsia="MS PGothic" w:hAnsiTheme="minorHAnsi"/>
          <w:i/>
          <w:iCs/>
          <w:color w:val="000000"/>
          <w:sz w:val="22"/>
          <w:szCs w:val="22"/>
        </w:rPr>
        <w:t>N. intermedia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126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 The increase in protein content is largely explained by a decrease in dry weight conten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 xml:space="preserve">t of the fermented material 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fldChar w:fldCharType="begin"/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instrText xml:space="preserve"> ADDIN EN.CITE &lt;EndNote&gt;&lt;Cite&gt;&lt;Author&gt;Blakeman&lt;/Author&gt;&lt;Year&gt;1988&lt;/Year&gt;&lt;RecNum&gt;3082&lt;/RecNum&gt;&lt;DisplayText&gt;[4]&lt;/DisplayText&gt;&lt;record&gt;&lt;rec-number&gt;3082&lt;/rec-number&gt;&lt;foreign-keys&gt;&lt;key app="EN" db-id="50wxdpzd9vd5r7e9t5b595djrfpttrxw9avp" timestamp="1552314058"&gt;3082&lt;/key&gt;&lt;/foreign-keys&gt;&lt;ref-type name="Journal Article"&gt;17&lt;/ref-type&gt;&lt;contributors&gt;&lt;authors&gt;&lt;author&gt;Blakeman, J. P.&lt;/author&gt;&lt;author&gt;McCracken, A. R.&lt;/author&gt;&lt;author&gt;Seaby, D. A.&lt;/author&gt;&lt;/authors&gt;&lt;/contributors&gt;&lt;titles&gt;&lt;title&gt;Changes brought about in solid substrates after fermentations of mixtures of cereals and pulses with Rhizopus oryzae&lt;/title&gt;&lt;secondary-title&gt;Journal of the Science of Food and Agriculture&lt;/secondary-title&gt;&lt;/titles&gt;&lt;periodical&gt;&lt;full-title&gt;Journal of the Science of Food and Agriculture&lt;/full-title&gt;&lt;/periodical&gt;&lt;pages&gt;109-118&lt;/pages&gt;&lt;volume&gt;45&lt;/volume&gt;&lt;number&gt;2&lt;/number&gt;&lt;dates&gt;&lt;year&gt;1988&lt;/year&gt;&lt;/dates&gt;&lt;isbn&gt;0022-5142&lt;/isbn&gt;&lt;urls&gt;&lt;/urls&gt;&lt;/record&gt;&lt;/Cite&gt;&lt;/EndNote&gt;</w:instrTex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fldChar w:fldCharType="separate"/>
      </w:r>
      <w:r w:rsidR="00712634">
        <w:rPr>
          <w:rFonts w:asciiTheme="minorHAnsi" w:eastAsia="MS PGothic" w:hAnsiTheme="minorHAnsi"/>
          <w:noProof/>
          <w:color w:val="000000"/>
          <w:sz w:val="22"/>
          <w:szCs w:val="22"/>
        </w:rPr>
        <w:t>[4]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fldChar w:fldCharType="end"/>
      </w:r>
      <w:r w:rsidR="00712634" w:rsidRPr="00B50F34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12634">
        <w:rPr>
          <w:rFonts w:asciiTheme="minorHAnsi" w:eastAsia="MS PGothic" w:hAnsiTheme="minorHAnsi"/>
          <w:color w:val="000000"/>
          <w:sz w:val="22"/>
          <w:szCs w:val="22"/>
        </w:rPr>
        <w:t xml:space="preserve"> Moreover, the fungal burger contained </w:t>
      </w:r>
      <w:r w:rsidR="00712634" w:rsidRP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>0.</w:t>
      </w:r>
      <w:r w:rsidR="00712634">
        <w:rPr>
          <w:rFonts w:asciiTheme="minorHAnsi" w:eastAsia="MS PGothic" w:hAnsiTheme="minorHAnsi"/>
          <w:color w:val="000000"/>
          <w:sz w:val="22"/>
          <w:szCs w:val="22"/>
          <w:lang w:val="en-US"/>
        </w:rPr>
        <w:t>95</w:t>
      </w:r>
      <w:r w:rsidR="00712634" w:rsidRP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 carotenoids/g total material</w:t>
      </w:r>
      <w:r w:rsidR="007126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12634" w:rsidRPr="00B50F3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704BDF" w:rsidRPr="00DE0019" w:rsidRDefault="0071263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it-IT" w:eastAsia="it-IT"/>
        </w:rPr>
        <w:drawing>
          <wp:inline distT="0" distB="0" distL="0" distR="0" wp14:anchorId="14F05AF0" wp14:editId="63DD53AC">
            <wp:extent cx="4533900" cy="227076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412" w:rsidRDefault="00520122" w:rsidP="008C6C97">
      <w:pPr>
        <w:snapToGrid w:val="0"/>
        <w:spacing w:after="120"/>
        <w:jc w:val="center"/>
        <w:rPr>
          <w:rFonts w:asciiTheme="minorHAnsi" w:hAnsiTheme="minorHAnsi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4C7412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4C7412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4C7412" w:rsidRPr="00DE0019">
        <w:rPr>
          <w:rFonts w:asciiTheme="minorHAnsi" w:hAnsiTheme="minorHAnsi"/>
          <w:lang w:val="en-US"/>
        </w:rPr>
        <w:t xml:space="preserve"> </w:t>
      </w:r>
      <w:r w:rsidR="0076434C">
        <w:rPr>
          <w:rFonts w:asciiTheme="minorHAnsi" w:hAnsiTheme="minorHAnsi"/>
          <w:lang w:val="en-US"/>
        </w:rPr>
        <w:t>Bite force</w:t>
      </w:r>
      <w:r w:rsidR="006F793F" w:rsidRPr="006F793F">
        <w:rPr>
          <w:rFonts w:asciiTheme="minorHAnsi" w:hAnsiTheme="minorHAnsi"/>
          <w:lang w:val="en-US"/>
        </w:rPr>
        <w:t xml:space="preserve"> test of </w:t>
      </w:r>
      <w:r w:rsidR="0076434C">
        <w:rPr>
          <w:rFonts w:asciiTheme="minorHAnsi" w:hAnsiTheme="minorHAnsi"/>
          <w:lang w:val="en-US"/>
        </w:rPr>
        <w:t xml:space="preserve">pre-frozen and fried </w:t>
      </w:r>
      <w:r w:rsidR="006F793F" w:rsidRPr="006F793F">
        <w:rPr>
          <w:rFonts w:asciiTheme="minorHAnsi" w:hAnsiTheme="minorHAnsi"/>
          <w:lang w:val="en-US"/>
        </w:rPr>
        <w:t xml:space="preserve">fungal burgers and </w:t>
      </w:r>
      <w:r w:rsidR="0076434C">
        <w:rPr>
          <w:rFonts w:asciiTheme="minorHAnsi" w:hAnsiTheme="minorHAnsi"/>
          <w:lang w:val="en-US"/>
        </w:rPr>
        <w:t xml:space="preserve">reference </w:t>
      </w:r>
      <w:r w:rsidR="006F793F" w:rsidRPr="006F793F">
        <w:rPr>
          <w:rFonts w:asciiTheme="minorHAnsi" w:hAnsiTheme="minorHAnsi"/>
          <w:lang w:val="en-US"/>
        </w:rPr>
        <w:t>hamburger</w:t>
      </w:r>
      <w:r w:rsidR="008C6C97">
        <w:rPr>
          <w:rFonts w:asciiTheme="minorHAnsi" w:hAnsiTheme="minorHAnsi"/>
          <w:lang w:val="en-US"/>
        </w:rPr>
        <w:t xml:space="preserve"> </w:t>
      </w:r>
      <w:r w:rsidR="0076434C">
        <w:rPr>
          <w:rFonts w:asciiTheme="minorHAnsi" w:hAnsiTheme="minorHAnsi"/>
          <w:lang w:val="en-US"/>
        </w:rPr>
        <w:t>and soy burger available on the market</w:t>
      </w:r>
      <w:r w:rsidR="006F793F" w:rsidRPr="006F793F">
        <w:rPr>
          <w:rFonts w:asciiTheme="minorHAnsi" w:hAnsiTheme="minorHAnsi"/>
          <w:lang w:val="en-US"/>
        </w:rPr>
        <w:t xml:space="preserve">. </w:t>
      </w:r>
      <w:r w:rsidR="006F793F">
        <w:rPr>
          <w:rFonts w:asciiTheme="minorHAnsi" w:hAnsiTheme="minorHAnsi"/>
          <w:lang w:val="en-US"/>
        </w:rPr>
        <w:t>Fungal burgers are made from stale sourdough bread +</w:t>
      </w:r>
      <w:r w:rsidR="006F793F" w:rsidRPr="006F793F">
        <w:rPr>
          <w:rFonts w:asciiTheme="minorHAnsi" w:hAnsiTheme="minorHAnsi"/>
          <w:lang w:val="en-US"/>
        </w:rPr>
        <w:t xml:space="preserve"> </w:t>
      </w:r>
      <w:r w:rsidR="00F13244">
        <w:rPr>
          <w:rFonts w:asciiTheme="minorHAnsi" w:hAnsiTheme="minorHAnsi"/>
          <w:lang w:val="en-US"/>
        </w:rPr>
        <w:t xml:space="preserve">0, 5 or </w:t>
      </w:r>
      <w:r w:rsidR="006F793F">
        <w:rPr>
          <w:rFonts w:asciiTheme="minorHAnsi" w:hAnsiTheme="minorHAnsi"/>
          <w:lang w:val="en-US"/>
        </w:rPr>
        <w:t>10</w:t>
      </w:r>
      <w:r w:rsidR="00F13244">
        <w:rPr>
          <w:rFonts w:asciiTheme="minorHAnsi" w:hAnsiTheme="minorHAnsi"/>
          <w:lang w:val="en-US"/>
        </w:rPr>
        <w:t xml:space="preserve"> </w:t>
      </w:r>
      <w:r w:rsidR="006F793F" w:rsidRPr="006F793F">
        <w:rPr>
          <w:rFonts w:asciiTheme="minorHAnsi" w:hAnsiTheme="minorHAnsi"/>
          <w:lang w:val="en-US"/>
        </w:rPr>
        <w:t xml:space="preserve">% brewers spent grain using </w:t>
      </w:r>
      <w:r w:rsidR="006F793F" w:rsidRPr="006F793F">
        <w:rPr>
          <w:rFonts w:asciiTheme="minorHAnsi" w:hAnsiTheme="minorHAnsi"/>
          <w:i/>
          <w:iCs/>
          <w:lang w:val="en-US"/>
        </w:rPr>
        <w:t>N. intermedia</w:t>
      </w:r>
      <w:r w:rsidR="008C6C97">
        <w:rPr>
          <w:rFonts w:asciiTheme="minorHAnsi" w:hAnsiTheme="minorHAnsi"/>
          <w:lang w:val="en-US"/>
        </w:rPr>
        <w:t xml:space="preserve"> after 6</w:t>
      </w:r>
      <w:r w:rsidR="006F793F" w:rsidRPr="006F793F">
        <w:rPr>
          <w:rFonts w:asciiTheme="minorHAnsi" w:hAnsiTheme="minorHAnsi"/>
          <w:lang w:val="en-US"/>
        </w:rPr>
        <w:t xml:space="preserve"> days </w:t>
      </w:r>
      <w:r w:rsidR="008C6C97">
        <w:rPr>
          <w:rFonts w:asciiTheme="minorHAnsi" w:hAnsiTheme="minorHAnsi"/>
          <w:lang w:val="en-US"/>
        </w:rPr>
        <w:t xml:space="preserve">solid state </w:t>
      </w:r>
      <w:r w:rsidR="006F793F" w:rsidRPr="006F793F">
        <w:rPr>
          <w:rFonts w:asciiTheme="minorHAnsi" w:hAnsiTheme="minorHAnsi"/>
          <w:lang w:val="en-US"/>
        </w:rPr>
        <w:t>fermentation under light at 35 °C, 90 % Rh, and 40 % initial moisture content. Results are e</w:t>
      </w:r>
      <w:r w:rsidR="008C6C97">
        <w:rPr>
          <w:rFonts w:asciiTheme="minorHAnsi" w:hAnsiTheme="minorHAnsi"/>
          <w:lang w:val="en-US"/>
        </w:rPr>
        <w:t>xpressed as the mean value ±</w:t>
      </w:r>
      <w:r w:rsidR="006F793F" w:rsidRPr="006F793F">
        <w:rPr>
          <w:rFonts w:asciiTheme="minorHAnsi" w:hAnsiTheme="minorHAnsi"/>
          <w:lang w:val="en-US"/>
        </w:rPr>
        <w:t xml:space="preserve"> standard deviation.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990A1B" w:rsidP="00E25D2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fermented fungal burger made from stale </w:t>
      </w:r>
      <w:r w:rsid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bread and up to 10 % 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rewers spent grains present an opportunity for an </w:t>
      </w:r>
      <w:r w:rsidR="00E25D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meat substitute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25D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>up to 36 % protein</w:t>
      </w:r>
      <w:r w:rsidR="00E25D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similar texture attributes to commercial products on the market,</w:t>
      </w:r>
      <w:r w:rsid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product present a great addition to a modern diet without </w:t>
      </w:r>
      <w:r w:rsidR="00197D01" w:rsidRP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over-exploiting natural resources</w:t>
      </w:r>
      <w:r w:rsid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97D01" w:rsidRP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additional pigments produced (0.</w:t>
      </w:r>
      <w:r w:rsid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>95</w:t>
      </w:r>
      <w:r w:rsidR="00197D01" w:rsidRP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 carotenoids/g total material) in the final </w:t>
      </w:r>
      <w:r w:rsid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 </w:t>
      </w:r>
      <w:r w:rsidR="00197D01" w:rsidRPr="00197D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adds value to the protein-rich fermented product. </w:t>
      </w:r>
    </w:p>
    <w:p w:rsidR="00704BDF" w:rsidRPr="008D0BEB" w:rsidRDefault="002D2372" w:rsidP="002D237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2D2372" w:rsidRPr="002D2372" w:rsidRDefault="002D2372" w:rsidP="002D2372">
      <w:pPr>
        <w:pStyle w:val="EndNoteBibliography"/>
        <w:ind w:left="432" w:hanging="432"/>
        <w:rPr>
          <w:rFonts w:asciiTheme="minorHAnsi" w:hAnsiTheme="minorHAnsi"/>
        </w:rPr>
      </w:pPr>
      <w:r w:rsidRPr="002D2372">
        <w:rPr>
          <w:rFonts w:asciiTheme="minorHAnsi" w:eastAsia="SimSun" w:hAnsiTheme="minorHAnsi"/>
          <w:lang w:eastAsia="zh-CN"/>
        </w:rPr>
        <w:t>[</w:t>
      </w:r>
      <w:r w:rsidR="00A970B7" w:rsidRPr="002D2372">
        <w:rPr>
          <w:rFonts w:asciiTheme="minorHAnsi" w:eastAsia="SimSun" w:hAnsiTheme="minorHAnsi"/>
          <w:lang w:eastAsia="zh-CN"/>
        </w:rPr>
        <w:fldChar w:fldCharType="begin"/>
      </w:r>
      <w:r w:rsidR="00A970B7" w:rsidRPr="002D2372">
        <w:rPr>
          <w:rFonts w:asciiTheme="minorHAnsi" w:eastAsia="SimSun" w:hAnsiTheme="minorHAnsi"/>
          <w:lang w:eastAsia="zh-CN"/>
        </w:rPr>
        <w:instrText xml:space="preserve"> ADDIN EN.REFLIST </w:instrText>
      </w:r>
      <w:r w:rsidR="00A970B7" w:rsidRPr="002D2372">
        <w:rPr>
          <w:rFonts w:asciiTheme="minorHAnsi" w:eastAsia="SimSun" w:hAnsiTheme="minorHAnsi"/>
          <w:lang w:eastAsia="zh-CN"/>
        </w:rPr>
        <w:fldChar w:fldCharType="separate"/>
      </w:r>
      <w:r w:rsidR="00A970B7" w:rsidRPr="002D2372">
        <w:rPr>
          <w:rFonts w:asciiTheme="minorHAnsi" w:hAnsiTheme="minorHAnsi"/>
        </w:rPr>
        <w:t>1</w:t>
      </w:r>
      <w:r w:rsidRPr="002D2372">
        <w:rPr>
          <w:rFonts w:asciiTheme="minorHAnsi" w:hAnsiTheme="minorHAnsi"/>
        </w:rPr>
        <w:t>]</w:t>
      </w:r>
      <w:r w:rsidRPr="002D2372">
        <w:rPr>
          <w:rFonts w:asciiTheme="minorHAnsi" w:hAnsiTheme="minorHAnsi"/>
        </w:rPr>
        <w:tab/>
      </w:r>
      <w:r w:rsidR="00A970B7" w:rsidRPr="002D2372">
        <w:rPr>
          <w:rFonts w:asciiTheme="minorHAnsi" w:hAnsiTheme="minorHAnsi"/>
        </w:rPr>
        <w:t xml:space="preserve">Godfray, H.C.J.;Beddington, J.R.;Crute, I.R.;Haddad, L.;Lawrence, D.;Muir, J.F.;Pretty, J.;Robinson, S.;Thomas, S.M.;Toulmin, C. Food security: The challenge of feeding 9 billion people. </w:t>
      </w:r>
      <w:r w:rsidR="00A970B7" w:rsidRPr="002D2372">
        <w:rPr>
          <w:rFonts w:asciiTheme="minorHAnsi" w:hAnsiTheme="minorHAnsi"/>
          <w:i/>
        </w:rPr>
        <w:t xml:space="preserve">Science </w:t>
      </w:r>
      <w:r w:rsidR="00A970B7" w:rsidRPr="002D2372">
        <w:rPr>
          <w:rFonts w:asciiTheme="minorHAnsi" w:hAnsiTheme="minorHAnsi"/>
          <w:b/>
        </w:rPr>
        <w:t>2010</w:t>
      </w:r>
      <w:r w:rsidR="00A970B7" w:rsidRPr="002D2372">
        <w:rPr>
          <w:rFonts w:asciiTheme="minorHAnsi" w:hAnsiTheme="minorHAnsi"/>
        </w:rPr>
        <w:t xml:space="preserve">, </w:t>
      </w:r>
      <w:r w:rsidR="00A970B7" w:rsidRPr="002D2372">
        <w:rPr>
          <w:rFonts w:asciiTheme="minorHAnsi" w:hAnsiTheme="minorHAnsi"/>
          <w:i/>
        </w:rPr>
        <w:t>327</w:t>
      </w:r>
      <w:r w:rsidR="00A970B7" w:rsidRPr="002D2372">
        <w:rPr>
          <w:rFonts w:asciiTheme="minorHAnsi" w:hAnsiTheme="minorHAnsi"/>
        </w:rPr>
        <w:t>, 812-818.</w:t>
      </w:r>
    </w:p>
    <w:p w:rsidR="002D2372" w:rsidRPr="002D2372" w:rsidRDefault="002D2372" w:rsidP="002D2372">
      <w:pPr>
        <w:pStyle w:val="EndNoteBibliography"/>
        <w:ind w:left="432" w:hanging="432"/>
        <w:rPr>
          <w:rFonts w:asciiTheme="minorHAnsi" w:hAnsiTheme="minorHAnsi"/>
        </w:rPr>
      </w:pPr>
      <w:r w:rsidRPr="002D2372">
        <w:rPr>
          <w:rFonts w:asciiTheme="minorHAnsi" w:hAnsiTheme="minorHAnsi"/>
        </w:rPr>
        <w:t>[2]</w:t>
      </w:r>
      <w:r w:rsidRPr="002D2372">
        <w:rPr>
          <w:rFonts w:asciiTheme="minorHAnsi" w:hAnsiTheme="minorHAnsi"/>
        </w:rPr>
        <w:tab/>
      </w:r>
      <w:r w:rsidRPr="002D2372">
        <w:rPr>
          <w:rFonts w:asciiTheme="minorHAnsi" w:hAnsiTheme="minorHAnsi"/>
        </w:rPr>
        <w:tab/>
      </w:r>
      <w:r w:rsidR="00A970B7" w:rsidRPr="002D2372">
        <w:rPr>
          <w:rFonts w:asciiTheme="minorHAnsi" w:hAnsiTheme="minorHAnsi"/>
        </w:rPr>
        <w:t xml:space="preserve">Hartmann, C.;Siegrist, M. Consumer perception and behaviour regarding sustainable protein consumption: A systematic review. </w:t>
      </w:r>
      <w:r w:rsidR="00A970B7" w:rsidRPr="002D2372">
        <w:rPr>
          <w:rFonts w:asciiTheme="minorHAnsi" w:hAnsiTheme="minorHAnsi"/>
          <w:i/>
        </w:rPr>
        <w:t xml:space="preserve">Trends in Food Science &amp; Technology </w:t>
      </w:r>
      <w:r w:rsidR="00A970B7" w:rsidRPr="002D2372">
        <w:rPr>
          <w:rFonts w:asciiTheme="minorHAnsi" w:hAnsiTheme="minorHAnsi"/>
          <w:b/>
        </w:rPr>
        <w:t>2017</w:t>
      </w:r>
      <w:r w:rsidR="00A970B7" w:rsidRPr="002D2372">
        <w:rPr>
          <w:rFonts w:asciiTheme="minorHAnsi" w:hAnsiTheme="minorHAnsi"/>
        </w:rPr>
        <w:t xml:space="preserve">, </w:t>
      </w:r>
      <w:r w:rsidR="00A970B7" w:rsidRPr="002D2372">
        <w:rPr>
          <w:rFonts w:asciiTheme="minorHAnsi" w:hAnsiTheme="minorHAnsi"/>
          <w:i/>
        </w:rPr>
        <w:t>61</w:t>
      </w:r>
      <w:r w:rsidR="00A970B7" w:rsidRPr="002D2372">
        <w:rPr>
          <w:rFonts w:asciiTheme="minorHAnsi" w:hAnsiTheme="minorHAnsi"/>
        </w:rPr>
        <w:t>, 11-25.</w:t>
      </w:r>
    </w:p>
    <w:p w:rsidR="002D2372" w:rsidRPr="002D2372" w:rsidRDefault="002D2372" w:rsidP="007C2F1E">
      <w:pPr>
        <w:pStyle w:val="EndNoteBibliography"/>
        <w:ind w:left="372" w:hanging="372"/>
        <w:rPr>
          <w:rFonts w:asciiTheme="minorHAnsi" w:hAnsiTheme="minorHAnsi"/>
        </w:rPr>
      </w:pPr>
      <w:r w:rsidRPr="002D2372">
        <w:rPr>
          <w:rFonts w:asciiTheme="minorHAnsi" w:hAnsiTheme="minorHAnsi"/>
        </w:rPr>
        <w:t>[3]</w:t>
      </w:r>
      <w:r w:rsidR="007C2F1E">
        <w:rPr>
          <w:rFonts w:asciiTheme="minorHAnsi" w:hAnsiTheme="minorHAnsi"/>
        </w:rPr>
        <w:tab/>
      </w:r>
      <w:r w:rsidR="00A970B7" w:rsidRPr="002D2372">
        <w:rPr>
          <w:rFonts w:asciiTheme="minorHAnsi" w:hAnsiTheme="minorHAnsi"/>
        </w:rPr>
        <w:t xml:space="preserve">Asgar, M.A.;Fazilah, A.;Huda, N.;Bhat, R.;Karim, A.A. Nonmeat protein alternatives as meat extenders and meat analogs. </w:t>
      </w:r>
      <w:r w:rsidR="00A970B7" w:rsidRPr="002D2372">
        <w:rPr>
          <w:rFonts w:asciiTheme="minorHAnsi" w:hAnsiTheme="minorHAnsi"/>
          <w:i/>
        </w:rPr>
        <w:t xml:space="preserve">Comprehensive reviews in food science and food safety </w:t>
      </w:r>
      <w:r w:rsidR="00A970B7" w:rsidRPr="002D2372">
        <w:rPr>
          <w:rFonts w:asciiTheme="minorHAnsi" w:hAnsiTheme="minorHAnsi"/>
          <w:b/>
        </w:rPr>
        <w:t>2010</w:t>
      </w:r>
      <w:r w:rsidR="00A970B7" w:rsidRPr="002D2372">
        <w:rPr>
          <w:rFonts w:asciiTheme="minorHAnsi" w:hAnsiTheme="minorHAnsi"/>
        </w:rPr>
        <w:t xml:space="preserve">, </w:t>
      </w:r>
      <w:r w:rsidR="00A970B7" w:rsidRPr="002D2372">
        <w:rPr>
          <w:rFonts w:asciiTheme="minorHAnsi" w:hAnsiTheme="minorHAnsi"/>
          <w:i/>
        </w:rPr>
        <w:t>9</w:t>
      </w:r>
      <w:r w:rsidR="00A970B7" w:rsidRPr="002D2372">
        <w:rPr>
          <w:rFonts w:asciiTheme="minorHAnsi" w:hAnsiTheme="minorHAnsi"/>
        </w:rPr>
        <w:t>, 513-529.</w:t>
      </w:r>
    </w:p>
    <w:p w:rsidR="00A970B7" w:rsidRPr="002D2372" w:rsidRDefault="002D2372" w:rsidP="002D2372">
      <w:pPr>
        <w:pStyle w:val="EndNoteBibliography"/>
        <w:ind w:left="372" w:hanging="372"/>
        <w:rPr>
          <w:rFonts w:asciiTheme="minorHAnsi" w:hAnsiTheme="minorHAnsi"/>
        </w:rPr>
      </w:pPr>
      <w:r w:rsidRPr="002D2372">
        <w:rPr>
          <w:rFonts w:asciiTheme="minorHAnsi" w:hAnsiTheme="minorHAnsi"/>
        </w:rPr>
        <w:t>[4]</w:t>
      </w:r>
      <w:r w:rsidR="00A970B7" w:rsidRPr="002D2372">
        <w:rPr>
          <w:rFonts w:asciiTheme="minorHAnsi" w:hAnsiTheme="minorHAnsi"/>
        </w:rPr>
        <w:t xml:space="preserve"> </w:t>
      </w:r>
      <w:r w:rsidR="007C2F1E">
        <w:rPr>
          <w:rFonts w:asciiTheme="minorHAnsi" w:hAnsiTheme="minorHAnsi"/>
        </w:rPr>
        <w:tab/>
      </w:r>
      <w:r w:rsidR="00A970B7" w:rsidRPr="002D2372">
        <w:rPr>
          <w:rFonts w:asciiTheme="minorHAnsi" w:hAnsiTheme="minorHAnsi"/>
        </w:rPr>
        <w:t xml:space="preserve">Blakeman, J.P.;McCracken, A.R.;Seaby, D.A. Changes brought about in solid substrates after fermentations of mixtures of cereals and pulses with rhizopus oryzae. </w:t>
      </w:r>
      <w:r w:rsidR="00A970B7" w:rsidRPr="002D2372">
        <w:rPr>
          <w:rFonts w:asciiTheme="minorHAnsi" w:hAnsiTheme="minorHAnsi"/>
          <w:i/>
        </w:rPr>
        <w:t xml:space="preserve">Journal of the Science of Food and Agriculture </w:t>
      </w:r>
      <w:r w:rsidR="00A970B7" w:rsidRPr="002D2372">
        <w:rPr>
          <w:rFonts w:asciiTheme="minorHAnsi" w:hAnsiTheme="minorHAnsi"/>
          <w:b/>
        </w:rPr>
        <w:t>1988</w:t>
      </w:r>
      <w:r w:rsidR="00A970B7" w:rsidRPr="002D2372">
        <w:rPr>
          <w:rFonts w:asciiTheme="minorHAnsi" w:hAnsiTheme="minorHAnsi"/>
        </w:rPr>
        <w:t xml:space="preserve">, </w:t>
      </w:r>
      <w:r w:rsidR="00A970B7" w:rsidRPr="002D2372">
        <w:rPr>
          <w:rFonts w:asciiTheme="minorHAnsi" w:hAnsiTheme="minorHAnsi"/>
          <w:i/>
        </w:rPr>
        <w:t>45</w:t>
      </w:r>
      <w:r w:rsidR="00A970B7" w:rsidRPr="002D2372">
        <w:rPr>
          <w:rFonts w:asciiTheme="minorHAnsi" w:hAnsiTheme="minorHAnsi"/>
        </w:rPr>
        <w:t>, 109-118.</w:t>
      </w:r>
    </w:p>
    <w:p w:rsidR="00704BDF" w:rsidRPr="00704BDF" w:rsidRDefault="00A970B7" w:rsidP="002D2372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D2372">
        <w:rPr>
          <w:rFonts w:asciiTheme="minorHAnsi" w:eastAsia="SimSun" w:hAnsiTheme="minorHAnsi"/>
          <w:lang w:eastAsia="zh-CN"/>
        </w:rPr>
        <w:fldChar w:fldCharType="end"/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28" w:rsidRDefault="00F33028" w:rsidP="004F5E36">
      <w:r>
        <w:separator/>
      </w:r>
    </w:p>
  </w:endnote>
  <w:endnote w:type="continuationSeparator" w:id="0">
    <w:p w:rsidR="00F33028" w:rsidRDefault="00F3302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28" w:rsidRDefault="00F33028" w:rsidP="004F5E36">
      <w:r>
        <w:separator/>
      </w:r>
    </w:p>
  </w:footnote>
  <w:footnote w:type="continuationSeparator" w:id="0">
    <w:p w:rsidR="00F33028" w:rsidRDefault="00F3302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97" w:rsidRDefault="008C6C97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97" w:rsidRPr="00DE0019" w:rsidRDefault="008C6C97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8C6C97" w:rsidRDefault="008C6C97">
    <w:pPr>
      <w:pStyle w:val="Intestazione"/>
    </w:pPr>
  </w:p>
  <w:p w:rsidR="008C6C97" w:rsidRDefault="008C6C97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ermentation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X7&lt;record-ids&gt;&lt;item&gt;3082&lt;/item&gt;&lt;item&gt;3102&lt;/item&gt;&lt;item&gt;3103&lt;/item&gt;&lt;item&gt;3125&lt;/item&gt;&lt;/record-ids&gt;&lt;/item&gt;&lt;/Libraries&gt;"/>
  </w:docVars>
  <w:rsids>
    <w:rsidRoot w:val="000E414A"/>
    <w:rsid w:val="000027C0"/>
    <w:rsid w:val="000117CB"/>
    <w:rsid w:val="0003148D"/>
    <w:rsid w:val="000533E1"/>
    <w:rsid w:val="00062A9A"/>
    <w:rsid w:val="000A03B2"/>
    <w:rsid w:val="000C16C5"/>
    <w:rsid w:val="000D3099"/>
    <w:rsid w:val="000D34BE"/>
    <w:rsid w:val="000E36F1"/>
    <w:rsid w:val="000E3A73"/>
    <w:rsid w:val="000E414A"/>
    <w:rsid w:val="0013121F"/>
    <w:rsid w:val="00134DE4"/>
    <w:rsid w:val="00150E59"/>
    <w:rsid w:val="00184AD6"/>
    <w:rsid w:val="00197D01"/>
    <w:rsid w:val="001B65C1"/>
    <w:rsid w:val="001C684B"/>
    <w:rsid w:val="001D53FC"/>
    <w:rsid w:val="001F2EC7"/>
    <w:rsid w:val="001F3065"/>
    <w:rsid w:val="002065DB"/>
    <w:rsid w:val="002447EF"/>
    <w:rsid w:val="00251550"/>
    <w:rsid w:val="0027221A"/>
    <w:rsid w:val="00275B61"/>
    <w:rsid w:val="00290406"/>
    <w:rsid w:val="002D1F12"/>
    <w:rsid w:val="002D2372"/>
    <w:rsid w:val="002F16F4"/>
    <w:rsid w:val="003009B7"/>
    <w:rsid w:val="0030469C"/>
    <w:rsid w:val="00316291"/>
    <w:rsid w:val="003723D4"/>
    <w:rsid w:val="00387498"/>
    <w:rsid w:val="003A7D1C"/>
    <w:rsid w:val="003B5424"/>
    <w:rsid w:val="003E7E8F"/>
    <w:rsid w:val="0046164A"/>
    <w:rsid w:val="00462DCD"/>
    <w:rsid w:val="004C7412"/>
    <w:rsid w:val="004D1162"/>
    <w:rsid w:val="004E4DD6"/>
    <w:rsid w:val="004F133B"/>
    <w:rsid w:val="004F5E36"/>
    <w:rsid w:val="005119A5"/>
    <w:rsid w:val="00520122"/>
    <w:rsid w:val="005278B7"/>
    <w:rsid w:val="005346C8"/>
    <w:rsid w:val="00594E9F"/>
    <w:rsid w:val="0059796F"/>
    <w:rsid w:val="005B61E6"/>
    <w:rsid w:val="005C77E1"/>
    <w:rsid w:val="005D6A2F"/>
    <w:rsid w:val="005E1A82"/>
    <w:rsid w:val="005F0A28"/>
    <w:rsid w:val="005F0E5E"/>
    <w:rsid w:val="00620DEE"/>
    <w:rsid w:val="00625639"/>
    <w:rsid w:val="00636978"/>
    <w:rsid w:val="0064184D"/>
    <w:rsid w:val="00652E88"/>
    <w:rsid w:val="00660E3E"/>
    <w:rsid w:val="00662E74"/>
    <w:rsid w:val="006A58D2"/>
    <w:rsid w:val="006C5579"/>
    <w:rsid w:val="006E6129"/>
    <w:rsid w:val="006F793F"/>
    <w:rsid w:val="00704BDF"/>
    <w:rsid w:val="00712634"/>
    <w:rsid w:val="00736B13"/>
    <w:rsid w:val="007447F3"/>
    <w:rsid w:val="0076434C"/>
    <w:rsid w:val="007661C8"/>
    <w:rsid w:val="00767404"/>
    <w:rsid w:val="007A181D"/>
    <w:rsid w:val="007C2F1E"/>
    <w:rsid w:val="007D28AA"/>
    <w:rsid w:val="007D52CD"/>
    <w:rsid w:val="00813288"/>
    <w:rsid w:val="008168FC"/>
    <w:rsid w:val="008479A2"/>
    <w:rsid w:val="0087637F"/>
    <w:rsid w:val="008A1512"/>
    <w:rsid w:val="008C6C97"/>
    <w:rsid w:val="008D0BEB"/>
    <w:rsid w:val="008E566E"/>
    <w:rsid w:val="00901EB6"/>
    <w:rsid w:val="009450CE"/>
    <w:rsid w:val="0095164B"/>
    <w:rsid w:val="00990A1B"/>
    <w:rsid w:val="00996483"/>
    <w:rsid w:val="009E788A"/>
    <w:rsid w:val="00A1763D"/>
    <w:rsid w:val="00A17CEC"/>
    <w:rsid w:val="00A27EF0"/>
    <w:rsid w:val="00A76EFC"/>
    <w:rsid w:val="00A9626B"/>
    <w:rsid w:val="00A970B7"/>
    <w:rsid w:val="00A97F29"/>
    <w:rsid w:val="00AB0964"/>
    <w:rsid w:val="00AC2AE0"/>
    <w:rsid w:val="00AE377D"/>
    <w:rsid w:val="00AF7895"/>
    <w:rsid w:val="00B21D5D"/>
    <w:rsid w:val="00B50F34"/>
    <w:rsid w:val="00B55D38"/>
    <w:rsid w:val="00B61DBF"/>
    <w:rsid w:val="00B63E53"/>
    <w:rsid w:val="00B918CC"/>
    <w:rsid w:val="00BC30C9"/>
    <w:rsid w:val="00BE3E58"/>
    <w:rsid w:val="00C01616"/>
    <w:rsid w:val="00C0162B"/>
    <w:rsid w:val="00C345B1"/>
    <w:rsid w:val="00C40142"/>
    <w:rsid w:val="00C427F4"/>
    <w:rsid w:val="00C57182"/>
    <w:rsid w:val="00C655FD"/>
    <w:rsid w:val="00C7396D"/>
    <w:rsid w:val="00C867B1"/>
    <w:rsid w:val="00C94434"/>
    <w:rsid w:val="00C94821"/>
    <w:rsid w:val="00CA1C95"/>
    <w:rsid w:val="00CA5A9C"/>
    <w:rsid w:val="00CB1530"/>
    <w:rsid w:val="00CD5FE2"/>
    <w:rsid w:val="00D02B4C"/>
    <w:rsid w:val="00D84576"/>
    <w:rsid w:val="00DD3302"/>
    <w:rsid w:val="00DE0019"/>
    <w:rsid w:val="00DE264A"/>
    <w:rsid w:val="00E041E7"/>
    <w:rsid w:val="00E23CA1"/>
    <w:rsid w:val="00E25D2B"/>
    <w:rsid w:val="00E409A8"/>
    <w:rsid w:val="00E7209D"/>
    <w:rsid w:val="00EA50E1"/>
    <w:rsid w:val="00EE0131"/>
    <w:rsid w:val="00EE3458"/>
    <w:rsid w:val="00F13244"/>
    <w:rsid w:val="00F30C64"/>
    <w:rsid w:val="00F33028"/>
    <w:rsid w:val="00F624BC"/>
    <w:rsid w:val="00F955CA"/>
    <w:rsid w:val="00FB628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e"/>
    <w:link w:val="EndNoteBibliographyTitleChar"/>
    <w:rsid w:val="00A970B7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Carpredefinitoparagrafo"/>
    <w:link w:val="EndNoteBibliographyTitle"/>
    <w:rsid w:val="00A970B7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e"/>
    <w:link w:val="EndNoteBibliographyChar"/>
    <w:rsid w:val="00A970B7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A970B7"/>
    <w:rPr>
      <w:rFonts w:ascii="Times" w:eastAsia="Times New Roman" w:hAnsi="Times" w:cs="Times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GM\Box%20Sync\Dokument\Conferences\figures%20(Repaired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24905170397578E-2"/>
          <c:y val="2.4419047619047618E-2"/>
          <c:w val="0.90207509482960246"/>
          <c:h val="0.821397225346831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1D4-4E2A-9FFB-09C40DE26F3D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1D4-4E2A-9FFB-09C40DE26F3D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1D4-4E2A-9FFB-09C40DE26F3D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1D4-4E2A-9FFB-09C40DE26F3D}"/>
              </c:ext>
            </c:extLst>
          </c:dPt>
          <c:dPt>
            <c:idx val="4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1D4-4E2A-9FFB-09C40DE26F3D}"/>
              </c:ext>
            </c:extLst>
          </c:dPt>
          <c:errBars>
            <c:errBarType val="both"/>
            <c:errValType val="cust"/>
            <c:noEndCap val="0"/>
            <c:plus>
              <c:numRef>
                <c:f>Sheet4!$Q$58:$Q$63</c:f>
                <c:numCache>
                  <c:formatCode>General</c:formatCode>
                  <c:ptCount val="6"/>
                  <c:pt idx="0">
                    <c:v>4.7305443661380009</c:v>
                  </c:pt>
                  <c:pt idx="1">
                    <c:v>4.4169587953704079</c:v>
                  </c:pt>
                  <c:pt idx="2">
                    <c:v>13.564421292484308</c:v>
                  </c:pt>
                  <c:pt idx="3">
                    <c:v>10.073700081565464</c:v>
                  </c:pt>
                  <c:pt idx="4">
                    <c:v>5.301886456724624</c:v>
                  </c:pt>
                  <c:pt idx="5">
                    <c:v>20.143937880497216</c:v>
                  </c:pt>
                </c:numCache>
              </c:numRef>
            </c:plus>
            <c:minus>
              <c:numRef>
                <c:f>Sheet4!$Q$58:$Q$63</c:f>
                <c:numCache>
                  <c:formatCode>General</c:formatCode>
                  <c:ptCount val="6"/>
                  <c:pt idx="0">
                    <c:v>4.7305443661380009</c:v>
                  </c:pt>
                  <c:pt idx="1">
                    <c:v>4.4169587953704079</c:v>
                  </c:pt>
                  <c:pt idx="2">
                    <c:v>13.564421292484308</c:v>
                  </c:pt>
                  <c:pt idx="3">
                    <c:v>10.073700081565464</c:v>
                  </c:pt>
                  <c:pt idx="4">
                    <c:v>5.301886456724624</c:v>
                  </c:pt>
                  <c:pt idx="5">
                    <c:v>20.143937880497216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Sheet4!$N$73:$O$77</c:f>
              <c:multiLvlStrCache>
                <c:ptCount val="5"/>
                <c:lvl>
                  <c:pt idx="0">
                    <c:v>0% BSG </c:v>
                  </c:pt>
                  <c:pt idx="1">
                    <c:v>5% BSG</c:v>
                  </c:pt>
                  <c:pt idx="2">
                    <c:v>10% BSG</c:v>
                  </c:pt>
                  <c:pt idx="3">
                    <c:v>Hamburger</c:v>
                  </c:pt>
                  <c:pt idx="4">
                    <c:v>Soyburger</c:v>
                  </c:pt>
                </c:lvl>
                <c:lvl>
                  <c:pt idx="0">
                    <c:v>Fungal burger</c:v>
                  </c:pt>
                  <c:pt idx="3">
                    <c:v>Ref. burger</c:v>
                  </c:pt>
                </c:lvl>
              </c:multiLvlStrCache>
            </c:multiLvlStrRef>
          </c:cat>
          <c:val>
            <c:numRef>
              <c:f>Sheet4!$P$73:$P$77</c:f>
              <c:numCache>
                <c:formatCode>General</c:formatCode>
                <c:ptCount val="5"/>
                <c:pt idx="0">
                  <c:v>55.693333333333335</c:v>
                </c:pt>
                <c:pt idx="1">
                  <c:v>68.42</c:v>
                </c:pt>
                <c:pt idx="2">
                  <c:v>87.946666666666673</c:v>
                </c:pt>
                <c:pt idx="3">
                  <c:v>49.615000000000002</c:v>
                </c:pt>
                <c:pt idx="4">
                  <c:v>81.014999999999986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1D4-4E2A-9FFB-09C40DE26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066792"/>
        <c:axId val="511065616"/>
      </c:barChart>
      <c:catAx>
        <c:axId val="511066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11065616"/>
        <c:crosses val="autoZero"/>
        <c:auto val="1"/>
        <c:lblAlgn val="ctr"/>
        <c:lblOffset val="100"/>
        <c:noMultiLvlLbl val="0"/>
      </c:catAx>
      <c:valAx>
        <c:axId val="511065616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Bite force test peak force [N]</a:t>
                </a:r>
              </a:p>
            </c:rich>
          </c:tx>
          <c:layout>
            <c:manualLayout>
              <c:xMode val="edge"/>
              <c:yMode val="edge"/>
              <c:x val="6.8282690337999321E-3"/>
              <c:y val="0.19323194600674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11066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8BC7-DAC4-421A-9E78-2D21D5A1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2019-07-23T08:11:00Z</dcterms:created>
  <dcterms:modified xsi:type="dcterms:W3CDTF">2019-07-23T08:11:00Z</dcterms:modified>
</cp:coreProperties>
</file>