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DE0019" w:rsidRDefault="00355BF6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>Characterization of liquid-</w:t>
      </w:r>
      <w:r w:rsidR="0035623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solid adsorption processes in 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recirculat</w:t>
      </w:r>
      <w:r w:rsidR="007B0CB2">
        <w:rPr>
          <w:rFonts w:asciiTheme="minorHAnsi" w:eastAsia="MS PGothic" w:hAnsiTheme="minorHAnsi"/>
          <w:b/>
          <w:bCs/>
          <w:sz w:val="28"/>
          <w:szCs w:val="28"/>
          <w:lang w:val="en-US"/>
        </w:rPr>
        <w:t>ed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differential bed</w:t>
      </w:r>
      <w:r w:rsidR="00642716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(RDB)</w:t>
      </w:r>
      <w:r w:rsidR="0035623B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and spinning basket (SB) set-ups</w:t>
      </w:r>
    </w:p>
    <w:p w:rsidR="00DE0019" w:rsidRPr="00355BF6" w:rsidRDefault="00355BF6" w:rsidP="00704BDF">
      <w:pPr>
        <w:snapToGrid w:val="0"/>
        <w:spacing w:after="120"/>
        <w:jc w:val="center"/>
        <w:rPr>
          <w:rFonts w:eastAsia="SimSun"/>
          <w:color w:val="000000"/>
          <w:lang w:val="fr-CH" w:eastAsia="zh-CN"/>
        </w:rPr>
      </w:pPr>
      <w:r w:rsidRPr="00355BF6">
        <w:rPr>
          <w:rFonts w:asciiTheme="minorHAnsi" w:eastAsia="SimSun" w:hAnsiTheme="minorHAnsi"/>
          <w:color w:val="000000"/>
          <w:sz w:val="24"/>
          <w:szCs w:val="24"/>
          <w:u w:val="single"/>
          <w:lang w:val="fr-CH" w:eastAsia="zh-CN"/>
        </w:rPr>
        <w:t>Simon Crelier</w:t>
      </w:r>
      <w:r w:rsidR="00704BDF" w:rsidRPr="00355BF6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fr-CH" w:eastAsia="zh-CN"/>
        </w:rPr>
        <w:t>1</w:t>
      </w:r>
      <w:r w:rsidR="00736B13" w:rsidRPr="00355BF6">
        <w:rPr>
          <w:rFonts w:asciiTheme="minorHAnsi" w:eastAsia="SimSun" w:hAnsiTheme="minorHAnsi"/>
          <w:color w:val="000000"/>
          <w:sz w:val="24"/>
          <w:szCs w:val="24"/>
          <w:lang w:val="fr-CH" w:eastAsia="zh-CN"/>
        </w:rPr>
        <w:t xml:space="preserve">, </w:t>
      </w:r>
      <w:r w:rsidRPr="00355BF6">
        <w:rPr>
          <w:rFonts w:asciiTheme="minorHAnsi" w:eastAsia="SimSun" w:hAnsiTheme="minorHAnsi"/>
          <w:color w:val="000000"/>
          <w:sz w:val="24"/>
          <w:szCs w:val="24"/>
          <w:lang w:val="fr-CH" w:eastAsia="zh-CN"/>
        </w:rPr>
        <w:t xml:space="preserve">Bryan Boisset, </w:t>
      </w:r>
      <w:r>
        <w:rPr>
          <w:rFonts w:asciiTheme="minorHAnsi" w:eastAsia="SimSun" w:hAnsiTheme="minorHAnsi"/>
          <w:color w:val="000000"/>
          <w:sz w:val="24"/>
          <w:szCs w:val="24"/>
          <w:lang w:val="fr-CH" w:eastAsia="zh-CN"/>
        </w:rPr>
        <w:t xml:space="preserve">Rémy Dufresne, </w:t>
      </w:r>
      <w:r w:rsidRPr="00355BF6">
        <w:rPr>
          <w:rFonts w:asciiTheme="minorHAnsi" w:eastAsia="SimSun" w:hAnsiTheme="minorHAnsi"/>
          <w:color w:val="000000"/>
          <w:sz w:val="24"/>
          <w:szCs w:val="24"/>
          <w:lang w:val="fr-CH" w:eastAsia="zh-CN"/>
        </w:rPr>
        <w:t>Djano Kandaswamy</w:t>
      </w:r>
      <w:r w:rsidR="00DE0019" w:rsidRPr="00355BF6">
        <w:rPr>
          <w:rFonts w:eastAsia="SimSun"/>
          <w:color w:val="000000"/>
          <w:lang w:val="fr-CH" w:eastAsia="zh-CN"/>
        </w:rPr>
        <w:t xml:space="preserve"> 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3D5104">
        <w:rPr>
          <w:rFonts w:eastAsia="MS PGothic"/>
          <w:i/>
          <w:iCs/>
          <w:color w:val="000000"/>
          <w:sz w:val="20"/>
          <w:vertAlign w:val="superscript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355BF6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University of Applied Sciences and Arts Western Switzerland, CH-1950 Sion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355BF6">
        <w:rPr>
          <w:rFonts w:asciiTheme="minorHAnsi" w:eastAsia="MS PGothic" w:hAnsiTheme="minorHAnsi"/>
          <w:bCs/>
          <w:i/>
          <w:iCs/>
          <w:sz w:val="20"/>
          <w:lang w:val="en-US"/>
        </w:rPr>
        <w:t>simon.crelier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355BF6">
        <w:rPr>
          <w:rFonts w:asciiTheme="minorHAnsi" w:eastAsia="MS PGothic" w:hAnsiTheme="minorHAnsi"/>
          <w:bCs/>
          <w:i/>
          <w:iCs/>
          <w:sz w:val="20"/>
          <w:lang w:val="en-US"/>
        </w:rPr>
        <w:t>hevs.ch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704BDF" w:rsidRPr="005A49A2" w:rsidRDefault="0064271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A49A2">
        <w:rPr>
          <w:rFonts w:asciiTheme="minorHAnsi" w:hAnsiTheme="minorHAnsi"/>
        </w:rPr>
        <w:t>RDB configuration enables an accurate control of experimental conditions</w:t>
      </w:r>
    </w:p>
    <w:p w:rsidR="00704BDF" w:rsidRPr="005A49A2" w:rsidRDefault="00ED4A67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Contrary to empirical models, m</w:t>
      </w:r>
      <w:r w:rsidR="00642716" w:rsidRPr="005A49A2">
        <w:rPr>
          <w:rFonts w:asciiTheme="minorHAnsi" w:hAnsiTheme="minorHAnsi"/>
        </w:rPr>
        <w:t>ass transfer</w:t>
      </w:r>
      <w:r>
        <w:rPr>
          <w:rFonts w:asciiTheme="minorHAnsi" w:hAnsiTheme="minorHAnsi"/>
        </w:rPr>
        <w:t>-based approaches enable a proper scaling-up of adsorption steps</w:t>
      </w:r>
    </w:p>
    <w:p w:rsidR="00704BDF" w:rsidRPr="005A49A2" w:rsidRDefault="00642716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A49A2">
        <w:rPr>
          <w:rFonts w:asciiTheme="minorHAnsi" w:hAnsiTheme="minorHAnsi"/>
        </w:rPr>
        <w:t xml:space="preserve">RDB configuration has been used successfully with various </w:t>
      </w:r>
      <w:r w:rsidR="003E420C">
        <w:rPr>
          <w:rFonts w:asciiTheme="minorHAnsi" w:hAnsiTheme="minorHAnsi"/>
        </w:rPr>
        <w:t>model systems</w:t>
      </w:r>
      <w:r w:rsidR="00704BDF" w:rsidRPr="005A49A2">
        <w:rPr>
          <w:rFonts w:asciiTheme="minorHAnsi" w:hAnsiTheme="minorHAnsi"/>
        </w:rPr>
        <w:t xml:space="preserve"> </w:t>
      </w:r>
    </w:p>
    <w:p w:rsidR="00704BDF" w:rsidRPr="005A49A2" w:rsidRDefault="002275F3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5A49A2">
        <w:rPr>
          <w:rFonts w:asciiTheme="minorHAnsi" w:hAnsiTheme="minorHAnsi"/>
        </w:rPr>
        <w:t>S</w:t>
      </w:r>
      <w:r w:rsidR="001E3E63">
        <w:rPr>
          <w:rFonts w:asciiTheme="minorHAnsi" w:hAnsiTheme="minorHAnsi"/>
        </w:rPr>
        <w:t>B configuration</w:t>
      </w:r>
      <w:r w:rsidRPr="005A49A2">
        <w:rPr>
          <w:rFonts w:asciiTheme="minorHAnsi" w:hAnsiTheme="minorHAnsi"/>
        </w:rPr>
        <w:t xml:space="preserve"> </w:t>
      </w:r>
      <w:r w:rsidR="005A49A2" w:rsidRPr="005A49A2">
        <w:rPr>
          <w:rFonts w:asciiTheme="minorHAnsi" w:hAnsiTheme="minorHAnsi"/>
        </w:rPr>
        <w:t xml:space="preserve">enables a more efficient liquid-solid </w:t>
      </w:r>
      <w:r w:rsidRPr="005A49A2">
        <w:rPr>
          <w:rFonts w:asciiTheme="minorHAnsi" w:hAnsiTheme="minorHAnsi"/>
        </w:rPr>
        <w:t xml:space="preserve">mass transfer than </w:t>
      </w:r>
      <w:r w:rsidR="0035623B" w:rsidRPr="005A49A2">
        <w:rPr>
          <w:rFonts w:asciiTheme="minorHAnsi" w:hAnsiTheme="minorHAnsi"/>
        </w:rPr>
        <w:t xml:space="preserve">RDB </w:t>
      </w:r>
    </w:p>
    <w:p w:rsidR="00704BDF" w:rsidRPr="00A15B93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49E8" w:rsidRDefault="00C849E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Liquid-solid adsorption is at the core of many </w:t>
      </w:r>
      <w:r w:rsidR="007B0C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industrial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processes</w:t>
      </w:r>
      <w:r w:rsidR="007B0CB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phenomenon is relatively easy to investigate at laboratory scale</w:t>
      </w:r>
      <w:r w:rsidR="005A4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a stirred vessel</w:t>
      </w:r>
      <w:r w:rsidR="007B0CB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but a proper design and dimensioning requires the acquisition of reliable equilibrium and kinetic data under well-mastered and characterized experimental conditions.</w:t>
      </w:r>
    </w:p>
    <w:p w:rsidR="005A49A2" w:rsidRDefault="005A49A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Similarly, the u</w:t>
      </w:r>
      <w:r w:rsidR="007B0C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 of empirical </w:t>
      </w:r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rate laws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ED4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e.g.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pseudo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Pr="005A49A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nd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order, </w:t>
      </w:r>
      <w:proofErr w:type="spell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Elovich</w:t>
      </w:r>
      <w:proofErr w:type="spell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to describe the kinetics of adsorption 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makes a proper scale-up of the adsorption step difficult. </w:t>
      </w:r>
      <w:r w:rsidR="00EC14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is mainly 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>because the</w:t>
      </w:r>
      <w:r w:rsidR="006D00B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se models’ </w:t>
      </w:r>
      <w:r w:rsidR="00EC14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parameters are difficult to relate to those 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commonly used in process engineering</w:t>
      </w:r>
      <w:r w:rsidR="00ED4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such as mass transfer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>-</w:t>
      </w:r>
      <w:r w:rsidR="00ED4A6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or diffusion coefficient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>-relate</w:t>
      </w:r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dimensionless numbers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:rsidR="005A49A2" w:rsidRDefault="00EC140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 a consequence very few of the promising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applications 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that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described in the literature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are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developed </w:t>
      </w:r>
      <w:r w:rsidR="005A49A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further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up to 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pilot scale operation, not to mention </w:t>
      </w:r>
      <w:r w:rsidR="005A49A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industrial implementation.</w:t>
      </w:r>
    </w:p>
    <w:p w:rsidR="001F3365" w:rsidRDefault="005A49A2" w:rsidP="001F336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propose 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here </w:t>
      </w:r>
      <w:r w:rsidR="00EC14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simple approach that does not require any complex equipment, </w:t>
      </w:r>
      <w:r w:rsidR="000400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but </w:t>
      </w:r>
      <w:r w:rsidR="00EC140E">
        <w:rPr>
          <w:rFonts w:asciiTheme="minorHAnsi" w:eastAsia="MS PGothic" w:hAnsiTheme="minorHAnsi"/>
          <w:color w:val="000000"/>
          <w:sz w:val="22"/>
          <w:szCs w:val="22"/>
          <w:lang w:val="en-US"/>
        </w:rPr>
        <w:t>nevertheless enabl</w:t>
      </w:r>
      <w:r w:rsidR="00040025">
        <w:rPr>
          <w:rFonts w:asciiTheme="minorHAnsi" w:eastAsia="MS PGothic" w:hAnsiTheme="minorHAnsi"/>
          <w:color w:val="000000"/>
          <w:sz w:val="22"/>
          <w:szCs w:val="22"/>
          <w:lang w:val="en-US"/>
        </w:rPr>
        <w:t>es</w:t>
      </w:r>
      <w:r w:rsidR="00EC140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 systematic investigation of the adsorption process and a proper transfer to larger scale.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is based on the use of a </w:t>
      </w:r>
      <w:r w:rsidR="000400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recirculated differential bed such as the one described in Figure 1. This set-up </w:t>
      </w:r>
      <w:r w:rsidR="00F55C64" w:rsidRPr="00003BF6">
        <w:rPr>
          <w:rFonts w:asciiTheme="minorHAnsi" w:eastAsia="MS PGothic" w:hAnsiTheme="minorHAnsi"/>
          <w:sz w:val="22"/>
          <w:szCs w:val="22"/>
          <w:lang w:val="en-US"/>
        </w:rPr>
        <w:t>allows</w:t>
      </w:r>
      <w:r w:rsidR="001F3365" w:rsidRPr="00003BF6">
        <w:rPr>
          <w:rFonts w:asciiTheme="minorHAnsi" w:eastAsia="MS PGothic" w:hAnsiTheme="minorHAnsi"/>
          <w:sz w:val="22"/>
          <w:szCs w:val="22"/>
          <w:lang w:val="en-US"/>
        </w:rPr>
        <w:t xml:space="preserve"> 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a pr</w:t>
      </w:r>
      <w:r w:rsidR="00F55C64">
        <w:rPr>
          <w:rFonts w:asciiTheme="minorHAnsi" w:eastAsia="MS PGothic" w:hAnsiTheme="minorHAnsi"/>
          <w:color w:val="000000"/>
          <w:sz w:val="22"/>
          <w:szCs w:val="22"/>
          <w:lang w:val="en-US"/>
        </w:rPr>
        <w:t>ecise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control of working conditions</w:t>
      </w:r>
      <w:r w:rsidR="00F55C6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and an easy determination of process relevant parameters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5A49A2" w:rsidRDefault="00EC140E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This approach has been successfully applied </w:t>
      </w:r>
      <w:r w:rsidR="001F336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our laboratory to various model systems. These include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adsorption of Methylene Blue or </w:t>
      </w:r>
      <w:proofErr w:type="spellStart"/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Allura</w:t>
      </w:r>
      <w:proofErr w:type="spellEnd"/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Red on </w:t>
      </w:r>
      <w:r w:rsidR="008615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granulated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activated charcoal</w:t>
      </w:r>
      <w:r w:rsidR="008615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(GAC)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of </w:t>
      </w:r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copper ions</w:t>
      </w:r>
      <w:r w:rsidR="0086153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on </w:t>
      </w:r>
      <w:proofErr w:type="spellStart"/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Amberlite</w:t>
      </w:r>
      <w:proofErr w:type="spellEnd"/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IR 120, of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4-nitrophenol or cephalosporin on </w:t>
      </w:r>
      <w:proofErr w:type="spellStart"/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>Amberlite</w:t>
      </w:r>
      <w:proofErr w:type="spellEnd"/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XAD 16, </w:t>
      </w:r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of </w:t>
      </w:r>
      <w:r w:rsidR="0096458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BSA </w:t>
      </w:r>
      <w:r w:rsidR="001C00B6">
        <w:rPr>
          <w:rFonts w:asciiTheme="minorHAnsi" w:eastAsia="MS PGothic" w:hAnsiTheme="minorHAnsi"/>
          <w:color w:val="000000"/>
          <w:sz w:val="22"/>
          <w:szCs w:val="22"/>
          <w:lang w:val="en-US"/>
        </w:rPr>
        <w:t>or IgG on chromatographic resins.</w:t>
      </w:r>
    </w:p>
    <w:p w:rsidR="003E420C" w:rsidRDefault="003E420C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:rsidR="00704BDF" w:rsidRDefault="00704BDF" w:rsidP="00040025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040025" w:rsidRPr="00040025" w:rsidRDefault="00040025" w:rsidP="00040025">
      <w:pPr>
        <w:snapToGrid w:val="0"/>
        <w:spacing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</w:t>
      </w:r>
      <w:r w:rsidRPr="0004002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easurements were performed at room temp</w:t>
      </w:r>
      <w:r w:rsidR="003E42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erature (20</w:t>
      </w:r>
      <w:r w:rsidRPr="0004002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±1</w:t>
      </w:r>
      <w:r w:rsidR="003E420C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Pr="00040025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°C).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 known volume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V</w:t>
      </w:r>
      <w:r w:rsidRPr="0004002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liq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a solution of adsorbate with an initial concentration C</w:t>
      </w:r>
      <w:r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0</w:t>
      </w:r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was contacted with a mass </w:t>
      </w:r>
      <w:proofErr w:type="spellStart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m</w:t>
      </w:r>
      <w:r w:rsidRPr="00040025">
        <w:rPr>
          <w:rFonts w:asciiTheme="minorHAnsi" w:eastAsia="MS PGothic" w:hAnsiTheme="minorHAnsi"/>
          <w:bCs/>
          <w:color w:val="000000"/>
          <w:sz w:val="22"/>
          <w:szCs w:val="22"/>
          <w:vertAlign w:val="subscript"/>
          <w:lang w:val="en-US"/>
        </w:rPr>
        <w:t>sor</w:t>
      </w:r>
      <w:proofErr w:type="spellEnd"/>
      <w:r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of sorbent.</w:t>
      </w:r>
    </w:p>
    <w:p w:rsidR="008B4167" w:rsidRDefault="008B416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The residual concentration of adsorbate in the liquid phase, </w:t>
      </w:r>
      <w:proofErr w:type="gramStart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C(</w:t>
      </w:r>
      <w:proofErr w:type="gramEnd"/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t), was determined as a function of contacting time by spectrophotometry, ICP-MS or measurement of a colored complex. The corresponding adsorbed concentrations </w:t>
      </w:r>
      <w:proofErr w:type="gramStart"/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q(</w:t>
      </w:r>
      <w:proofErr w:type="gramEnd"/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t)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were calculated using </w:t>
      </w:r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m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ass balance</w:t>
      </w:r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Eq. 1:   </w:t>
      </w:r>
    </w:p>
    <w:p w:rsidR="008B4167" w:rsidRPr="008B4167" w:rsidRDefault="008B416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m:oMath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q</m:t>
        </m:r>
        <m:d>
          <m:d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t</m:t>
            </m:r>
          </m:e>
        </m:d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 xml:space="preserve">= </m:t>
        </m:r>
        <m:f>
          <m:f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liq</m:t>
                </m:r>
              </m:sub>
            </m:sSub>
          </m:num>
          <m:den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m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sor</m:t>
                </m:r>
              </m:sub>
            </m:sSub>
          </m:den>
        </m:f>
        <m:r>
          <w:rPr>
            <w:rFonts w:ascii="Cambria Math" w:eastAsia="MS PGothic" w:hAnsi="Cambria Math"/>
            <w:color w:val="000000"/>
            <w:sz w:val="22"/>
            <w:szCs w:val="22"/>
            <w:lang w:val="en-US"/>
          </w:rPr>
          <m:t>∙</m:t>
        </m:r>
        <m:d>
          <m:dPr>
            <m:ctrlPr>
              <w:rPr>
                <w:rFonts w:ascii="Cambria Math" w:eastAsia="MS PGothic" w:hAnsi="Cambria Math"/>
                <w:i/>
                <w:color w:val="000000"/>
                <w:sz w:val="22"/>
                <w:szCs w:val="22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="MS PGothic" w:hAnsi="Cambria Math"/>
                    <w:i/>
                    <w:color w:val="000000"/>
                    <w:sz w:val="22"/>
                    <w:szCs w:val="22"/>
                    <w:lang w:val="en-US"/>
                  </w:rPr>
                </m:ctrlPr>
              </m:sSubPr>
              <m:e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C</m:t>
                </m:r>
              </m:e>
              <m:sub>
                <m:r>
                  <w:rPr>
                    <w:rFonts w:ascii="Cambria Math" w:eastAsia="MS PGothic" w:hAnsi="Cambria Math"/>
                    <w:color w:val="000000"/>
                    <w:sz w:val="22"/>
                    <w:szCs w:val="22"/>
                    <w:lang w:val="en-US"/>
                  </w:rPr>
                  <m:t>0</m:t>
                </m:r>
              </m:sub>
            </m:sSub>
            <m:r>
              <w:rPr>
                <w:rFonts w:ascii="Cambria Math" w:eastAsia="MS PGothic" w:hAnsi="Cambria Math"/>
                <w:color w:val="000000"/>
                <w:sz w:val="22"/>
                <w:szCs w:val="22"/>
                <w:lang w:val="en-US"/>
              </w:rPr>
              <m:t>-C(t)</m:t>
            </m:r>
          </m:e>
        </m:d>
      </m:oMath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  <w:t>Eq. 1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ab/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Default="00E21320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 short selection of results is shown here. 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Recirculated Differential Bed configuration is shown on Figure 1</w:t>
      </w:r>
      <w:r w:rsidR="001E3E6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below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400 mL 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methylene </w:t>
      </w:r>
      <w:r w:rsidR="00063395">
        <w:rPr>
          <w:rFonts w:asciiTheme="minorHAnsi" w:eastAsia="MS PGothic" w:hAnsiTheme="minorHAnsi"/>
          <w:color w:val="000000"/>
          <w:sz w:val="22"/>
          <w:szCs w:val="22"/>
          <w:lang w:val="en-US"/>
        </w:rPr>
        <w:t>blue solution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(C</w:t>
      </w:r>
      <w:r w:rsidR="005D7177" w:rsidRPr="005D7177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>=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1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>2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mg/L</w:t>
      </w:r>
      <w:r w:rsidR="005D717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was pumped at various flow rates </w:t>
      </w:r>
      <w:proofErr w:type="spellStart"/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>Q</w:t>
      </w:r>
      <w:r w:rsidR="00F430D4" w:rsidRPr="00F430D4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rec</w:t>
      </w:r>
      <w:proofErr w:type="spellEnd"/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over a shallow fixed bed with 51.2 mg </w:t>
      </w:r>
      <w:r w:rsidR="00861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GAC</w:t>
      </w:r>
      <w:r w:rsidR="00F430D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(mean particle diameter 190 µm). </w:t>
      </w:r>
      <w:r w:rsidR="0086153F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results are shown in Figure 2.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6267"/>
      </w:tblGrid>
      <w:tr w:rsidR="00F430D4" w:rsidTr="00BD4FE2">
        <w:tc>
          <w:tcPr>
            <w:tcW w:w="2660" w:type="dxa"/>
          </w:tcPr>
          <w:p w:rsidR="00F430D4" w:rsidRDefault="00F430D4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fr-CH" w:eastAsia="fr-CH"/>
              </w:rPr>
              <w:drawing>
                <wp:inline distT="0" distB="0" distL="0" distR="0" wp14:anchorId="67DBFC2B" wp14:editId="7D65E1B9">
                  <wp:extent cx="1432061" cy="1501254"/>
                  <wp:effectExtent l="0" t="0" r="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290" cy="15035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30D4" w:rsidRDefault="00F430D4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 1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 w:rsidRPr="00DE0019">
              <w:rPr>
                <w:rFonts w:asciiTheme="minorHAnsi" w:hAnsiTheme="minorHAnsi"/>
                <w:lang w:val="en-US"/>
              </w:rPr>
              <w:t xml:space="preserve"> </w:t>
            </w:r>
            <w:r>
              <w:rPr>
                <w:rFonts w:asciiTheme="minorHAnsi" w:hAnsiTheme="minorHAnsi"/>
                <w:lang w:val="en-US"/>
              </w:rPr>
              <w:t>The RDB configuration</w:t>
            </w:r>
          </w:p>
        </w:tc>
        <w:tc>
          <w:tcPr>
            <w:tcW w:w="6267" w:type="dxa"/>
          </w:tcPr>
          <w:p w:rsidR="00F430D4" w:rsidRDefault="00E21320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noProof/>
                <w:sz w:val="24"/>
                <w:szCs w:val="24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894241</wp:posOffset>
                      </wp:positionV>
                      <wp:extent cx="846162" cy="218364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6162" cy="21836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21320" w:rsidRPr="00B85B1F" w:rsidRDefault="00E21320">
                                  <w:pPr>
                                    <w:rPr>
                                      <w:sz w:val="14"/>
                                      <w:szCs w:val="14"/>
                                      <w:lang w:val="fr-CH"/>
                                    </w:rPr>
                                  </w:pPr>
                                  <w:proofErr w:type="spellStart"/>
                                  <w:proofErr w:type="gramStart"/>
                                  <w:r w:rsidRPr="00B85B1F">
                                    <w:rPr>
                                      <w:sz w:val="14"/>
                                      <w:szCs w:val="14"/>
                                      <w:lang w:val="fr-CH"/>
                                    </w:rPr>
                                    <w:t>increasing</w:t>
                                  </w:r>
                                  <w:proofErr w:type="spellEnd"/>
                                  <w:proofErr w:type="gramEnd"/>
                                  <w:r w:rsidRPr="00B85B1F">
                                    <w:rPr>
                                      <w:sz w:val="14"/>
                                      <w:szCs w:val="14"/>
                                      <w:lang w:val="fr-CH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85B1F">
                                    <w:rPr>
                                      <w:sz w:val="14"/>
                                      <w:szCs w:val="14"/>
                                      <w:lang w:val="fr-CH"/>
                                    </w:rPr>
                                    <w:t>Q</w:t>
                                  </w:r>
                                  <w:r w:rsidRPr="00B85B1F">
                                    <w:rPr>
                                      <w:sz w:val="14"/>
                                      <w:szCs w:val="14"/>
                                      <w:vertAlign w:val="subscript"/>
                                      <w:lang w:val="fr-CH"/>
                                    </w:rPr>
                                    <w:t>rec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77.95pt;margin-top:70.4pt;width:66.65pt;height:1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62fwIAAGgFAAAOAAAAZHJzL2Uyb0RvYy54bWysVN9P2zAQfp+0/8Hy+0hb2o5VpKgDMU1C&#10;gAYTz65j02i2z7OvTbq/fmcnKRXbC9NekvPd58/3+/yitYbtVIg1uJKPT0acKSehqt1zyb8/Xn84&#10;4yyicJUw4FTJ9yryi+X7d+eNX6gJbMBUKjAicXHR+JJvEP2iKKLcKCviCXjlyKghWIF0DM9FFURD&#10;7NYUk9FoXjQQKh9AqhhJe9UZ+TLza60k3mkdFTJTcvIN8zfk7zp9i+W5WDwH4Te17N0Q/+CFFbWj&#10;Rw9UVwIF24b6DypbywARNJ5IsAVoXUuVY6BoxqNX0TxshFc5FkpO9Ic0xf9HK29394HVVclnnDlh&#10;qUSPqkX2GVo2S9lpfFwQ6METDFtSU5UHfSRlCrrVwaY/hcPITnneH3KbyCQpz6bz8XzCmSTTZHx2&#10;Op8mluLlsg8RvyiwLAklD1S6nFGxu4nYQQdIesvBdW1MLp9xrCn5/HQ2yhcOFiI3LmFVboSeJgXU&#10;OZ4l3BuVMMZ9U5oSkf1PityC6tIEthPUPEJK5TCHnnkJnVCanHjLxR7/4tVbLndxDC+Dw8NlWzsI&#10;OfpXblc/Bpd1h6ecH8WdRGzXbe6AQ13XUO2p3AG6cYleXtdUlBsR8V4Emg+qMM083tFHG6DkQy9x&#10;toHw62/6hKe2JStnDc1byePPrQiKM/PVUUN/Gk+naUDzYTr7OKFDOLasjy1uay+BqjKm7eJlFhMe&#10;zSDqAPaJVsMqvUom4SS9XXIcxEvstgCtFqlWqwyikfQCb9yDl4k6FSm13GP7JILv+xKpoW9hmEyx&#10;eNWeHTbddLDaIug6927Kc5fVPv80zrn7+9WT9sXxOaNeFuTyNwAAAP//AwBQSwMEFAAGAAgAAAAh&#10;AJOmWl/hAAAACwEAAA8AAABkcnMvZG93bnJldi54bWxMj0FPwzAMhe9I/IfISNxYSkShK02nqdKE&#10;hOCwsQu3tPHaisYpTbYVfj3mBDc/++n5e8VqdoM44RR6TxpuFwkIpMbbnloN+7fNTQYiREPWDJ5Q&#10;wxcGWJWXF4XJrT/TFk+72AoOoZAbDV2MYy5laDp0Jiz8iMS3g5+ciSynVtrJnDncDVIlyb10pif+&#10;0JkRqw6bj93RaXiuNq9mWyuXfQ/V08thPX7u31Otr6/m9SOIiHP8M8MvPqNDyUy1P5INYmCdpku2&#10;8nCXcAd2qGypQNS8eUgVyLKQ/zuUPwAAAP//AwBQSwECLQAUAAYACAAAACEAtoM4kv4AAADhAQAA&#10;EwAAAAAAAAAAAAAAAAAAAAAAW0NvbnRlbnRfVHlwZXNdLnhtbFBLAQItABQABgAIAAAAIQA4/SH/&#10;1gAAAJQBAAALAAAAAAAAAAAAAAAAAC8BAABfcmVscy8ucmVsc1BLAQItABQABgAIAAAAIQBEJq62&#10;fwIAAGgFAAAOAAAAAAAAAAAAAAAAAC4CAABkcnMvZTJvRG9jLnhtbFBLAQItABQABgAIAAAAIQCT&#10;plpf4QAAAAsBAAAPAAAAAAAAAAAAAAAAANkEAABkcnMvZG93bnJldi54bWxQSwUGAAAAAAQABADz&#10;AAAA5wUAAAAA&#10;" filled="f" stroked="f" strokeweight=".5pt">
                      <v:textbox>
                        <w:txbxContent>
                          <w:p w:rsidR="00E21320" w:rsidRPr="00B85B1F" w:rsidRDefault="00E21320">
                            <w:pPr>
                              <w:rPr>
                                <w:sz w:val="14"/>
                                <w:szCs w:val="14"/>
                                <w:lang w:val="fr-CH"/>
                              </w:rPr>
                            </w:pPr>
                            <w:proofErr w:type="spellStart"/>
                            <w:proofErr w:type="gramStart"/>
                            <w:r w:rsidRPr="00B85B1F">
                              <w:rPr>
                                <w:sz w:val="14"/>
                                <w:szCs w:val="14"/>
                                <w:lang w:val="fr-CH"/>
                              </w:rPr>
                              <w:t>increasing</w:t>
                            </w:r>
                            <w:proofErr w:type="spellEnd"/>
                            <w:proofErr w:type="gramEnd"/>
                            <w:r w:rsidRPr="00B85B1F">
                              <w:rPr>
                                <w:sz w:val="14"/>
                                <w:szCs w:val="14"/>
                                <w:lang w:val="fr-CH"/>
                              </w:rPr>
                              <w:t xml:space="preserve"> </w:t>
                            </w:r>
                            <w:proofErr w:type="spellStart"/>
                            <w:r w:rsidRPr="00B85B1F">
                              <w:rPr>
                                <w:sz w:val="14"/>
                                <w:szCs w:val="14"/>
                                <w:lang w:val="fr-CH"/>
                              </w:rPr>
                              <w:t>Q</w:t>
                            </w:r>
                            <w:r w:rsidRPr="00B85B1F">
                              <w:rPr>
                                <w:sz w:val="14"/>
                                <w:szCs w:val="14"/>
                                <w:vertAlign w:val="subscript"/>
                                <w:lang w:val="fr-CH"/>
                              </w:rPr>
                              <w:t>rec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val="fr-CH" w:eastAsia="fr-CH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915661</wp:posOffset>
                      </wp:positionH>
                      <wp:positionV relativeFrom="paragraph">
                        <wp:posOffset>384649</wp:posOffset>
                      </wp:positionV>
                      <wp:extent cx="436728" cy="525439"/>
                      <wp:effectExtent l="38100" t="38100" r="20955" b="27305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36728" cy="525439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2.1pt;margin-top:30.3pt;width:34.4pt;height:41.3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UnCwIAAG0EAAAOAAAAZHJzL2Uyb0RvYy54bWysVE2P0zAQvSPxHyzfadLsF0RNV6hl4YDY&#10;igXuXsdOLPlLY9O0/56xk6Z0OYG4WGN73sx7L+Os7g9Gk72AoJxt6HJRUiIsd62yXUO/f3t485aS&#10;EJltmXZWNPQoAr1fv361GnwtKtc73QogWMSGevAN7WP0dVEE3gvDwsJ5YfFSOjAs4ha6ogU2YHWj&#10;i6osb4vBQevBcRECnm7HS7rO9aUUPD5KGUQkuqHILeYV8vqc1mK9YnUHzPeKTzTYP7AwTFlsOpfa&#10;ssjIT1B/lDKKgwtOxgV3pnBSKi6yBlSzLF+oeeqZF1kLmhP8bFP4f2X5l/0OiGobWlFimcFP9BSB&#10;qa6P5D2AG8jGWYs2OiBVcmvwoUbQxu5g2gW/gyT9IMEQqZX/hINAc/QjRekOhZJDdv04uy4OkXA8&#10;vL66vatwTDhe3VQ311fvUp9iLJjAHkL8KJwhKWhomPjNxMYWbP85xBF4AiSwtmRAFtVdWWYmwWnV&#10;Piit02UeM7HRQPYMByQellPri6xUbstCPya1GKUsVkem9Afbknj0aFsExWynxVRBW9SQzBrtyVE8&#10;ajFy+iokmo7iR+4veDDOhY0nLtpidoJJZD0DJzXpnZwFXAKn/AQV+Sn8DXhG5M7OxhlslHUwennZ&#10;/WyfHPNPDoy6kwXPrj3mwcnW4EznDz29v/Roft9n+Pkvsf4FAAD//wMAUEsDBBQABgAIAAAAIQCA&#10;Yfoa3QAAAAoBAAAPAAAAZHJzL2Rvd25yZXYueG1sTI9BS8QwFITvgv8hPMGbm25bg9SmiwqCqLDa&#10;1XvaPNti81Ka7G7997496XGY4ZuZcrO4URxwDoMnDetVAgKp9XagTsPH7vHqBkSIhqwZPaGGHwyw&#10;qc7PSlNYf6R3PNSxEwyhUBgNfYxTIWVoe3QmrPyExN6Xn52JLOdO2tkcGe5GmSaJks4MxA29mfCh&#10;x/a73jsNr821/LzPltw9bV/UW717ZojS+vJiubsFEXGJf2E4zefpUPGmxu/JBjGyzvOUoxpUokBw&#10;IF1nfK45OVkGsirl/wvVLwAAAP//AwBQSwECLQAUAAYACAAAACEAtoM4kv4AAADhAQAAEwAAAAAA&#10;AAAAAAAAAAAAAAAAW0NvbnRlbnRfVHlwZXNdLnhtbFBLAQItABQABgAIAAAAIQA4/SH/1gAAAJQB&#10;AAALAAAAAAAAAAAAAAAAAC8BAABfcmVscy8ucmVsc1BLAQItABQABgAIAAAAIQBc7iUnCwIAAG0E&#10;AAAOAAAAAAAAAAAAAAAAAC4CAABkcnMvZTJvRG9jLnhtbFBLAQItABQABgAIAAAAIQCAYfoa3QAA&#10;AAoBAAAPAAAAAAAAAAAAAAAAAGUEAABkcnMvZG93bnJldi54bWxQSwUGAAAAAAQABADzAAAAbwUA&#10;AAAA&#10;" strokecolor="black [3213]" strokeweight="1pt">
                      <v:stroke dashstyle="dash" endarrow="block"/>
                    </v:shape>
                  </w:pict>
                </mc:Fallback>
              </mc:AlternateContent>
            </w:r>
            <w:r w:rsidR="004D6B3A">
              <w:rPr>
                <w:sz w:val="24"/>
                <w:szCs w:val="24"/>
              </w:rPr>
              <w:pict>
                <v:rect id="_x0000_s1029" style="position:absolute;left:0;text-align:left;margin-left:1702.8pt;margin-top:466.45pt;width:514.3pt;height:327.75pt;z-index:251660288;mso-position-horizontal-relative:text;mso-position-vertical-relative:text" o:preferrelative="t" filled="f" stroked="f" insetpen="t" o:cliptowrap="t">
                  <v:imagedata r:id="rId12" o:title=""/>
                  <v:path o:extrusionok="f"/>
                  <o:lock v:ext="edit" aspectratio="t"/>
                </v:rect>
                <o:OLEObject Type="Embed" ProgID="Excel.Sheet.12" ShapeID="_x0000_s1029" DrawAspect="Content" ObjectID="_1609158189" r:id="rId13"/>
              </w:pict>
            </w:r>
            <w:r w:rsidR="0086153F">
              <w:rPr>
                <w:rFonts w:asciiTheme="minorHAnsi" w:eastAsia="MS PGothic" w:hAnsiTheme="minorHAnsi"/>
                <w:color w:val="000000"/>
                <w:sz w:val="22"/>
                <w:szCs w:val="22"/>
              </w:rPr>
              <w:t xml:space="preserve">        </w:t>
            </w:r>
            <w:r w:rsidR="00BD4FE2">
              <w:rPr>
                <w:rFonts w:asciiTheme="minorHAnsi" w:eastAsia="MS PGothic" w:hAnsiTheme="minorHAnsi"/>
                <w:noProof/>
                <w:color w:val="000000"/>
                <w:sz w:val="22"/>
                <w:szCs w:val="22"/>
                <w:lang w:val="fr-CH" w:eastAsia="fr-CH"/>
              </w:rPr>
              <w:drawing>
                <wp:inline distT="0" distB="0" distL="0" distR="0" wp14:anchorId="6913C4EA">
                  <wp:extent cx="2356790" cy="1501254"/>
                  <wp:effectExtent l="0" t="0" r="5715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238" cy="1502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430D4" w:rsidRDefault="00F430D4" w:rsidP="00704BDF">
            <w:pPr>
              <w:snapToGrid w:val="0"/>
              <w:spacing w:after="120"/>
              <w:rPr>
                <w:rFonts w:asciiTheme="minorHAnsi" w:eastAsia="MS PGothic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lang w:val="en-US"/>
              </w:rPr>
              <w:t xml:space="preserve">  </w:t>
            </w:r>
            <w:r w:rsidR="0086153F">
              <w:rPr>
                <w:rFonts w:asciiTheme="minorHAnsi" w:hAnsiTheme="minorHAnsi"/>
                <w:lang w:val="en-US"/>
              </w:rPr>
              <w:t xml:space="preserve"> 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>Figure</w:t>
            </w:r>
            <w:r>
              <w:rPr>
                <w:rFonts w:asciiTheme="minorHAnsi" w:eastAsia="MS PGothic" w:hAnsiTheme="minorHAnsi"/>
                <w:b/>
                <w:color w:val="000000"/>
                <w:szCs w:val="18"/>
                <w:lang w:val="en-US"/>
              </w:rPr>
              <w:t xml:space="preserve"> 2</w:t>
            </w:r>
            <w:r w:rsidRPr="00DE0019">
              <w:rPr>
                <w:rFonts w:asciiTheme="minorHAnsi" w:eastAsia="MS PGothic" w:hAnsiTheme="minorHAnsi"/>
                <w:b/>
                <w:color w:val="000000"/>
                <w:szCs w:val="18"/>
                <w:lang w:val="en-US" w:eastAsia="ko-KR"/>
              </w:rPr>
              <w:t>.</w:t>
            </w:r>
            <w:r w:rsidRPr="00DE0019"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 xml:space="preserve"> </w:t>
            </w:r>
            <w:r>
              <w:rPr>
                <w:rFonts w:asciiTheme="minorHAnsi" w:eastAsia="MS PGothic" w:hAnsiTheme="minorHAnsi"/>
                <w:color w:val="000000"/>
                <w:szCs w:val="18"/>
                <w:lang w:val="en-US"/>
              </w:rPr>
              <w:t>Adsorption kinetics of MB on GAC at various flow rates</w:t>
            </w:r>
          </w:p>
        </w:tc>
      </w:tr>
    </w:tbl>
    <w:p w:rsidR="00F430D4" w:rsidRDefault="005D717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noProof/>
          <w:sz w:val="24"/>
          <w:szCs w:val="24"/>
          <w:lang w:val="fr-CH" w:eastAsia="fr-CH"/>
        </w:rPr>
        <w:drawing>
          <wp:anchor distT="36576" distB="36576" distL="36576" distR="36576" simplePos="0" relativeHeight="251658240" behindDoc="0" locked="0" layoutInCell="1" allowOverlap="1" wp14:anchorId="635FB14D" wp14:editId="6921D48D">
            <wp:simplePos x="0" y="0"/>
            <wp:positionH relativeFrom="column">
              <wp:posOffset>1021715</wp:posOffset>
            </wp:positionH>
            <wp:positionV relativeFrom="paragraph">
              <wp:posOffset>8841740</wp:posOffset>
            </wp:positionV>
            <wp:extent cx="3946525" cy="41414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414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30D4"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FC572F">
        <w:rPr>
          <w:rFonts w:asciiTheme="minorHAnsi" w:eastAsia="MS PGothic" w:hAnsiTheme="minorHAnsi"/>
          <w:color w:val="000000"/>
          <w:sz w:val="22"/>
          <w:szCs w:val="22"/>
        </w:rPr>
        <w:t xml:space="preserve">xternal mass transfer coefficient </w:t>
      </w:r>
      <w:r w:rsidR="0086153F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86153F" w:rsidRPr="0086153F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86153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FC572F">
        <w:rPr>
          <w:rFonts w:asciiTheme="minorHAnsi" w:eastAsia="MS PGothic" w:hAnsiTheme="minorHAnsi"/>
          <w:color w:val="000000"/>
          <w:sz w:val="22"/>
          <w:szCs w:val="22"/>
        </w:rPr>
        <w:t xml:space="preserve">was estimated </w:t>
      </w:r>
      <w:r w:rsidR="0086153F">
        <w:rPr>
          <w:rFonts w:asciiTheme="minorHAnsi" w:eastAsia="MS PGothic" w:hAnsiTheme="minorHAnsi"/>
          <w:color w:val="000000"/>
          <w:sz w:val="22"/>
          <w:szCs w:val="22"/>
        </w:rPr>
        <w:t xml:space="preserve">from the initial slope of the </w:t>
      </w:r>
      <w:proofErr w:type="gramStart"/>
      <w:r w:rsidR="0086153F">
        <w:rPr>
          <w:rFonts w:asciiTheme="minorHAnsi" w:eastAsia="MS PGothic" w:hAnsiTheme="minorHAnsi"/>
          <w:color w:val="000000"/>
          <w:sz w:val="22"/>
          <w:szCs w:val="22"/>
        </w:rPr>
        <w:t>C(</w:t>
      </w:r>
      <w:proofErr w:type="gramEnd"/>
      <w:r w:rsidR="0086153F">
        <w:rPr>
          <w:rFonts w:asciiTheme="minorHAnsi" w:eastAsia="MS PGothic" w:hAnsiTheme="minorHAnsi"/>
          <w:color w:val="000000"/>
          <w:sz w:val="22"/>
          <w:szCs w:val="22"/>
        </w:rPr>
        <w:t xml:space="preserve">t) kinetics curves, as described in </w:t>
      </w:r>
      <w:r w:rsidR="00F430D4">
        <w:rPr>
          <w:rFonts w:asciiTheme="minorHAnsi" w:eastAsia="MS PGothic" w:hAnsiTheme="minorHAnsi"/>
          <w:color w:val="000000"/>
          <w:sz w:val="22"/>
          <w:szCs w:val="22"/>
        </w:rPr>
        <w:t>[1]</w:t>
      </w:r>
      <w:r w:rsidR="0086153F">
        <w:rPr>
          <w:rFonts w:asciiTheme="minorHAnsi" w:eastAsia="MS PGothic" w:hAnsiTheme="minorHAnsi"/>
          <w:color w:val="000000"/>
          <w:sz w:val="22"/>
          <w:szCs w:val="22"/>
        </w:rPr>
        <w:t xml:space="preserve">. The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k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86153F">
        <w:rPr>
          <w:rFonts w:asciiTheme="minorHAnsi" w:eastAsia="MS PGothic" w:hAnsiTheme="minorHAnsi"/>
          <w:color w:val="000000"/>
          <w:sz w:val="22"/>
          <w:szCs w:val="22"/>
        </w:rPr>
        <w:t xml:space="preserve">values ranged from 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</w:rPr>
        <w:t>1.73·10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-5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 xml:space="preserve">m/s at </w:t>
      </w:r>
      <w:r w:rsidR="00382198">
        <w:rPr>
          <w:rFonts w:asciiTheme="minorHAnsi" w:eastAsia="MS PGothic" w:hAnsiTheme="minorHAnsi"/>
          <w:color w:val="000000"/>
          <w:sz w:val="22"/>
          <w:szCs w:val="22"/>
        </w:rPr>
        <w:t xml:space="preserve">2.8 ml/min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 xml:space="preserve">to 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</w:rPr>
        <w:t>1.18·10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-4</w:t>
      </w:r>
      <w:r w:rsidR="003C1D82" w:rsidRPr="003C1D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 xml:space="preserve">m/s at 67 ml/min. This </w:t>
      </w:r>
      <w:r w:rsidR="00651C0D">
        <w:rPr>
          <w:rFonts w:asciiTheme="minorHAnsi" w:eastAsia="MS PGothic" w:hAnsiTheme="minorHAnsi"/>
          <w:color w:val="000000"/>
          <w:sz w:val="22"/>
          <w:szCs w:val="22"/>
        </w:rPr>
        <w:t xml:space="preserve">suggests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a significant contribution of external mass transfer to the overall adsorption process</w:t>
      </w:r>
      <w:r w:rsidR="00DB68D2">
        <w:rPr>
          <w:rFonts w:asciiTheme="minorHAnsi" w:eastAsia="MS PGothic" w:hAnsiTheme="minorHAnsi"/>
          <w:color w:val="000000"/>
          <w:sz w:val="22"/>
          <w:szCs w:val="22"/>
        </w:rPr>
        <w:t>, as described in [2]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.</w:t>
      </w:r>
    </w:p>
    <w:p w:rsidR="00FC572F" w:rsidRPr="008D0BEB" w:rsidRDefault="00E85709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>
        <w:rPr>
          <w:rFonts w:asciiTheme="minorHAnsi" w:eastAsia="MS PGothic" w:hAnsiTheme="minorHAnsi"/>
          <w:color w:val="000000"/>
          <w:sz w:val="22"/>
          <w:szCs w:val="22"/>
        </w:rPr>
        <w:t>E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xternal mass transfer coefficient</w:t>
      </w:r>
      <w:r>
        <w:rPr>
          <w:rFonts w:asciiTheme="minorHAnsi" w:eastAsia="MS PGothic" w:hAnsiTheme="minorHAnsi"/>
          <w:color w:val="000000"/>
          <w:sz w:val="22"/>
          <w:szCs w:val="22"/>
        </w:rPr>
        <w:t xml:space="preserve">s were 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 xml:space="preserve">also measured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with</w:t>
      </w:r>
      <w:r w:rsidR="006D00B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3C1D82">
        <w:rPr>
          <w:rFonts w:asciiTheme="minorHAnsi" w:eastAsia="MS PGothic" w:hAnsiTheme="minorHAnsi"/>
          <w:color w:val="000000"/>
          <w:sz w:val="22"/>
          <w:szCs w:val="22"/>
        </w:rPr>
        <w:t>the spinning basket</w:t>
      </w:r>
      <w:r w:rsidR="006D00BF">
        <w:rPr>
          <w:rFonts w:asciiTheme="minorHAnsi" w:eastAsia="MS PGothic" w:hAnsiTheme="minorHAnsi"/>
          <w:color w:val="000000"/>
          <w:sz w:val="22"/>
          <w:szCs w:val="22"/>
        </w:rPr>
        <w:t xml:space="preserve"> from </w:t>
      </w:r>
      <w:proofErr w:type="spellStart"/>
      <w:r w:rsidR="006D00BF">
        <w:rPr>
          <w:rFonts w:asciiTheme="minorHAnsi" w:eastAsia="MS PGothic" w:hAnsiTheme="minorHAnsi"/>
          <w:color w:val="000000"/>
          <w:sz w:val="22"/>
          <w:szCs w:val="22"/>
        </w:rPr>
        <w:t>SpinChem</w:t>
      </w:r>
      <w:proofErr w:type="spellEnd"/>
      <w:r w:rsidR="006D00B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>AB (</w:t>
      </w:r>
      <w:proofErr w:type="spellStart"/>
      <w:r w:rsidR="0047317E">
        <w:rPr>
          <w:rFonts w:asciiTheme="minorHAnsi" w:eastAsia="MS PGothic" w:hAnsiTheme="minorHAnsi"/>
          <w:color w:val="000000"/>
          <w:sz w:val="22"/>
          <w:szCs w:val="22"/>
        </w:rPr>
        <w:t>Umeå</w:t>
      </w:r>
      <w:proofErr w:type="spellEnd"/>
      <w:r w:rsidR="0047317E">
        <w:rPr>
          <w:rFonts w:asciiTheme="minorHAnsi" w:eastAsia="MS PGothic" w:hAnsiTheme="minorHAnsi"/>
          <w:color w:val="000000"/>
          <w:sz w:val="22"/>
          <w:szCs w:val="22"/>
        </w:rPr>
        <w:t xml:space="preserve">, Sweden) </w:t>
      </w:r>
      <w:r w:rsidR="006D00BF">
        <w:rPr>
          <w:rFonts w:asciiTheme="minorHAnsi" w:eastAsia="MS PGothic" w:hAnsiTheme="minorHAnsi"/>
          <w:color w:val="000000"/>
          <w:sz w:val="22"/>
          <w:szCs w:val="22"/>
        </w:rPr>
        <w:t xml:space="preserve">during the adsorption of 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 xml:space="preserve">methylene blue (12 mg/L) on </w:t>
      </w:r>
      <w:r w:rsidR="00063395">
        <w:rPr>
          <w:rFonts w:asciiTheme="minorHAnsi" w:eastAsia="MS PGothic" w:hAnsiTheme="minorHAnsi"/>
          <w:color w:val="000000"/>
          <w:sz w:val="22"/>
          <w:szCs w:val="22"/>
        </w:rPr>
        <w:t>G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>AC</w:t>
      </w:r>
      <w:r w:rsidR="00063395">
        <w:rPr>
          <w:rFonts w:asciiTheme="minorHAnsi" w:eastAsia="MS PGothic" w:hAnsiTheme="minorHAnsi"/>
          <w:color w:val="000000"/>
          <w:sz w:val="22"/>
          <w:szCs w:val="22"/>
        </w:rPr>
        <w:t xml:space="preserve"> (mean part. diam. 300 µm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>)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>. The values</w:t>
      </w:r>
      <w:r w:rsidR="006D00BF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063395">
        <w:rPr>
          <w:rFonts w:asciiTheme="minorHAnsi" w:eastAsia="MS PGothic" w:hAnsiTheme="minorHAnsi"/>
          <w:color w:val="000000"/>
          <w:sz w:val="22"/>
          <w:szCs w:val="22"/>
        </w:rPr>
        <w:t>of k</w:t>
      </w:r>
      <w:r w:rsidR="00063395" w:rsidRPr="00063395">
        <w:rPr>
          <w:rFonts w:asciiTheme="minorHAnsi" w:eastAsia="MS PGothic" w:hAnsiTheme="minorHAnsi"/>
          <w:color w:val="000000"/>
          <w:sz w:val="22"/>
          <w:szCs w:val="22"/>
          <w:vertAlign w:val="subscript"/>
        </w:rPr>
        <w:t>l</w:t>
      </w:r>
      <w:r w:rsidR="00063395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>also increased with increasing rotation speed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 xml:space="preserve"> and th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 xml:space="preserve">ey varied between 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>2.71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</w:rPr>
        <w:t>·10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r w:rsidR="0047317E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4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 xml:space="preserve">m/s at 100 rpm and </w:t>
      </w:r>
      <w:r w:rsidR="001E3E63">
        <w:rPr>
          <w:rFonts w:asciiTheme="minorHAnsi" w:eastAsia="MS PGothic" w:hAnsiTheme="minorHAnsi"/>
          <w:color w:val="000000"/>
          <w:sz w:val="22"/>
          <w:szCs w:val="22"/>
        </w:rPr>
        <w:t>7.17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</w:rPr>
        <w:t>·10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-</w:t>
      </w:r>
      <w:r w:rsidR="001E3E63">
        <w:rPr>
          <w:rFonts w:asciiTheme="minorHAnsi" w:eastAsia="MS PGothic" w:hAnsiTheme="minorHAnsi"/>
          <w:color w:val="000000"/>
          <w:sz w:val="22"/>
          <w:szCs w:val="22"/>
          <w:vertAlign w:val="superscript"/>
        </w:rPr>
        <w:t>4</w:t>
      </w:r>
      <w:r w:rsidR="0047317E" w:rsidRPr="003C1D82">
        <w:rPr>
          <w:rFonts w:asciiTheme="minorHAnsi" w:eastAsia="MS PGothic" w:hAnsiTheme="minorHAnsi"/>
          <w:color w:val="000000"/>
          <w:sz w:val="22"/>
          <w:szCs w:val="22"/>
        </w:rPr>
        <w:t xml:space="preserve"> </w:t>
      </w:r>
      <w:r w:rsidR="0047317E">
        <w:rPr>
          <w:rFonts w:asciiTheme="minorHAnsi" w:eastAsia="MS PGothic" w:hAnsiTheme="minorHAnsi"/>
          <w:color w:val="000000"/>
          <w:sz w:val="22"/>
          <w:szCs w:val="22"/>
        </w:rPr>
        <w:t xml:space="preserve">m/s at 300 rpm. 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F430D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Although the spinning basket contactor enables to reach higher external mass transfer coefficients, the </w:t>
      </w:r>
      <w:r w:rsidR="0047317E">
        <w:rPr>
          <w:rFonts w:asciiTheme="minorHAnsi" w:eastAsia="MS PGothic" w:hAnsiTheme="minorHAnsi"/>
          <w:color w:val="000000"/>
          <w:sz w:val="22"/>
          <w:szCs w:val="22"/>
          <w:lang w:val="en-US"/>
        </w:rPr>
        <w:t>spinning rate is more difficult to relate to hydrodynamic param</w:t>
      </w:r>
      <w:r w:rsidR="00063395"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47317E">
        <w:rPr>
          <w:rFonts w:asciiTheme="minorHAnsi" w:eastAsia="MS PGothic" w:hAnsiTheme="minorHAnsi"/>
          <w:color w:val="000000"/>
          <w:sz w:val="22"/>
          <w:szCs w:val="22"/>
          <w:lang w:val="en-US"/>
        </w:rPr>
        <w:t>ters such as Reynolds number</w:t>
      </w:r>
      <w:r w:rsidR="003E420C">
        <w:rPr>
          <w:rFonts w:asciiTheme="minorHAnsi" w:eastAsia="MS PGothic" w:hAnsiTheme="minorHAnsi"/>
          <w:color w:val="000000"/>
          <w:sz w:val="22"/>
          <w:szCs w:val="22"/>
          <w:lang w:val="en-US"/>
        </w:rPr>
        <w:t>, due to a more complex flow pattern</w:t>
      </w:r>
      <w:r w:rsidR="0047317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7849E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this respect and although less efficient, the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recirculated differential bed gives a better control of operating conditions</w:t>
      </w:r>
      <w:r w:rsidR="00E8570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for characterization and scale-up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bookmarkStart w:id="0" w:name="_GoBack"/>
      <w:bookmarkEnd w:id="0"/>
    </w:p>
    <w:p w:rsidR="00704BDF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704BDF" w:rsidRPr="003655E9" w:rsidRDefault="003655E9" w:rsidP="003655E9">
      <w:pPr>
        <w:pStyle w:val="ListParagraph"/>
        <w:numPr>
          <w:ilvl w:val="0"/>
          <w:numId w:val="17"/>
        </w:numPr>
        <w:snapToGrid w:val="0"/>
        <w:spacing w:before="240" w:line="300" w:lineRule="auto"/>
        <w:rPr>
          <w:rFonts w:asciiTheme="minorHAnsi" w:eastAsia="SimSun" w:hAnsiTheme="minorHAnsi"/>
          <w:bCs/>
          <w:color w:val="000000"/>
          <w:sz w:val="20"/>
          <w:lang w:val="de-CH" w:eastAsia="zh-CN"/>
        </w:rPr>
      </w:pPr>
      <w:proofErr w:type="spellStart"/>
      <w:r w:rsidRPr="003655E9">
        <w:rPr>
          <w:rFonts w:asciiTheme="minorHAnsi" w:eastAsia="SimSun" w:hAnsiTheme="minorHAnsi"/>
          <w:bCs/>
          <w:color w:val="000000"/>
          <w:sz w:val="20"/>
          <w:lang w:val="en-US" w:eastAsia="zh-CN"/>
        </w:rPr>
        <w:t>Worch</w:t>
      </w:r>
      <w:proofErr w:type="spellEnd"/>
      <w:r w:rsidRPr="003655E9">
        <w:rPr>
          <w:rFonts w:asciiTheme="minorHAnsi" w:eastAsia="SimSun" w:hAnsiTheme="minorHAnsi"/>
          <w:bCs/>
          <w:color w:val="000000"/>
          <w:sz w:val="20"/>
          <w:lang w:val="en-US" w:eastAsia="zh-CN"/>
        </w:rPr>
        <w:t xml:space="preserve">, E.: Adsorption technology in water treatment. </w:t>
      </w:r>
      <w:proofErr w:type="spellStart"/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>Fundamentals</w:t>
      </w:r>
      <w:proofErr w:type="spellEnd"/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 xml:space="preserve">, </w:t>
      </w:r>
      <w:proofErr w:type="spellStart"/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>processes</w:t>
      </w:r>
      <w:proofErr w:type="spellEnd"/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 xml:space="preserve"> </w:t>
      </w:r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ab/>
      </w:r>
      <w:proofErr w:type="spellStart"/>
      <w:r w:rsidRPr="00063395">
        <w:rPr>
          <w:rFonts w:asciiTheme="minorHAnsi" w:eastAsia="SimSun" w:hAnsiTheme="minorHAnsi"/>
          <w:bCs/>
          <w:color w:val="000000"/>
          <w:sz w:val="20"/>
          <w:u w:val="single"/>
          <w:lang w:val="de-CH" w:eastAsia="zh-CN"/>
        </w:rPr>
        <w:t>and</w:t>
      </w:r>
      <w:proofErr w:type="spellEnd"/>
      <w:r w:rsidR="002F442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 xml:space="preserve"> </w:t>
      </w:r>
      <w:proofErr w:type="spellStart"/>
      <w:r w:rsidRPr="003655E9">
        <w:rPr>
          <w:rFonts w:asciiTheme="minorHAnsi" w:eastAsia="SimSun" w:hAnsiTheme="minorHAnsi"/>
          <w:bCs/>
          <w:color w:val="000000"/>
          <w:sz w:val="20"/>
          <w:lang w:val="de-CH" w:eastAsia="zh-CN"/>
        </w:rPr>
        <w:t>mode</w:t>
      </w:r>
      <w:r>
        <w:rPr>
          <w:rFonts w:asciiTheme="minorHAnsi" w:eastAsia="SimSun" w:hAnsiTheme="minorHAnsi"/>
          <w:bCs/>
          <w:color w:val="000000"/>
          <w:sz w:val="20"/>
          <w:lang w:val="de-CH" w:eastAsia="zh-CN"/>
        </w:rPr>
        <w:t>lling</w:t>
      </w:r>
      <w:proofErr w:type="spellEnd"/>
      <w:r>
        <w:rPr>
          <w:rFonts w:asciiTheme="minorHAnsi" w:eastAsia="SimSun" w:hAnsiTheme="minorHAnsi"/>
          <w:bCs/>
          <w:color w:val="000000"/>
          <w:sz w:val="20"/>
          <w:lang w:val="de-CH" w:eastAsia="zh-CN"/>
        </w:rPr>
        <w:t xml:space="preserve">. De </w:t>
      </w:r>
      <w:proofErr w:type="spellStart"/>
      <w:r>
        <w:rPr>
          <w:rFonts w:asciiTheme="minorHAnsi" w:eastAsia="SimSun" w:hAnsiTheme="minorHAnsi"/>
          <w:bCs/>
          <w:color w:val="000000"/>
          <w:sz w:val="20"/>
          <w:lang w:val="de-CH" w:eastAsia="zh-CN"/>
        </w:rPr>
        <w:t>Gruyter</w:t>
      </w:r>
      <w:proofErr w:type="spellEnd"/>
      <w:r>
        <w:rPr>
          <w:rFonts w:asciiTheme="minorHAnsi" w:eastAsia="SimSun" w:hAnsiTheme="minorHAnsi"/>
          <w:bCs/>
          <w:color w:val="000000"/>
          <w:sz w:val="20"/>
          <w:lang w:val="de-CH" w:eastAsia="zh-CN"/>
        </w:rPr>
        <w:t>, Berlin (2012)</w:t>
      </w:r>
    </w:p>
    <w:p w:rsidR="005346C8" w:rsidRPr="009170A6" w:rsidRDefault="009170A6" w:rsidP="009170A6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9170A6">
        <w:rPr>
          <w:rFonts w:asciiTheme="minorHAnsi" w:hAnsiTheme="minorHAnsi"/>
          <w:color w:val="000000"/>
        </w:rPr>
        <w:t xml:space="preserve">S. H. Kim et al., Adsorption and Mass Transfer Characteristics of </w:t>
      </w:r>
      <w:proofErr w:type="spellStart"/>
      <w:r w:rsidRPr="009170A6">
        <w:rPr>
          <w:rFonts w:asciiTheme="minorHAnsi" w:hAnsiTheme="minorHAnsi"/>
          <w:color w:val="000000"/>
        </w:rPr>
        <w:t>Metsulfuron</w:t>
      </w:r>
      <w:proofErr w:type="spellEnd"/>
      <w:r w:rsidRPr="009170A6">
        <w:rPr>
          <w:rFonts w:asciiTheme="minorHAnsi" w:hAnsiTheme="minorHAnsi"/>
          <w:color w:val="000000"/>
        </w:rPr>
        <w:t>-Methyl on Activated Carbon. Korean J. Chem. Eng. 18(2), 163-169 (2001)</w:t>
      </w:r>
    </w:p>
    <w:p w:rsidR="00704BDF" w:rsidRPr="00704BDF" w:rsidRDefault="00704BDF" w:rsidP="00704BDF">
      <w:pPr>
        <w:pStyle w:val="FirstParagraph"/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</w:p>
    <w:sectPr w:rsidR="00704BDF" w:rsidRPr="00704BDF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B3A" w:rsidRDefault="004D6B3A" w:rsidP="004F5E36">
      <w:r>
        <w:separator/>
      </w:r>
    </w:p>
  </w:endnote>
  <w:endnote w:type="continuationSeparator" w:id="0">
    <w:p w:rsidR="004D6B3A" w:rsidRDefault="004D6B3A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B3A" w:rsidRDefault="004D6B3A" w:rsidP="004F5E36">
      <w:r>
        <w:separator/>
      </w:r>
    </w:p>
  </w:footnote>
  <w:footnote w:type="continuationSeparator" w:id="0">
    <w:p w:rsidR="004D6B3A" w:rsidRDefault="004D6B3A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162" w:rsidRDefault="00594E9F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fr-CH" w:eastAsia="fr-CH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BDF" w:rsidRPr="00DE0019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704BDF" w:rsidRDefault="00704BDF">
    <w:pPr>
      <w:pStyle w:val="Header"/>
    </w:pPr>
  </w:p>
  <w:p w:rsidR="00704BDF" w:rsidRDefault="00704BDF">
    <w:pPr>
      <w:pStyle w:val="Header"/>
    </w:pP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03BF6"/>
    <w:rsid w:val="000117CB"/>
    <w:rsid w:val="0003148D"/>
    <w:rsid w:val="00040025"/>
    <w:rsid w:val="000558BB"/>
    <w:rsid w:val="00062A9A"/>
    <w:rsid w:val="00063395"/>
    <w:rsid w:val="000A03B2"/>
    <w:rsid w:val="000D34BE"/>
    <w:rsid w:val="000E36F1"/>
    <w:rsid w:val="000E3A73"/>
    <w:rsid w:val="000E414A"/>
    <w:rsid w:val="0013121F"/>
    <w:rsid w:val="00134DE4"/>
    <w:rsid w:val="00150E59"/>
    <w:rsid w:val="00173006"/>
    <w:rsid w:val="00173E61"/>
    <w:rsid w:val="00184AD6"/>
    <w:rsid w:val="001B65C1"/>
    <w:rsid w:val="001C00B6"/>
    <w:rsid w:val="001C684B"/>
    <w:rsid w:val="001D53FC"/>
    <w:rsid w:val="001E3E63"/>
    <w:rsid w:val="001F2EC7"/>
    <w:rsid w:val="001F3365"/>
    <w:rsid w:val="002065DB"/>
    <w:rsid w:val="002275F3"/>
    <w:rsid w:val="002447EF"/>
    <w:rsid w:val="00251550"/>
    <w:rsid w:val="0027221A"/>
    <w:rsid w:val="00275B61"/>
    <w:rsid w:val="002D1F12"/>
    <w:rsid w:val="002F4429"/>
    <w:rsid w:val="003009B7"/>
    <w:rsid w:val="0030469C"/>
    <w:rsid w:val="00355BF6"/>
    <w:rsid w:val="0035623B"/>
    <w:rsid w:val="003655E9"/>
    <w:rsid w:val="003723D4"/>
    <w:rsid w:val="00382198"/>
    <w:rsid w:val="003A7D1C"/>
    <w:rsid w:val="003B0FEB"/>
    <w:rsid w:val="003C1D82"/>
    <w:rsid w:val="003D5104"/>
    <w:rsid w:val="003E420C"/>
    <w:rsid w:val="0046164A"/>
    <w:rsid w:val="00462DCD"/>
    <w:rsid w:val="0047317E"/>
    <w:rsid w:val="004D1162"/>
    <w:rsid w:val="004D6B3A"/>
    <w:rsid w:val="004E4DD6"/>
    <w:rsid w:val="004F5E36"/>
    <w:rsid w:val="00503AF9"/>
    <w:rsid w:val="005119A5"/>
    <w:rsid w:val="005278B7"/>
    <w:rsid w:val="005346C8"/>
    <w:rsid w:val="00594E9F"/>
    <w:rsid w:val="005A49A2"/>
    <w:rsid w:val="005B61E6"/>
    <w:rsid w:val="005C77E1"/>
    <w:rsid w:val="005D6A2F"/>
    <w:rsid w:val="005D7177"/>
    <w:rsid w:val="005E1A82"/>
    <w:rsid w:val="005F0A28"/>
    <w:rsid w:val="005F0E5E"/>
    <w:rsid w:val="00620DEE"/>
    <w:rsid w:val="00625639"/>
    <w:rsid w:val="0064184D"/>
    <w:rsid w:val="00642716"/>
    <w:rsid w:val="00651C0D"/>
    <w:rsid w:val="00660E3E"/>
    <w:rsid w:val="00662E74"/>
    <w:rsid w:val="006C5579"/>
    <w:rsid w:val="006D00BF"/>
    <w:rsid w:val="00704BDF"/>
    <w:rsid w:val="00736B13"/>
    <w:rsid w:val="007447F3"/>
    <w:rsid w:val="007661C8"/>
    <w:rsid w:val="0077759F"/>
    <w:rsid w:val="007849EE"/>
    <w:rsid w:val="007B0CB2"/>
    <w:rsid w:val="007D52CD"/>
    <w:rsid w:val="00813288"/>
    <w:rsid w:val="008168FC"/>
    <w:rsid w:val="008479A2"/>
    <w:rsid w:val="0086153F"/>
    <w:rsid w:val="0087637F"/>
    <w:rsid w:val="008A1512"/>
    <w:rsid w:val="008B4167"/>
    <w:rsid w:val="008D0BEB"/>
    <w:rsid w:val="008E566E"/>
    <w:rsid w:val="00901EB6"/>
    <w:rsid w:val="009170A6"/>
    <w:rsid w:val="00932B23"/>
    <w:rsid w:val="009450CE"/>
    <w:rsid w:val="0095164B"/>
    <w:rsid w:val="00964587"/>
    <w:rsid w:val="00996483"/>
    <w:rsid w:val="009E788A"/>
    <w:rsid w:val="00A1763D"/>
    <w:rsid w:val="00A17CEC"/>
    <w:rsid w:val="00A27EF0"/>
    <w:rsid w:val="00A76EFC"/>
    <w:rsid w:val="00A9626B"/>
    <w:rsid w:val="00A97F29"/>
    <w:rsid w:val="00AB0964"/>
    <w:rsid w:val="00AE377D"/>
    <w:rsid w:val="00B61DBF"/>
    <w:rsid w:val="00B85B1F"/>
    <w:rsid w:val="00BC30C9"/>
    <w:rsid w:val="00BD4FE2"/>
    <w:rsid w:val="00BE3E58"/>
    <w:rsid w:val="00C01616"/>
    <w:rsid w:val="00C0162B"/>
    <w:rsid w:val="00C345B1"/>
    <w:rsid w:val="00C40142"/>
    <w:rsid w:val="00C57182"/>
    <w:rsid w:val="00C655FD"/>
    <w:rsid w:val="00C849E8"/>
    <w:rsid w:val="00C94434"/>
    <w:rsid w:val="00CA1C95"/>
    <w:rsid w:val="00CA5A9C"/>
    <w:rsid w:val="00CB4B74"/>
    <w:rsid w:val="00CD5FE2"/>
    <w:rsid w:val="00D02B4C"/>
    <w:rsid w:val="00D74BBA"/>
    <w:rsid w:val="00D84576"/>
    <w:rsid w:val="00DB68D2"/>
    <w:rsid w:val="00DE0019"/>
    <w:rsid w:val="00DE264A"/>
    <w:rsid w:val="00E041E7"/>
    <w:rsid w:val="00E21320"/>
    <w:rsid w:val="00E23CA1"/>
    <w:rsid w:val="00E409A8"/>
    <w:rsid w:val="00E7209D"/>
    <w:rsid w:val="00E85709"/>
    <w:rsid w:val="00EA47D6"/>
    <w:rsid w:val="00EA50E1"/>
    <w:rsid w:val="00EC140E"/>
    <w:rsid w:val="00ED4A67"/>
    <w:rsid w:val="00EE0131"/>
    <w:rsid w:val="00F30C64"/>
    <w:rsid w:val="00F430D4"/>
    <w:rsid w:val="00F55C64"/>
    <w:rsid w:val="00F96895"/>
    <w:rsid w:val="00FB730C"/>
    <w:rsid w:val="00FC2695"/>
    <w:rsid w:val="00FC3E03"/>
    <w:rsid w:val="00FC572F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365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8B416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3655E9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locked/>
    <w:rsid w:val="008B41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package" Target="embeddings/Microsoft_Excel_Worksheet1.xlsx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98472-A65F-4812-ACCF-BBA5000B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714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simon.crelier</cp:lastModifiedBy>
  <cp:revision>19</cp:revision>
  <cp:lastPrinted>2019-01-16T14:24:00Z</cp:lastPrinted>
  <dcterms:created xsi:type="dcterms:W3CDTF">2019-01-15T22:58:00Z</dcterms:created>
  <dcterms:modified xsi:type="dcterms:W3CDTF">2019-01-16T14:35:00Z</dcterms:modified>
</cp:coreProperties>
</file>