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8055AE" w:rsidP="00704BDF">
      <w:pPr>
        <w:snapToGrid w:val="0"/>
        <w:spacing w:after="360"/>
        <w:jc w:val="center"/>
        <w:rPr>
          <w:rFonts w:asciiTheme="minorHAnsi" w:eastAsia="MS PGothic" w:hAnsiTheme="minorHAnsi"/>
          <w:b/>
          <w:bCs/>
          <w:sz w:val="28"/>
          <w:szCs w:val="28"/>
          <w:lang w:val="en-US" w:eastAsia="ko-KR"/>
        </w:rPr>
      </w:pPr>
      <w:r w:rsidRPr="008055AE">
        <w:rPr>
          <w:rFonts w:asciiTheme="minorHAnsi" w:eastAsia="MS PGothic" w:hAnsiTheme="minorHAnsi"/>
          <w:b/>
          <w:bCs/>
          <w:sz w:val="28"/>
          <w:szCs w:val="28"/>
          <w:lang w:val="en-US"/>
        </w:rPr>
        <w:t>Influence of operating parameters on the single pass removal efficiency during the photocatalytic degradation of acrylonitrile</w:t>
      </w:r>
      <w:r w:rsidR="00704BDF" w:rsidRPr="00DE0019">
        <w:rPr>
          <w:rFonts w:asciiTheme="minorHAnsi" w:eastAsia="MS PGothic" w:hAnsiTheme="minorHAnsi"/>
          <w:b/>
          <w:bCs/>
          <w:sz w:val="28"/>
          <w:szCs w:val="28"/>
          <w:lang w:val="en-US"/>
        </w:rPr>
        <w:t>.</w:t>
      </w:r>
    </w:p>
    <w:p w:rsidR="00DE0019" w:rsidRPr="008055AE" w:rsidRDefault="008055AE" w:rsidP="00704BDF">
      <w:pPr>
        <w:snapToGrid w:val="0"/>
        <w:spacing w:after="120"/>
        <w:jc w:val="center"/>
        <w:rPr>
          <w:rFonts w:eastAsia="SimSun"/>
          <w:color w:val="000000"/>
          <w:lang w:val="fr-FR" w:eastAsia="zh-CN"/>
        </w:rPr>
      </w:pPr>
      <w:r w:rsidRPr="008055AE">
        <w:rPr>
          <w:rFonts w:asciiTheme="minorHAnsi" w:eastAsia="SimSun" w:hAnsiTheme="minorHAnsi"/>
          <w:color w:val="000000"/>
          <w:sz w:val="24"/>
          <w:szCs w:val="24"/>
          <w:lang w:val="fr-FR" w:eastAsia="zh-CN"/>
        </w:rPr>
        <w:t>Henrietta Essie Whyte</w:t>
      </w:r>
      <w:r w:rsidR="00704BDF" w:rsidRPr="008055AE">
        <w:rPr>
          <w:rFonts w:asciiTheme="minorHAnsi" w:eastAsia="SimSun" w:hAnsiTheme="minorHAnsi"/>
          <w:color w:val="000000"/>
          <w:sz w:val="24"/>
          <w:szCs w:val="24"/>
          <w:vertAlign w:val="superscript"/>
          <w:lang w:val="fr-FR" w:eastAsia="zh-CN"/>
        </w:rPr>
        <w:t>1</w:t>
      </w:r>
      <w:r w:rsidR="00736B13" w:rsidRPr="008055AE">
        <w:rPr>
          <w:rFonts w:asciiTheme="minorHAnsi" w:eastAsia="SimSun" w:hAnsiTheme="minorHAnsi"/>
          <w:color w:val="000000"/>
          <w:sz w:val="24"/>
          <w:szCs w:val="24"/>
          <w:lang w:val="fr-FR" w:eastAsia="zh-CN"/>
        </w:rPr>
        <w:t xml:space="preserve">, </w:t>
      </w:r>
      <w:r w:rsidRPr="008055AE">
        <w:rPr>
          <w:rFonts w:asciiTheme="minorHAnsi" w:eastAsia="SimSun" w:hAnsiTheme="minorHAnsi"/>
          <w:color w:val="000000"/>
          <w:sz w:val="24"/>
          <w:szCs w:val="24"/>
          <w:lang w:val="fr-FR" w:eastAsia="zh-CN"/>
        </w:rPr>
        <w:t>Cécile Raillard</w:t>
      </w:r>
      <w:r w:rsidRPr="00671698">
        <w:rPr>
          <w:rFonts w:asciiTheme="minorHAnsi" w:eastAsia="SimSun" w:hAnsiTheme="minorHAnsi"/>
          <w:color w:val="000000"/>
          <w:sz w:val="24"/>
          <w:szCs w:val="24"/>
          <w:vertAlign w:val="superscript"/>
          <w:lang w:val="fr-FR" w:eastAsia="zh-CN"/>
        </w:rPr>
        <w:t>1</w:t>
      </w:r>
      <w:r w:rsidRPr="008055AE">
        <w:rPr>
          <w:rFonts w:asciiTheme="minorHAnsi" w:eastAsia="SimSun" w:hAnsiTheme="minorHAnsi"/>
          <w:color w:val="000000"/>
          <w:sz w:val="24"/>
          <w:szCs w:val="24"/>
          <w:lang w:val="fr-FR" w:eastAsia="zh-CN"/>
        </w:rPr>
        <w:t xml:space="preserve">, Albert </w:t>
      </w:r>
      <w:r>
        <w:rPr>
          <w:rFonts w:asciiTheme="minorHAnsi" w:eastAsia="SimSun" w:hAnsiTheme="minorHAnsi"/>
          <w:color w:val="000000"/>
          <w:sz w:val="24"/>
          <w:szCs w:val="24"/>
          <w:lang w:val="fr-FR" w:eastAsia="zh-CN"/>
        </w:rPr>
        <w:t>Subrena</w:t>
      </w:r>
      <w:r w:rsidRPr="009D6B94">
        <w:rPr>
          <w:rFonts w:asciiTheme="minorHAnsi" w:eastAsia="SimSun" w:hAnsiTheme="minorHAnsi"/>
          <w:color w:val="000000"/>
          <w:sz w:val="24"/>
          <w:szCs w:val="24"/>
          <w:lang w:val="fr-FR" w:eastAsia="zh-CN"/>
        </w:rPr>
        <w:t>t</w:t>
      </w:r>
      <w:r w:rsidRPr="009D6B94">
        <w:rPr>
          <w:rFonts w:asciiTheme="minorHAnsi" w:eastAsia="SimSun" w:hAnsiTheme="minorHAnsi"/>
          <w:color w:val="000000"/>
          <w:sz w:val="24"/>
          <w:szCs w:val="24"/>
          <w:vertAlign w:val="superscript"/>
          <w:lang w:val="fr-FR" w:eastAsia="zh-CN"/>
        </w:rPr>
        <w:t>1</w:t>
      </w:r>
      <w:r>
        <w:rPr>
          <w:rFonts w:asciiTheme="minorHAnsi" w:eastAsia="SimSun" w:hAnsiTheme="minorHAnsi"/>
          <w:color w:val="000000"/>
          <w:sz w:val="24"/>
          <w:szCs w:val="24"/>
          <w:lang w:val="fr-FR" w:eastAsia="zh-CN"/>
        </w:rPr>
        <w:t xml:space="preserve">, </w:t>
      </w:r>
      <w:r w:rsidRPr="008055AE">
        <w:rPr>
          <w:rFonts w:asciiTheme="minorHAnsi" w:eastAsia="SimSun" w:hAnsiTheme="minorHAnsi"/>
          <w:color w:val="000000"/>
          <w:sz w:val="24"/>
          <w:szCs w:val="24"/>
          <w:u w:val="single"/>
          <w:lang w:val="fr-FR" w:eastAsia="zh-CN"/>
        </w:rPr>
        <w:t>Valérie Héquet</w:t>
      </w:r>
      <w:r w:rsidRPr="008055AE">
        <w:rPr>
          <w:rFonts w:asciiTheme="minorHAnsi" w:eastAsia="SimSun" w:hAnsiTheme="minorHAnsi"/>
          <w:color w:val="000000"/>
          <w:sz w:val="24"/>
          <w:szCs w:val="24"/>
          <w:u w:val="single"/>
          <w:vertAlign w:val="superscript"/>
          <w:lang w:val="fr-FR" w:eastAsia="zh-CN"/>
        </w:rPr>
        <w:t>1</w:t>
      </w:r>
    </w:p>
    <w:p w:rsidR="00704BDF" w:rsidRPr="00DE0019" w:rsidRDefault="00704BDF" w:rsidP="00704BDF">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8055AE">
        <w:rPr>
          <w:rFonts w:asciiTheme="minorHAnsi" w:eastAsia="MS PGothic" w:hAnsiTheme="minorHAnsi"/>
          <w:i/>
          <w:iCs/>
          <w:color w:val="000000"/>
          <w:sz w:val="20"/>
          <w:lang w:val="en-US"/>
        </w:rPr>
        <w:t xml:space="preserve">GEPEA </w:t>
      </w:r>
      <w:r w:rsidR="008055AE" w:rsidRPr="008055AE">
        <w:rPr>
          <w:rFonts w:asciiTheme="minorHAnsi" w:eastAsia="MS PGothic" w:hAnsiTheme="minorHAnsi"/>
          <w:i/>
          <w:iCs/>
          <w:color w:val="000000"/>
          <w:sz w:val="20"/>
          <w:lang w:val="en-US"/>
        </w:rPr>
        <w:t xml:space="preserve">UMR </w:t>
      </w:r>
      <w:r w:rsidR="008055AE">
        <w:rPr>
          <w:rFonts w:asciiTheme="minorHAnsi" w:eastAsia="MS PGothic" w:hAnsiTheme="minorHAnsi"/>
          <w:i/>
          <w:iCs/>
          <w:color w:val="000000"/>
          <w:sz w:val="20"/>
          <w:lang w:val="en-US"/>
        </w:rPr>
        <w:t xml:space="preserve">CNRS </w:t>
      </w:r>
      <w:r w:rsidR="008055AE" w:rsidRPr="008055AE">
        <w:rPr>
          <w:rFonts w:asciiTheme="minorHAnsi" w:eastAsia="MS PGothic" w:hAnsiTheme="minorHAnsi"/>
          <w:i/>
          <w:iCs/>
          <w:color w:val="000000"/>
          <w:sz w:val="20"/>
          <w:lang w:val="en-US"/>
        </w:rPr>
        <w:t xml:space="preserve">6144, IMT Atlantique, </w:t>
      </w:r>
      <w:r w:rsidR="008055AE">
        <w:rPr>
          <w:rFonts w:asciiTheme="minorHAnsi" w:eastAsia="MS PGothic" w:hAnsiTheme="minorHAnsi"/>
          <w:i/>
          <w:iCs/>
          <w:color w:val="000000"/>
          <w:sz w:val="20"/>
          <w:lang w:val="en-US"/>
        </w:rPr>
        <w:t>DSEE, 4 rue Alfred Kastler CS 20722</w:t>
      </w:r>
      <w:r w:rsidR="008055AE" w:rsidRPr="008055AE">
        <w:rPr>
          <w:rFonts w:asciiTheme="minorHAnsi" w:eastAsia="MS PGothic" w:hAnsiTheme="minorHAnsi"/>
          <w:i/>
          <w:iCs/>
          <w:color w:val="000000"/>
          <w:sz w:val="20"/>
          <w:lang w:val="en-US"/>
        </w:rPr>
        <w:t>, 44307</w:t>
      </w:r>
      <w:r w:rsidR="008055AE">
        <w:rPr>
          <w:rFonts w:asciiTheme="minorHAnsi" w:eastAsia="MS PGothic" w:hAnsiTheme="minorHAnsi"/>
          <w:i/>
          <w:iCs/>
          <w:color w:val="000000"/>
          <w:sz w:val="20"/>
          <w:lang w:val="en-US"/>
        </w:rPr>
        <w:t xml:space="preserve"> Nantes, France</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bookmarkStart w:id="0" w:name="_GoBack"/>
      <w:r w:rsidR="008055AE">
        <w:rPr>
          <w:rFonts w:asciiTheme="minorHAnsi" w:eastAsia="MS PGothic" w:hAnsiTheme="minorHAnsi"/>
          <w:bCs/>
          <w:i/>
          <w:iCs/>
          <w:sz w:val="20"/>
          <w:lang w:val="en-US"/>
        </w:rPr>
        <w:t>Valerie.hequet@imt-atlantique.fr</w:t>
      </w:r>
      <w:bookmarkEnd w:id="0"/>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F122A0" w:rsidRPr="00F122A0" w:rsidRDefault="00F122A0" w:rsidP="00F122A0">
      <w:pPr>
        <w:pStyle w:val="AbstractBody"/>
        <w:numPr>
          <w:ilvl w:val="0"/>
          <w:numId w:val="16"/>
        </w:numPr>
        <w:rPr>
          <w:rFonts w:asciiTheme="minorHAnsi" w:hAnsiTheme="minorHAnsi"/>
        </w:rPr>
      </w:pPr>
      <w:r w:rsidRPr="00F122A0">
        <w:rPr>
          <w:rFonts w:asciiTheme="minorHAnsi" w:hAnsiTheme="minorHAnsi"/>
        </w:rPr>
        <w:t xml:space="preserve">Single-pass removal efficiencies </w:t>
      </w:r>
      <w:r>
        <w:rPr>
          <w:rFonts w:asciiTheme="minorHAnsi" w:hAnsiTheme="minorHAnsi"/>
        </w:rPr>
        <w:t>can be</w:t>
      </w:r>
      <w:r w:rsidRPr="00F122A0">
        <w:rPr>
          <w:rFonts w:asciiTheme="minorHAnsi" w:hAnsiTheme="minorHAnsi"/>
        </w:rPr>
        <w:t xml:space="preserve"> improved </w:t>
      </w:r>
      <w:r>
        <w:rPr>
          <w:rFonts w:asciiTheme="minorHAnsi" w:hAnsiTheme="minorHAnsi"/>
        </w:rPr>
        <w:t>according operating parameters</w:t>
      </w:r>
    </w:p>
    <w:p w:rsidR="00F122A0" w:rsidRPr="00F122A0" w:rsidRDefault="00F122A0" w:rsidP="00F122A0">
      <w:pPr>
        <w:pStyle w:val="AbstractBody"/>
        <w:numPr>
          <w:ilvl w:val="0"/>
          <w:numId w:val="16"/>
        </w:numPr>
        <w:rPr>
          <w:rFonts w:asciiTheme="minorHAnsi" w:hAnsiTheme="minorHAnsi"/>
        </w:rPr>
      </w:pPr>
      <w:r>
        <w:rPr>
          <w:rFonts w:asciiTheme="minorHAnsi" w:hAnsiTheme="minorHAnsi"/>
        </w:rPr>
        <w:t xml:space="preserve">A </w:t>
      </w:r>
      <w:r w:rsidRPr="00F122A0">
        <w:rPr>
          <w:rFonts w:asciiTheme="minorHAnsi" w:hAnsiTheme="minorHAnsi"/>
        </w:rPr>
        <w:t>complete mineralization can be reached irrespective of initial pollutant concentration</w:t>
      </w:r>
    </w:p>
    <w:p w:rsidR="00F122A0" w:rsidRPr="00EC66CC" w:rsidRDefault="00F122A0" w:rsidP="00F122A0">
      <w:pPr>
        <w:pStyle w:val="AbstractBody"/>
        <w:numPr>
          <w:ilvl w:val="0"/>
          <w:numId w:val="16"/>
        </w:numPr>
        <w:rPr>
          <w:rFonts w:asciiTheme="minorHAnsi" w:hAnsiTheme="minorHAnsi"/>
        </w:rPr>
      </w:pPr>
      <w:r>
        <w:rPr>
          <w:rFonts w:asciiTheme="minorHAnsi" w:hAnsiTheme="minorHAnsi"/>
        </w:rPr>
        <w:t>C</w:t>
      </w:r>
      <w:r w:rsidRPr="00F122A0">
        <w:rPr>
          <w:rFonts w:asciiTheme="minorHAnsi" w:hAnsiTheme="minorHAnsi"/>
        </w:rPr>
        <w:t>onversion vs. mineralization rates show the probable formation of intermediates</w:t>
      </w: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8055AE" w:rsidRPr="008055AE" w:rsidRDefault="008055AE" w:rsidP="008055AE">
      <w:pPr>
        <w:snapToGrid w:val="0"/>
        <w:spacing w:after="120"/>
        <w:rPr>
          <w:rFonts w:asciiTheme="minorHAnsi" w:eastAsia="MS PGothic" w:hAnsiTheme="minorHAnsi"/>
          <w:color w:val="000000"/>
          <w:sz w:val="22"/>
          <w:szCs w:val="22"/>
          <w:lang w:val="en-US"/>
        </w:rPr>
      </w:pPr>
      <w:r w:rsidRPr="008055AE">
        <w:rPr>
          <w:rFonts w:asciiTheme="minorHAnsi" w:eastAsia="MS PGothic" w:hAnsiTheme="minorHAnsi"/>
          <w:color w:val="000000"/>
          <w:sz w:val="22"/>
          <w:szCs w:val="22"/>
          <w:lang w:val="en-US"/>
        </w:rPr>
        <w:t>The hospital is a place where the air quality is very important as it plays an important role in the health of both patients and hospital staff. Microbial contamination in relation to nosocomial infections has been at the fore front of hospital air quality whilst chemical contamination is rarely studied</w:t>
      </w:r>
      <w:r w:rsidR="005F7995">
        <w:rPr>
          <w:rFonts w:asciiTheme="minorHAnsi" w:eastAsia="MS PGothic" w:hAnsiTheme="minorHAnsi"/>
          <w:color w:val="000000"/>
          <w:sz w:val="22"/>
          <w:szCs w:val="22"/>
          <w:lang w:val="en-US"/>
        </w:rPr>
        <w:t xml:space="preserve"> </w:t>
      </w:r>
      <w:r w:rsidR="005F7995" w:rsidRPr="008055AE">
        <w:rPr>
          <w:rFonts w:asciiTheme="minorHAnsi" w:eastAsia="MS PGothic" w:hAnsiTheme="minorHAnsi"/>
          <w:color w:val="000000"/>
          <w:sz w:val="22"/>
          <w:szCs w:val="22"/>
          <w:lang w:val="en-US"/>
        </w:rPr>
        <w:t>[1]</w:t>
      </w:r>
      <w:r w:rsidRPr="008055AE">
        <w:rPr>
          <w:rFonts w:asciiTheme="minorHAnsi" w:eastAsia="MS PGothic" w:hAnsiTheme="minorHAnsi"/>
          <w:color w:val="000000"/>
          <w:sz w:val="22"/>
          <w:szCs w:val="22"/>
          <w:lang w:val="en-US"/>
        </w:rPr>
        <w:t>. One of the most demanding areas in terms of the air qua</w:t>
      </w:r>
      <w:r w:rsidR="00B50415">
        <w:rPr>
          <w:rFonts w:asciiTheme="minorHAnsi" w:eastAsia="MS PGothic" w:hAnsiTheme="minorHAnsi"/>
          <w:color w:val="000000"/>
          <w:sz w:val="22"/>
          <w:szCs w:val="22"/>
          <w:lang w:val="en-US"/>
        </w:rPr>
        <w:t>lity is the operating room (OR)</w:t>
      </w:r>
      <w:r w:rsidRPr="008055AE">
        <w:rPr>
          <w:rFonts w:asciiTheme="minorHAnsi" w:eastAsia="MS PGothic" w:hAnsiTheme="minorHAnsi"/>
          <w:color w:val="000000"/>
          <w:sz w:val="22"/>
          <w:szCs w:val="22"/>
          <w:lang w:val="en-US"/>
        </w:rPr>
        <w:t>. Surgeons and operating theatre staff are routinely exposed to pollution from the surgical smoke. The chemicals present in greatest quantity in surgical smoke are hydrocarbons and nitrile compounds among which is acrylonitrile. Barret and Garber [2] reported acrylonitrile concentrati</w:t>
      </w:r>
      <w:r w:rsidR="00B50415">
        <w:rPr>
          <w:rFonts w:asciiTheme="minorHAnsi" w:eastAsia="MS PGothic" w:hAnsiTheme="minorHAnsi"/>
          <w:color w:val="000000"/>
          <w:sz w:val="22"/>
          <w:szCs w:val="22"/>
          <w:lang w:val="en-US"/>
        </w:rPr>
        <w:t>ons to be between 1 and 1.6 ppm</w:t>
      </w:r>
      <w:r w:rsidRPr="008055AE">
        <w:rPr>
          <w:rFonts w:asciiTheme="minorHAnsi" w:eastAsia="MS PGothic" w:hAnsiTheme="minorHAnsi"/>
          <w:color w:val="000000"/>
          <w:sz w:val="22"/>
          <w:szCs w:val="22"/>
          <w:lang w:val="en-US"/>
        </w:rPr>
        <w:t>.</w:t>
      </w:r>
      <w:r w:rsidR="00B50415">
        <w:rPr>
          <w:rFonts w:asciiTheme="minorHAnsi" w:eastAsia="MS PGothic" w:hAnsiTheme="minorHAnsi"/>
          <w:color w:val="000000"/>
          <w:sz w:val="22"/>
          <w:szCs w:val="22"/>
          <w:lang w:val="en-US"/>
        </w:rPr>
        <w:t xml:space="preserve"> </w:t>
      </w:r>
      <w:r w:rsidRPr="008055AE">
        <w:rPr>
          <w:rFonts w:asciiTheme="minorHAnsi" w:eastAsia="MS PGothic" w:hAnsiTheme="minorHAnsi"/>
          <w:color w:val="000000"/>
          <w:sz w:val="22"/>
          <w:szCs w:val="22"/>
          <w:lang w:val="en-US"/>
        </w:rPr>
        <w:t>In ORs air quality is assured mostly by HVAC. However, this is not always enough thus additional treatment devices can be used to purify air. Stand-alone devices that use photocatalytic oxidation (PCO) are becoming increasingly popular to treat indoor air.</w:t>
      </w:r>
      <w:r w:rsidR="00B50415">
        <w:rPr>
          <w:rFonts w:asciiTheme="minorHAnsi" w:eastAsia="MS PGothic" w:hAnsiTheme="minorHAnsi"/>
          <w:color w:val="000000"/>
          <w:sz w:val="22"/>
          <w:szCs w:val="22"/>
          <w:lang w:val="en-US"/>
        </w:rPr>
        <w:t xml:space="preserve"> </w:t>
      </w:r>
      <w:r w:rsidRPr="008055AE">
        <w:rPr>
          <w:rFonts w:asciiTheme="minorHAnsi" w:eastAsia="MS PGothic" w:hAnsiTheme="minorHAnsi"/>
          <w:color w:val="000000"/>
          <w:sz w:val="22"/>
          <w:szCs w:val="22"/>
          <w:lang w:val="en-US"/>
        </w:rPr>
        <w:t>The aim of this work is to assess if PCO is efficient for removing acrylonitrile and to study the influence of three operational parameters (air velocity, light intensity and initial concentration) on the photocatalytic removal efficiency of acrylonitrile.</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8055AE" w:rsidRPr="008055AE" w:rsidRDefault="008055AE" w:rsidP="008055AE">
      <w:pPr>
        <w:snapToGrid w:val="0"/>
        <w:spacing w:after="120"/>
        <w:rPr>
          <w:rFonts w:asciiTheme="minorHAnsi" w:eastAsia="MS PGothic" w:hAnsiTheme="minorHAnsi"/>
          <w:color w:val="000000"/>
          <w:sz w:val="22"/>
          <w:szCs w:val="22"/>
          <w:lang w:val="en-US"/>
        </w:rPr>
      </w:pPr>
      <w:r w:rsidRPr="008055AE">
        <w:rPr>
          <w:rFonts w:asciiTheme="minorHAnsi" w:eastAsia="MS PGothic" w:hAnsiTheme="minorHAnsi"/>
          <w:color w:val="000000"/>
          <w:sz w:val="22"/>
          <w:szCs w:val="22"/>
          <w:lang w:val="en-US"/>
        </w:rPr>
        <w:t xml:space="preserve">A 420 L multi-pass dynamic photocatalytic reactor was used to carry out the PCO experiments. It has been described </w:t>
      </w:r>
      <w:r w:rsidR="00B50415" w:rsidRPr="008055AE">
        <w:rPr>
          <w:rFonts w:asciiTheme="minorHAnsi" w:eastAsia="MS PGothic" w:hAnsiTheme="minorHAnsi"/>
          <w:color w:val="000000"/>
          <w:sz w:val="22"/>
          <w:szCs w:val="22"/>
          <w:lang w:val="en-US"/>
        </w:rPr>
        <w:t xml:space="preserve">and modelled </w:t>
      </w:r>
      <w:r w:rsidRPr="008055AE">
        <w:rPr>
          <w:rFonts w:asciiTheme="minorHAnsi" w:eastAsia="MS PGothic" w:hAnsiTheme="minorHAnsi"/>
          <w:color w:val="000000"/>
          <w:sz w:val="22"/>
          <w:szCs w:val="22"/>
          <w:lang w:val="en-US"/>
        </w:rPr>
        <w:t>in a previous article</w:t>
      </w:r>
      <w:r w:rsidR="00B50415">
        <w:rPr>
          <w:rFonts w:asciiTheme="minorHAnsi" w:eastAsia="MS PGothic" w:hAnsiTheme="minorHAnsi"/>
          <w:color w:val="000000"/>
          <w:sz w:val="22"/>
          <w:szCs w:val="22"/>
          <w:lang w:val="en-US"/>
        </w:rPr>
        <w:t>s [</w:t>
      </w:r>
      <w:r w:rsidR="00671698">
        <w:rPr>
          <w:rFonts w:asciiTheme="minorHAnsi" w:eastAsia="MS PGothic" w:hAnsiTheme="minorHAnsi"/>
          <w:color w:val="000000"/>
          <w:sz w:val="22"/>
          <w:szCs w:val="22"/>
          <w:lang w:val="en-US"/>
        </w:rPr>
        <w:t>3</w:t>
      </w:r>
      <w:r w:rsidR="00B50415">
        <w:rPr>
          <w:rFonts w:asciiTheme="minorHAnsi" w:eastAsia="MS PGothic" w:hAnsiTheme="minorHAnsi"/>
          <w:color w:val="000000"/>
          <w:sz w:val="22"/>
          <w:szCs w:val="22"/>
          <w:lang w:val="en-US"/>
        </w:rPr>
        <w:t>],</w:t>
      </w:r>
      <w:r w:rsidRPr="008055AE">
        <w:rPr>
          <w:rFonts w:asciiTheme="minorHAnsi" w:eastAsia="MS PGothic" w:hAnsiTheme="minorHAnsi"/>
          <w:color w:val="000000"/>
          <w:sz w:val="22"/>
          <w:szCs w:val="22"/>
          <w:lang w:val="en-US"/>
        </w:rPr>
        <w:t>[</w:t>
      </w:r>
      <w:r w:rsidR="00671698">
        <w:rPr>
          <w:rFonts w:asciiTheme="minorHAnsi" w:eastAsia="MS PGothic" w:hAnsiTheme="minorHAnsi"/>
          <w:color w:val="000000"/>
          <w:sz w:val="22"/>
          <w:szCs w:val="22"/>
          <w:lang w:val="en-US"/>
        </w:rPr>
        <w:t>4</w:t>
      </w:r>
      <w:r w:rsidRPr="008055AE">
        <w:rPr>
          <w:rFonts w:asciiTheme="minorHAnsi" w:eastAsia="MS PGothic" w:hAnsiTheme="minorHAnsi"/>
          <w:color w:val="000000"/>
          <w:sz w:val="22"/>
          <w:szCs w:val="22"/>
          <w:lang w:val="en-US"/>
        </w:rPr>
        <w:t>].</w:t>
      </w:r>
      <w:r w:rsidR="00B50415">
        <w:rPr>
          <w:rFonts w:asciiTheme="minorHAnsi" w:eastAsia="MS PGothic" w:hAnsiTheme="minorHAnsi"/>
          <w:color w:val="000000"/>
          <w:sz w:val="22"/>
          <w:szCs w:val="22"/>
          <w:lang w:val="en-US"/>
        </w:rPr>
        <w:t xml:space="preserve"> </w:t>
      </w:r>
      <w:r w:rsidRPr="008055AE">
        <w:rPr>
          <w:rFonts w:asciiTheme="minorHAnsi" w:eastAsia="MS PGothic" w:hAnsiTheme="minorHAnsi"/>
          <w:color w:val="000000"/>
          <w:sz w:val="22"/>
          <w:szCs w:val="22"/>
          <w:lang w:val="en-US"/>
        </w:rPr>
        <w:t>The media used was supplied by Saint-Gobain Quartz (QUARTZEL®) and consisted of quartz fibers coated with TiO</w:t>
      </w:r>
      <w:r w:rsidRPr="00B50415">
        <w:rPr>
          <w:rFonts w:asciiTheme="minorHAnsi" w:eastAsia="MS PGothic" w:hAnsiTheme="minorHAnsi"/>
          <w:color w:val="000000"/>
          <w:sz w:val="22"/>
          <w:szCs w:val="22"/>
          <w:vertAlign w:val="subscript"/>
          <w:lang w:val="en-US"/>
        </w:rPr>
        <w:t>2</w:t>
      </w:r>
      <w:r w:rsidRPr="008055AE">
        <w:rPr>
          <w:rFonts w:asciiTheme="minorHAnsi" w:eastAsia="MS PGothic" w:hAnsiTheme="minorHAnsi"/>
          <w:color w:val="000000"/>
          <w:sz w:val="22"/>
          <w:szCs w:val="22"/>
          <w:lang w:val="en-US"/>
        </w:rPr>
        <w:t xml:space="preserve"> deposited through a sol-gel method. The media was irradiated with two 18-W UVC fluorescent tubes (Phillips PL-L series). Acrylonitrile was supplied from a certified commercial gas cylinder produced by Air products. The cylinder contained 150 ppm of acrylonitrile balanced in nitrogen at a pressure of 150 bars.</w:t>
      </w:r>
      <w:r w:rsidR="00B50415">
        <w:rPr>
          <w:rFonts w:asciiTheme="minorHAnsi" w:eastAsia="MS PGothic" w:hAnsiTheme="minorHAnsi"/>
          <w:color w:val="000000"/>
          <w:sz w:val="22"/>
          <w:szCs w:val="22"/>
          <w:lang w:val="en-US"/>
        </w:rPr>
        <w:t xml:space="preserve"> </w:t>
      </w:r>
      <w:r w:rsidRPr="008055AE">
        <w:rPr>
          <w:rFonts w:asciiTheme="minorHAnsi" w:eastAsia="MS PGothic" w:hAnsiTheme="minorHAnsi"/>
          <w:color w:val="000000"/>
          <w:sz w:val="22"/>
          <w:szCs w:val="22"/>
          <w:lang w:val="en-US"/>
        </w:rPr>
        <w:t>The selected average light intensities (I) ranged from 1 to 4.5 mW.cm</w:t>
      </w:r>
      <w:r w:rsidRPr="00B50415">
        <w:rPr>
          <w:rFonts w:asciiTheme="minorHAnsi" w:eastAsia="MS PGothic" w:hAnsiTheme="minorHAnsi"/>
          <w:color w:val="000000"/>
          <w:sz w:val="22"/>
          <w:szCs w:val="22"/>
          <w:vertAlign w:val="superscript"/>
          <w:lang w:val="en-US"/>
        </w:rPr>
        <w:t>-2</w:t>
      </w:r>
      <w:r w:rsidRPr="008055AE">
        <w:rPr>
          <w:rFonts w:asciiTheme="minorHAnsi" w:eastAsia="MS PGothic" w:hAnsiTheme="minorHAnsi"/>
          <w:color w:val="000000"/>
          <w:sz w:val="22"/>
          <w:szCs w:val="22"/>
          <w:lang w:val="en-US"/>
        </w:rPr>
        <w:t>. The air velocities corresponding to the selected flow rates (73</w:t>
      </w:r>
      <w:r w:rsidR="009C69D2">
        <w:rPr>
          <w:rFonts w:asciiTheme="minorHAnsi" w:eastAsia="MS PGothic" w:hAnsiTheme="minorHAnsi"/>
          <w:color w:val="000000"/>
          <w:sz w:val="22"/>
          <w:szCs w:val="22"/>
          <w:lang w:val="en-US"/>
        </w:rPr>
        <w:t xml:space="preserve"> </w:t>
      </w:r>
      <w:r w:rsidRPr="008055AE">
        <w:rPr>
          <w:rFonts w:asciiTheme="minorHAnsi" w:eastAsia="MS PGothic" w:hAnsiTheme="minorHAnsi"/>
          <w:color w:val="000000"/>
          <w:sz w:val="22"/>
          <w:szCs w:val="22"/>
          <w:lang w:val="en-US"/>
        </w:rPr>
        <w:t>- 216 Nm</w:t>
      </w:r>
      <w:r w:rsidRPr="00B50415">
        <w:rPr>
          <w:rFonts w:asciiTheme="minorHAnsi" w:eastAsia="MS PGothic" w:hAnsiTheme="minorHAnsi"/>
          <w:color w:val="000000"/>
          <w:sz w:val="22"/>
          <w:szCs w:val="22"/>
          <w:vertAlign w:val="superscript"/>
          <w:lang w:val="en-US"/>
        </w:rPr>
        <w:t>3</w:t>
      </w:r>
      <w:r w:rsidRPr="008055AE">
        <w:rPr>
          <w:rFonts w:asciiTheme="minorHAnsi" w:eastAsia="MS PGothic" w:hAnsiTheme="minorHAnsi"/>
          <w:color w:val="000000"/>
          <w:sz w:val="22"/>
          <w:szCs w:val="22"/>
          <w:lang w:val="en-US"/>
        </w:rPr>
        <w:t>.h</w:t>
      </w:r>
      <w:r w:rsidRPr="00B50415">
        <w:rPr>
          <w:rFonts w:asciiTheme="minorHAnsi" w:eastAsia="MS PGothic" w:hAnsiTheme="minorHAnsi"/>
          <w:color w:val="000000"/>
          <w:sz w:val="22"/>
          <w:szCs w:val="22"/>
          <w:vertAlign w:val="superscript"/>
          <w:lang w:val="en-US"/>
        </w:rPr>
        <w:t>-1</w:t>
      </w:r>
      <w:r w:rsidRPr="008055AE">
        <w:rPr>
          <w:rFonts w:asciiTheme="minorHAnsi" w:eastAsia="MS PGothic" w:hAnsiTheme="minorHAnsi"/>
          <w:color w:val="000000"/>
          <w:sz w:val="22"/>
          <w:szCs w:val="22"/>
          <w:lang w:val="en-US"/>
        </w:rPr>
        <w:t xml:space="preserve">) varied from 0.5 to </w:t>
      </w:r>
      <w:r w:rsidR="00671698">
        <w:rPr>
          <w:rFonts w:asciiTheme="minorHAnsi" w:eastAsia="MS PGothic" w:hAnsiTheme="minorHAnsi"/>
          <w:color w:val="000000"/>
          <w:sz w:val="22"/>
          <w:szCs w:val="22"/>
          <w:lang w:val="en-US"/>
        </w:rPr>
        <w:br/>
      </w:r>
      <w:r w:rsidRPr="008055AE">
        <w:rPr>
          <w:rFonts w:asciiTheme="minorHAnsi" w:eastAsia="MS PGothic" w:hAnsiTheme="minorHAnsi"/>
          <w:color w:val="000000"/>
          <w:sz w:val="22"/>
          <w:szCs w:val="22"/>
          <w:lang w:val="en-US"/>
        </w:rPr>
        <w:t>1.5 m.s</w:t>
      </w:r>
      <w:r w:rsidRPr="00B50415">
        <w:rPr>
          <w:rFonts w:asciiTheme="minorHAnsi" w:eastAsia="MS PGothic" w:hAnsiTheme="minorHAnsi"/>
          <w:color w:val="000000"/>
          <w:sz w:val="22"/>
          <w:szCs w:val="22"/>
          <w:vertAlign w:val="superscript"/>
          <w:lang w:val="en-US"/>
        </w:rPr>
        <w:t>-1</w:t>
      </w:r>
      <w:r w:rsidRPr="008055AE">
        <w:rPr>
          <w:rFonts w:asciiTheme="minorHAnsi" w:eastAsia="MS PGothic" w:hAnsiTheme="minorHAnsi"/>
          <w:color w:val="000000"/>
          <w:sz w:val="22"/>
          <w:szCs w:val="22"/>
          <w:lang w:val="en-US"/>
        </w:rPr>
        <w:t xml:space="preserve"> and were determined as the ratio between the air flow rate and the cross-sectional area (0.04 m</w:t>
      </w:r>
      <w:r w:rsidRPr="00B50415">
        <w:rPr>
          <w:rFonts w:asciiTheme="minorHAnsi" w:eastAsia="MS PGothic" w:hAnsiTheme="minorHAnsi"/>
          <w:color w:val="000000"/>
          <w:sz w:val="22"/>
          <w:szCs w:val="22"/>
          <w:vertAlign w:val="superscript"/>
          <w:lang w:val="en-US"/>
        </w:rPr>
        <w:t>2</w:t>
      </w:r>
      <w:r w:rsidRPr="008055AE">
        <w:rPr>
          <w:rFonts w:asciiTheme="minorHAnsi" w:eastAsia="MS PGothic" w:hAnsiTheme="minorHAnsi"/>
          <w:color w:val="000000"/>
          <w:sz w:val="22"/>
          <w:szCs w:val="22"/>
          <w:lang w:val="en-US"/>
        </w:rPr>
        <w:t>) of the photocatalytic module. Initial concentrations (C</w:t>
      </w:r>
      <w:r w:rsidRPr="00B50415">
        <w:rPr>
          <w:rFonts w:asciiTheme="minorHAnsi" w:eastAsia="MS PGothic" w:hAnsiTheme="minorHAnsi"/>
          <w:color w:val="000000"/>
          <w:sz w:val="22"/>
          <w:szCs w:val="22"/>
          <w:vertAlign w:val="subscript"/>
          <w:lang w:val="en-US"/>
        </w:rPr>
        <w:t>0</w:t>
      </w:r>
      <w:r w:rsidRPr="008055AE">
        <w:rPr>
          <w:rFonts w:asciiTheme="minorHAnsi" w:eastAsia="MS PGothic" w:hAnsiTheme="minorHAnsi"/>
          <w:color w:val="000000"/>
          <w:sz w:val="22"/>
          <w:szCs w:val="22"/>
          <w:lang w:val="en-US"/>
        </w:rPr>
        <w:t xml:space="preserve">) chosen for the experiments ranged from 0.5 to 10 ppm which were representative of concentrations reported in the </w:t>
      </w:r>
      <w:r w:rsidRPr="008055AE">
        <w:rPr>
          <w:rFonts w:asciiTheme="minorHAnsi" w:eastAsia="MS PGothic" w:hAnsiTheme="minorHAnsi"/>
          <w:color w:val="000000"/>
          <w:sz w:val="22"/>
          <w:szCs w:val="22"/>
          <w:lang w:val="en-US"/>
        </w:rPr>
        <w:lastRenderedPageBreak/>
        <w:t>literature. The relative humidity (RH) was maintained at 50% at 20°C to be representative of average humidity levels found in operating rooms in European countries.</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F122A0" w:rsidRDefault="00F122A0" w:rsidP="00F122A0">
      <w:pPr>
        <w:snapToGrid w:val="0"/>
        <w:spacing w:after="120"/>
        <w:rPr>
          <w:rFonts w:asciiTheme="minorHAnsi" w:eastAsia="MS PGothic" w:hAnsiTheme="minorHAnsi"/>
          <w:color w:val="000000"/>
          <w:sz w:val="22"/>
          <w:szCs w:val="22"/>
          <w:lang w:val="en-US"/>
        </w:rPr>
      </w:pPr>
      <w:r w:rsidRPr="00F122A0">
        <w:rPr>
          <w:rFonts w:asciiTheme="minorHAnsi" w:eastAsia="MS PGothic" w:hAnsiTheme="minorHAnsi"/>
          <w:color w:val="000000"/>
          <w:sz w:val="22"/>
          <w:szCs w:val="22"/>
          <w:lang w:val="en-US"/>
        </w:rPr>
        <w:t>First results showed that acrylonitrile is degraded within 1h based on the experimental conditions of C</w:t>
      </w:r>
      <w:r w:rsidRPr="00B50415">
        <w:rPr>
          <w:rFonts w:asciiTheme="minorHAnsi" w:eastAsia="MS PGothic" w:hAnsiTheme="minorHAnsi"/>
          <w:color w:val="000000"/>
          <w:sz w:val="22"/>
          <w:szCs w:val="22"/>
          <w:vertAlign w:val="subscript"/>
          <w:lang w:val="en-US"/>
        </w:rPr>
        <w:t>0</w:t>
      </w:r>
      <w:r w:rsidRPr="00F122A0">
        <w:rPr>
          <w:rFonts w:asciiTheme="minorHAnsi" w:eastAsia="MS PGothic" w:hAnsiTheme="minorHAnsi"/>
          <w:color w:val="000000"/>
          <w:sz w:val="22"/>
          <w:szCs w:val="22"/>
          <w:lang w:val="en-US"/>
        </w:rPr>
        <w:t>=2ppm, v=1</w:t>
      </w:r>
      <w:r w:rsidR="00B50415">
        <w:rPr>
          <w:rFonts w:asciiTheme="minorHAnsi" w:eastAsia="MS PGothic" w:hAnsiTheme="minorHAnsi"/>
          <w:color w:val="000000"/>
          <w:sz w:val="22"/>
          <w:szCs w:val="22"/>
          <w:lang w:val="en-US"/>
        </w:rPr>
        <w:t xml:space="preserve"> </w:t>
      </w:r>
      <w:r w:rsidRPr="00F122A0">
        <w:rPr>
          <w:rFonts w:asciiTheme="minorHAnsi" w:eastAsia="MS PGothic" w:hAnsiTheme="minorHAnsi"/>
          <w:color w:val="000000"/>
          <w:sz w:val="22"/>
          <w:szCs w:val="22"/>
          <w:lang w:val="en-US"/>
        </w:rPr>
        <w:t>m.s</w:t>
      </w:r>
      <w:r w:rsidRPr="00B50415">
        <w:rPr>
          <w:rFonts w:asciiTheme="minorHAnsi" w:eastAsia="MS PGothic" w:hAnsiTheme="minorHAnsi"/>
          <w:color w:val="000000"/>
          <w:sz w:val="22"/>
          <w:szCs w:val="22"/>
          <w:vertAlign w:val="superscript"/>
          <w:lang w:val="en-US"/>
        </w:rPr>
        <w:t>-1</w:t>
      </w:r>
      <w:r w:rsidRPr="00F122A0">
        <w:rPr>
          <w:rFonts w:asciiTheme="minorHAnsi" w:eastAsia="MS PGothic" w:hAnsiTheme="minorHAnsi"/>
          <w:color w:val="000000"/>
          <w:sz w:val="22"/>
          <w:szCs w:val="22"/>
          <w:lang w:val="en-US"/>
        </w:rPr>
        <w:t xml:space="preserve"> and I = 4.5mW.m</w:t>
      </w:r>
      <w:r w:rsidRPr="00B50415">
        <w:rPr>
          <w:rFonts w:asciiTheme="minorHAnsi" w:eastAsia="MS PGothic" w:hAnsiTheme="minorHAnsi"/>
          <w:color w:val="000000"/>
          <w:sz w:val="22"/>
          <w:szCs w:val="22"/>
          <w:vertAlign w:val="superscript"/>
          <w:lang w:val="en-US"/>
        </w:rPr>
        <w:t>-2</w:t>
      </w:r>
      <w:r w:rsidRPr="00F122A0">
        <w:rPr>
          <w:rFonts w:asciiTheme="minorHAnsi" w:eastAsia="MS PGothic" w:hAnsiTheme="minorHAnsi"/>
          <w:color w:val="000000"/>
          <w:sz w:val="22"/>
          <w:szCs w:val="22"/>
          <w:lang w:val="en-US"/>
        </w:rPr>
        <w:t xml:space="preserve"> (Fig. </w:t>
      </w:r>
      <w:r w:rsidR="00B50415">
        <w:rPr>
          <w:rFonts w:asciiTheme="minorHAnsi" w:eastAsia="MS PGothic" w:hAnsiTheme="minorHAnsi"/>
          <w:color w:val="000000"/>
          <w:sz w:val="22"/>
          <w:szCs w:val="22"/>
          <w:lang w:val="en-US"/>
        </w:rPr>
        <w:t>1</w:t>
      </w:r>
      <w:r w:rsidRPr="00F122A0">
        <w:rPr>
          <w:rFonts w:asciiTheme="minorHAnsi" w:eastAsia="MS PGothic" w:hAnsiTheme="minorHAnsi"/>
          <w:color w:val="000000"/>
          <w:sz w:val="22"/>
          <w:szCs w:val="22"/>
          <w:lang w:val="en-US"/>
        </w:rPr>
        <w:t>). It was observed that the degradation followed a first order kinetic. The experimental points were then fitted to the model developed by Dumont and Héquet. The model describes the first order decay relationship of concentration vs. time and helps to determine the single pass removal efficiency. It is as follows:</w:t>
      </w:r>
    </w:p>
    <w:p w:rsidR="00B50415" w:rsidRPr="00933C51" w:rsidRDefault="00B50415" w:rsidP="00B50415">
      <w:pPr>
        <w:pStyle w:val="Didascalia"/>
        <w:spacing w:line="360" w:lineRule="auto"/>
        <w:rPr>
          <w:rFonts w:ascii="Times New Roman" w:hAnsi="Times New Roman"/>
          <w:color w:val="auto"/>
          <w:sz w:val="24"/>
          <w:szCs w:val="24"/>
          <w:lang w:val="en-US"/>
        </w:rPr>
      </w:pPr>
      <m:oMath>
        <m:r>
          <m:rPr>
            <m:sty m:val="b"/>
          </m:rPr>
          <w:rPr>
            <w:rFonts w:ascii="Cambria Math" w:hAnsi="Times New Roman"/>
            <w:color w:val="auto"/>
            <w:sz w:val="20"/>
            <w:szCs w:val="20"/>
            <w:lang w:val="en-US"/>
          </w:rPr>
          <m:t>C</m:t>
        </m:r>
        <m:r>
          <m:rPr>
            <m:sty m:val="bi"/>
          </m:rPr>
          <w:rPr>
            <w:rFonts w:ascii="Cambria Math" w:hAnsi="Times New Roman"/>
            <w:color w:val="auto"/>
            <w:sz w:val="20"/>
            <w:szCs w:val="20"/>
            <w:lang w:val="en-US"/>
          </w:rPr>
          <m:t>=</m:t>
        </m:r>
        <m:sSub>
          <m:sSubPr>
            <m:ctrlPr>
              <w:rPr>
                <w:rFonts w:ascii="Cambria Math" w:hAnsi="Times New Roman"/>
                <w:i/>
                <w:color w:val="auto"/>
                <w:sz w:val="20"/>
                <w:szCs w:val="20"/>
                <w:lang w:val="en-US"/>
              </w:rPr>
            </m:ctrlPr>
          </m:sSubPr>
          <m:e>
            <m:r>
              <m:rPr>
                <m:sty m:val="bi"/>
              </m:rPr>
              <w:rPr>
                <w:rFonts w:ascii="Cambria Math" w:hAnsi="Cambria Math"/>
                <w:color w:val="auto"/>
                <w:sz w:val="20"/>
                <w:szCs w:val="20"/>
                <w:lang w:val="en-US"/>
              </w:rPr>
              <m:t>C</m:t>
            </m:r>
          </m:e>
          <m:sub>
            <m:r>
              <m:rPr>
                <m:sty m:val="bi"/>
              </m:rPr>
              <w:rPr>
                <w:rFonts w:ascii="Cambria Math" w:hAnsi="Times New Roman"/>
                <w:color w:val="auto"/>
                <w:sz w:val="20"/>
                <w:szCs w:val="20"/>
                <w:lang w:val="en-US"/>
              </w:rPr>
              <m:t xml:space="preserve">0 </m:t>
            </m:r>
          </m:sub>
        </m:sSub>
        <m:r>
          <m:rPr>
            <m:sty m:val="b"/>
          </m:rPr>
          <w:rPr>
            <w:rFonts w:ascii="Cambria Math" w:hAnsi="Times New Roman"/>
            <w:color w:val="auto"/>
            <w:sz w:val="20"/>
            <w:szCs w:val="20"/>
            <w:lang w:val="en-US"/>
          </w:rPr>
          <m:t>exp</m:t>
        </m:r>
        <m:r>
          <m:rPr>
            <m:sty m:val="b"/>
          </m:rPr>
          <w:rPr>
            <w:rFonts w:ascii="Cambria Math" w:hAnsi="Cambria Math"/>
            <w:color w:val="auto"/>
            <w:sz w:val="20"/>
            <w:szCs w:val="20"/>
            <w:lang w:val="en-US"/>
          </w:rPr>
          <m:t>⁡</m:t>
        </m:r>
        <m:d>
          <m:dPr>
            <m:begChr m:val="{"/>
            <m:endChr m:val="}"/>
            <m:ctrlPr>
              <w:rPr>
                <w:rFonts w:ascii="Cambria Math" w:hAnsi="Times New Roman"/>
                <w:i/>
                <w:color w:val="auto"/>
                <w:sz w:val="20"/>
                <w:szCs w:val="20"/>
                <w:lang w:val="en-US"/>
              </w:rPr>
            </m:ctrlPr>
          </m:dPr>
          <m:e>
            <m:r>
              <m:rPr>
                <m:sty m:val="bi"/>
              </m:rPr>
              <w:rPr>
                <w:rFonts w:ascii="Cambria Math" w:hAnsi="Cambria Math"/>
                <w:color w:val="auto"/>
                <w:sz w:val="20"/>
                <w:szCs w:val="20"/>
                <w:lang w:val="en-US"/>
              </w:rPr>
              <m:t>-</m:t>
            </m:r>
            <m:f>
              <m:fPr>
                <m:ctrlPr>
                  <w:rPr>
                    <w:rFonts w:ascii="Cambria Math" w:hAnsi="Times New Roman"/>
                    <w:i/>
                    <w:color w:val="auto"/>
                    <w:sz w:val="20"/>
                    <w:szCs w:val="20"/>
                    <w:lang w:val="en-US"/>
                  </w:rPr>
                </m:ctrlPr>
              </m:fPr>
              <m:num>
                <m:r>
                  <m:rPr>
                    <m:sty m:val="bi"/>
                  </m:rPr>
                  <w:rPr>
                    <w:rFonts w:ascii="Cambria Math" w:hAnsi="Cambria Math"/>
                    <w:color w:val="auto"/>
                    <w:sz w:val="20"/>
                    <w:szCs w:val="20"/>
                    <w:lang w:val="en-US"/>
                  </w:rPr>
                  <m:t>t</m:t>
                </m:r>
              </m:num>
              <m:den>
                <m:sSub>
                  <m:sSubPr>
                    <m:ctrlPr>
                      <w:rPr>
                        <w:rFonts w:ascii="Cambria Math" w:hAnsi="Times New Roman"/>
                        <w:i/>
                        <w:color w:val="auto"/>
                        <w:sz w:val="20"/>
                        <w:szCs w:val="20"/>
                        <w:lang w:val="en-US"/>
                      </w:rPr>
                    </m:ctrlPr>
                  </m:sSubPr>
                  <m:e>
                    <m:r>
                      <m:rPr>
                        <m:sty m:val="bi"/>
                      </m:rPr>
                      <w:rPr>
                        <w:rFonts w:ascii="Cambria Math" w:hAnsi="Cambria Math"/>
                        <w:color w:val="auto"/>
                        <w:sz w:val="20"/>
                        <w:szCs w:val="20"/>
                        <w:lang w:val="en-US"/>
                      </w:rPr>
                      <m:t>τ</m:t>
                    </m:r>
                  </m:e>
                  <m:sub>
                    <m:r>
                      <m:rPr>
                        <m:sty m:val="bi"/>
                      </m:rPr>
                      <w:rPr>
                        <w:rFonts w:ascii="Cambria Math" w:hAnsi="Cambria Math"/>
                        <w:color w:val="auto"/>
                        <w:sz w:val="20"/>
                        <w:szCs w:val="20"/>
                        <w:lang w:val="en-US"/>
                      </w:rPr>
                      <m:t>R</m:t>
                    </m:r>
                  </m:sub>
                </m:sSub>
              </m:den>
            </m:f>
          </m:e>
          <m:e>
            <m:r>
              <m:rPr>
                <m:sty m:val="bi"/>
              </m:rPr>
              <w:rPr>
                <w:rFonts w:ascii="Cambria Math" w:hAnsi="Times New Roman"/>
                <w:color w:val="auto"/>
                <w:sz w:val="20"/>
                <w:szCs w:val="20"/>
                <w:lang w:val="en-US"/>
              </w:rPr>
              <m:t>[1</m:t>
            </m:r>
            <m:r>
              <m:rPr>
                <m:sty m:val="bi"/>
              </m:rPr>
              <w:rPr>
                <w:rFonts w:ascii="Cambria Math" w:hAnsi="Cambria Math"/>
                <w:color w:val="auto"/>
                <w:sz w:val="20"/>
                <w:szCs w:val="20"/>
                <w:lang w:val="en-US"/>
              </w:rPr>
              <m:t>-</m:t>
            </m:r>
            <m:func>
              <m:funcPr>
                <m:ctrlPr>
                  <w:rPr>
                    <w:rFonts w:ascii="Cambria Math" w:hAnsi="Times New Roman"/>
                    <w:color w:val="auto"/>
                    <w:sz w:val="20"/>
                    <w:szCs w:val="20"/>
                    <w:lang w:val="en-US"/>
                  </w:rPr>
                </m:ctrlPr>
              </m:funcPr>
              <m:fName>
                <m:r>
                  <m:rPr>
                    <m:sty m:val="b"/>
                  </m:rPr>
                  <w:rPr>
                    <w:rFonts w:ascii="Cambria Math" w:hAnsi="Times New Roman"/>
                    <w:color w:val="auto"/>
                    <w:sz w:val="20"/>
                    <w:szCs w:val="20"/>
                    <w:lang w:val="en-US"/>
                  </w:rPr>
                  <m:t>exp</m:t>
                </m:r>
              </m:fName>
              <m:e>
                <m:d>
                  <m:dPr>
                    <m:ctrlPr>
                      <w:rPr>
                        <w:rFonts w:ascii="Cambria Math" w:hAnsi="Times New Roman"/>
                        <w:i/>
                        <w:color w:val="auto"/>
                        <w:sz w:val="20"/>
                        <w:szCs w:val="20"/>
                        <w:lang w:val="en-US"/>
                      </w:rPr>
                    </m:ctrlPr>
                  </m:dPr>
                  <m:e>
                    <m:r>
                      <m:rPr>
                        <m:sty m:val="bi"/>
                      </m:rPr>
                      <w:rPr>
                        <w:rFonts w:ascii="Cambria Math" w:hAnsi="Cambria Math"/>
                        <w:color w:val="auto"/>
                        <w:sz w:val="20"/>
                        <w:szCs w:val="20"/>
                        <w:lang w:val="en-US"/>
                      </w:rPr>
                      <m:t>-α</m:t>
                    </m:r>
                  </m:e>
                </m:d>
                <m:ctrlPr>
                  <w:rPr>
                    <w:rFonts w:ascii="Cambria Math" w:hAnsi="Times New Roman"/>
                    <w:i/>
                    <w:color w:val="auto"/>
                    <w:sz w:val="20"/>
                    <w:szCs w:val="20"/>
                    <w:lang w:val="en-US"/>
                  </w:rPr>
                </m:ctrlPr>
              </m:e>
            </m:func>
            <m:r>
              <m:rPr>
                <m:sty m:val="bi"/>
              </m:rPr>
              <w:rPr>
                <w:rFonts w:ascii="Cambria Math" w:hAnsi="Times New Roman"/>
                <w:color w:val="auto"/>
                <w:sz w:val="20"/>
                <w:szCs w:val="20"/>
                <w:lang w:val="en-US"/>
              </w:rPr>
              <m:t>]</m:t>
            </m:r>
          </m:e>
        </m:d>
      </m:oMath>
      <w:r w:rsidRPr="00B50415">
        <w:rPr>
          <w:rFonts w:ascii="Times New Roman" w:hAnsi="Times New Roman"/>
          <w:color w:val="auto"/>
          <w:sz w:val="20"/>
          <w:szCs w:val="20"/>
          <w:lang w:val="en-US"/>
        </w:rPr>
        <w:t xml:space="preserve">                                                                                       </w:t>
      </w:r>
      <w:r w:rsidRPr="00933C51">
        <w:rPr>
          <w:rFonts w:ascii="Times New Roman" w:hAnsi="Times New Roman"/>
          <w:color w:val="auto"/>
          <w:sz w:val="24"/>
          <w:szCs w:val="24"/>
          <w:lang w:val="en-US"/>
        </w:rPr>
        <w:t>(</w:t>
      </w:r>
      <w:r w:rsidR="00340E73" w:rsidRPr="00933C51">
        <w:rPr>
          <w:rFonts w:ascii="Times New Roman" w:hAnsi="Times New Roman"/>
          <w:color w:val="auto"/>
          <w:sz w:val="24"/>
          <w:szCs w:val="24"/>
        </w:rPr>
        <w:fldChar w:fldCharType="begin"/>
      </w:r>
      <w:r w:rsidRPr="00933C51">
        <w:rPr>
          <w:rFonts w:ascii="Times New Roman" w:hAnsi="Times New Roman"/>
          <w:color w:val="auto"/>
          <w:sz w:val="24"/>
          <w:szCs w:val="24"/>
          <w:lang w:val="en-US"/>
        </w:rPr>
        <w:instrText xml:space="preserve"> SEQ ( \* ARABIC </w:instrText>
      </w:r>
      <w:r w:rsidR="00340E73" w:rsidRPr="00933C51">
        <w:rPr>
          <w:rFonts w:ascii="Times New Roman" w:hAnsi="Times New Roman"/>
          <w:color w:val="auto"/>
          <w:sz w:val="24"/>
          <w:szCs w:val="24"/>
        </w:rPr>
        <w:fldChar w:fldCharType="separate"/>
      </w:r>
      <w:r w:rsidR="009C69D2">
        <w:rPr>
          <w:rFonts w:ascii="Times New Roman" w:hAnsi="Times New Roman"/>
          <w:noProof/>
          <w:color w:val="auto"/>
          <w:sz w:val="24"/>
          <w:szCs w:val="24"/>
          <w:lang w:val="en-US"/>
        </w:rPr>
        <w:t>1</w:t>
      </w:r>
      <w:r w:rsidR="00340E73" w:rsidRPr="00933C51">
        <w:rPr>
          <w:rFonts w:ascii="Times New Roman" w:hAnsi="Times New Roman"/>
          <w:color w:val="auto"/>
          <w:sz w:val="24"/>
          <w:szCs w:val="24"/>
        </w:rPr>
        <w:fldChar w:fldCharType="end"/>
      </w:r>
      <w:r w:rsidRPr="00933C51">
        <w:rPr>
          <w:rFonts w:ascii="Times New Roman" w:hAnsi="Times New Roman"/>
          <w:color w:val="auto"/>
          <w:sz w:val="24"/>
          <w:szCs w:val="24"/>
          <w:lang w:val="en-US"/>
        </w:rPr>
        <w:t>)</w:t>
      </w:r>
    </w:p>
    <w:p w:rsidR="00704BDF" w:rsidRDefault="00F122A0" w:rsidP="00F122A0">
      <w:pPr>
        <w:snapToGrid w:val="0"/>
        <w:spacing w:after="120"/>
        <w:rPr>
          <w:rFonts w:asciiTheme="minorHAnsi" w:eastAsia="MS PGothic" w:hAnsiTheme="minorHAnsi"/>
          <w:color w:val="000000"/>
          <w:sz w:val="22"/>
          <w:szCs w:val="22"/>
          <w:lang w:val="en-US"/>
        </w:rPr>
      </w:pPr>
      <w:r w:rsidRPr="00F122A0">
        <w:rPr>
          <w:rFonts w:asciiTheme="minorHAnsi" w:eastAsia="MS PGothic" w:hAnsiTheme="minorHAnsi"/>
          <w:color w:val="000000"/>
          <w:sz w:val="22"/>
          <w:szCs w:val="22"/>
          <w:lang w:val="en-US"/>
        </w:rPr>
        <w:t>In Eqn. 1 the term α is the single pass removal efficiency and represents the fraction of the total flow treated during the time τ</w:t>
      </w:r>
      <w:r w:rsidRPr="00B50415">
        <w:rPr>
          <w:rFonts w:asciiTheme="minorHAnsi" w:eastAsia="MS PGothic" w:hAnsiTheme="minorHAnsi"/>
          <w:color w:val="000000"/>
          <w:sz w:val="22"/>
          <w:szCs w:val="22"/>
          <w:vertAlign w:val="subscript"/>
          <w:lang w:val="en-US"/>
        </w:rPr>
        <w:t>R</w:t>
      </w:r>
      <w:r w:rsidRPr="00F122A0">
        <w:rPr>
          <w:rFonts w:asciiTheme="minorHAnsi" w:eastAsia="MS PGothic" w:hAnsiTheme="minorHAnsi"/>
          <w:color w:val="000000"/>
          <w:sz w:val="22"/>
          <w:szCs w:val="22"/>
          <w:lang w:val="en-US"/>
        </w:rPr>
        <w:t xml:space="preserve"> (residence time in the reactor). C is the pollutant concentration at time t and C</w:t>
      </w:r>
      <w:r w:rsidRPr="00B50415">
        <w:rPr>
          <w:rFonts w:asciiTheme="minorHAnsi" w:eastAsia="MS PGothic" w:hAnsiTheme="minorHAnsi"/>
          <w:color w:val="000000"/>
          <w:sz w:val="22"/>
          <w:szCs w:val="22"/>
          <w:vertAlign w:val="subscript"/>
          <w:lang w:val="en-US"/>
        </w:rPr>
        <w:t>0</w:t>
      </w:r>
      <w:r w:rsidRPr="00F122A0">
        <w:rPr>
          <w:rFonts w:asciiTheme="minorHAnsi" w:eastAsia="MS PGothic" w:hAnsiTheme="minorHAnsi"/>
          <w:color w:val="000000"/>
          <w:sz w:val="22"/>
          <w:szCs w:val="22"/>
          <w:lang w:val="en-US"/>
        </w:rPr>
        <w:t xml:space="preserve"> is the initial pollutant concentration. Numerical resolutions are carried out using Excel® Solver which is based on the least- square method. </w:t>
      </w:r>
    </w:p>
    <w:p w:rsidR="00B50415" w:rsidRDefault="00B50415" w:rsidP="00B50415">
      <w:pPr>
        <w:snapToGrid w:val="0"/>
        <w:spacing w:after="120"/>
        <w:jc w:val="center"/>
        <w:rPr>
          <w:rFonts w:asciiTheme="minorHAnsi" w:eastAsia="MS PGothic" w:hAnsiTheme="minorHAnsi"/>
          <w:color w:val="000000"/>
          <w:sz w:val="22"/>
          <w:szCs w:val="22"/>
          <w:lang w:val="en-US"/>
        </w:rPr>
      </w:pPr>
      <w:r w:rsidRPr="00B50415">
        <w:rPr>
          <w:rFonts w:eastAsia="MS PGothic"/>
          <w:noProof/>
          <w:szCs w:val="22"/>
          <w:lang w:val="it-IT" w:eastAsia="it-IT"/>
        </w:rPr>
        <w:drawing>
          <wp:inline distT="0" distB="0" distL="0" distR="0">
            <wp:extent cx="2085340" cy="1600200"/>
            <wp:effectExtent l="0" t="0" r="0"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085340" cy="1600200"/>
                    </a:xfrm>
                    <a:prstGeom prst="rect">
                      <a:avLst/>
                    </a:prstGeom>
                    <a:noFill/>
                    <a:ln w="9525">
                      <a:noFill/>
                      <a:miter lim="800000"/>
                      <a:headEnd/>
                      <a:tailEnd/>
                    </a:ln>
                  </pic:spPr>
                </pic:pic>
              </a:graphicData>
            </a:graphic>
          </wp:inline>
        </w:drawing>
      </w:r>
    </w:p>
    <w:p w:rsidR="00704BDF" w:rsidRPr="00DE0019" w:rsidRDefault="00704BDF" w:rsidP="00B50415">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hAnsiTheme="minorHAnsi"/>
          <w:lang w:val="en-US"/>
        </w:rPr>
        <w:t xml:space="preserve"> </w:t>
      </w:r>
      <w:r w:rsidR="00F122A0" w:rsidRPr="00F122A0">
        <w:rPr>
          <w:rFonts w:asciiTheme="minorHAnsi" w:eastAsia="MS PGothic" w:hAnsiTheme="minorHAnsi"/>
          <w:color w:val="000000"/>
          <w:szCs w:val="18"/>
          <w:lang w:val="en-US"/>
        </w:rPr>
        <w:t>Experimental degradation curve of acrylonitrile fitted to model (C</w:t>
      </w:r>
      <w:r w:rsidR="00F122A0" w:rsidRPr="00B50415">
        <w:rPr>
          <w:rFonts w:asciiTheme="minorHAnsi" w:eastAsia="MS PGothic" w:hAnsiTheme="minorHAnsi"/>
          <w:color w:val="000000"/>
          <w:szCs w:val="18"/>
          <w:vertAlign w:val="subscript"/>
          <w:lang w:val="en-US"/>
        </w:rPr>
        <w:t>0</w:t>
      </w:r>
      <w:r w:rsidR="00F122A0" w:rsidRPr="00F122A0">
        <w:rPr>
          <w:rFonts w:asciiTheme="minorHAnsi" w:eastAsia="MS PGothic" w:hAnsiTheme="minorHAnsi"/>
          <w:color w:val="000000"/>
          <w:szCs w:val="18"/>
          <w:lang w:val="en-US"/>
        </w:rPr>
        <w:t xml:space="preserve"> = 2 ppm; v = 1 m.s</w:t>
      </w:r>
      <w:r w:rsidR="00F122A0" w:rsidRPr="00B50415">
        <w:rPr>
          <w:rFonts w:asciiTheme="minorHAnsi" w:eastAsia="MS PGothic" w:hAnsiTheme="minorHAnsi"/>
          <w:color w:val="000000"/>
          <w:szCs w:val="18"/>
          <w:vertAlign w:val="superscript"/>
          <w:lang w:val="en-US"/>
        </w:rPr>
        <w:t>-1</w:t>
      </w:r>
      <w:r w:rsidR="00F122A0" w:rsidRPr="00F122A0">
        <w:rPr>
          <w:rFonts w:asciiTheme="minorHAnsi" w:eastAsia="MS PGothic" w:hAnsiTheme="minorHAnsi"/>
          <w:color w:val="000000"/>
          <w:szCs w:val="18"/>
          <w:lang w:val="en-US"/>
        </w:rPr>
        <w:t>; I = 4.5 mW.cm</w:t>
      </w:r>
      <w:r w:rsidR="00F122A0" w:rsidRPr="00B50415">
        <w:rPr>
          <w:rFonts w:asciiTheme="minorHAnsi" w:eastAsia="MS PGothic" w:hAnsiTheme="minorHAnsi"/>
          <w:color w:val="000000"/>
          <w:szCs w:val="18"/>
          <w:vertAlign w:val="superscript"/>
          <w:lang w:val="en-US"/>
        </w:rPr>
        <w:t>-2</w:t>
      </w:r>
      <w:r w:rsidR="00B50415">
        <w:rPr>
          <w:rFonts w:asciiTheme="minorHAnsi" w:eastAsia="MS PGothic" w:hAnsiTheme="minorHAnsi"/>
          <w:color w:val="000000"/>
          <w:szCs w:val="18"/>
          <w:lang w:val="en-US"/>
        </w:rPr>
        <w:t>)</w:t>
      </w:r>
      <w:r w:rsidRPr="00DE0019">
        <w:rPr>
          <w:rFonts w:asciiTheme="minorHAnsi" w:eastAsia="MS PGothic" w:hAnsiTheme="minorHAnsi"/>
          <w:color w:val="000000"/>
          <w:szCs w:val="18"/>
          <w:lang w:val="en-US"/>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671698" w:rsidRDefault="00F122A0" w:rsidP="00704BDF">
      <w:pPr>
        <w:snapToGrid w:val="0"/>
        <w:spacing w:after="120"/>
        <w:rPr>
          <w:rFonts w:asciiTheme="minorHAnsi" w:eastAsia="MS PGothic" w:hAnsiTheme="minorHAnsi"/>
          <w:color w:val="000000"/>
          <w:sz w:val="22"/>
          <w:szCs w:val="22"/>
          <w:lang w:val="en-US"/>
        </w:rPr>
      </w:pPr>
      <w:r w:rsidRPr="00F122A0">
        <w:rPr>
          <w:rFonts w:asciiTheme="minorHAnsi" w:eastAsia="MS PGothic" w:hAnsiTheme="minorHAnsi"/>
          <w:color w:val="000000"/>
          <w:sz w:val="22"/>
          <w:szCs w:val="22"/>
          <w:lang w:val="en-US"/>
        </w:rPr>
        <w:t xml:space="preserve">Conclusively, PCO is able to degrade acrylonitrile. The experimental points are well fitted to the model and enable the calculation of the one-pass removal efficiency. Since the global objective is to study the effect that the operating parameters have on the single pass removal efficiency, experiments </w:t>
      </w:r>
      <w:r w:rsidR="00671698">
        <w:rPr>
          <w:rFonts w:asciiTheme="minorHAnsi" w:eastAsia="MS PGothic" w:hAnsiTheme="minorHAnsi"/>
          <w:color w:val="000000"/>
          <w:sz w:val="22"/>
          <w:szCs w:val="22"/>
          <w:lang w:val="en-US"/>
        </w:rPr>
        <w:t>are</w:t>
      </w:r>
      <w:r w:rsidRPr="00F122A0">
        <w:rPr>
          <w:rFonts w:asciiTheme="minorHAnsi" w:eastAsia="MS PGothic" w:hAnsiTheme="minorHAnsi"/>
          <w:color w:val="000000"/>
          <w:sz w:val="22"/>
          <w:szCs w:val="22"/>
          <w:lang w:val="en-US"/>
        </w:rPr>
        <w:t xml:space="preserve"> conducted at the selected air velocities, light intensities and initial concentrations to determine their influence.</w:t>
      </w:r>
    </w:p>
    <w:p w:rsidR="00F122A0" w:rsidRPr="008D0BEB" w:rsidRDefault="00F122A0" w:rsidP="00704BDF">
      <w:pPr>
        <w:snapToGrid w:val="0"/>
        <w:spacing w:after="120"/>
        <w:rPr>
          <w:rFonts w:asciiTheme="minorHAnsi" w:eastAsia="MS PGothic" w:hAnsiTheme="minorHAnsi"/>
          <w:color w:val="000000"/>
          <w:sz w:val="22"/>
          <w:szCs w:val="22"/>
          <w:lang w:val="en-US"/>
        </w:rPr>
      </w:pPr>
      <w:r w:rsidRPr="00671698">
        <w:rPr>
          <w:rFonts w:asciiTheme="minorHAnsi" w:eastAsia="MS PGothic" w:hAnsiTheme="minorHAnsi"/>
          <w:b/>
          <w:color w:val="000000"/>
          <w:sz w:val="20"/>
          <w:lang w:val="en-US"/>
        </w:rPr>
        <w:t>Acknowledgements</w:t>
      </w:r>
      <w:r w:rsidRPr="00671698">
        <w:rPr>
          <w:rFonts w:asciiTheme="minorHAnsi" w:eastAsia="MS PGothic" w:hAnsiTheme="minorHAnsi"/>
          <w:color w:val="000000"/>
          <w:sz w:val="20"/>
          <w:lang w:val="en-US"/>
        </w:rPr>
        <w:t xml:space="preserve">: </w:t>
      </w:r>
      <w:r w:rsidR="00B50415" w:rsidRPr="00671698">
        <w:rPr>
          <w:rFonts w:asciiTheme="minorHAnsi" w:eastAsia="MS PGothic" w:hAnsiTheme="minorHAnsi"/>
          <w:color w:val="000000"/>
          <w:sz w:val="20"/>
          <w:lang w:val="en-US"/>
        </w:rPr>
        <w:t>t</w:t>
      </w:r>
      <w:r w:rsidRPr="00671698">
        <w:rPr>
          <w:rFonts w:asciiTheme="minorHAnsi" w:eastAsia="MS PGothic" w:hAnsiTheme="minorHAnsi"/>
          <w:color w:val="000000"/>
          <w:sz w:val="20"/>
          <w:lang w:val="en-US"/>
        </w:rPr>
        <w:t>he authors thank ATA Medical company and IMT-Atlantique for their financial support</w:t>
      </w:r>
      <w:r w:rsidRPr="00F122A0">
        <w:rPr>
          <w:rFonts w:asciiTheme="minorHAnsi" w:eastAsia="MS PGothic" w:hAnsiTheme="minorHAnsi"/>
          <w:color w:val="000000"/>
          <w:sz w:val="22"/>
          <w:szCs w:val="22"/>
          <w:lang w:val="en-US"/>
        </w:rPr>
        <w:t>.</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rsidR="00F122A0" w:rsidRPr="002F282B" w:rsidRDefault="00340E73" w:rsidP="00F122A0">
      <w:pPr>
        <w:widowControl w:val="0"/>
        <w:autoSpaceDE w:val="0"/>
        <w:autoSpaceDN w:val="0"/>
        <w:adjustRightInd w:val="0"/>
        <w:rPr>
          <w:noProof/>
          <w:sz w:val="16"/>
          <w:szCs w:val="16"/>
        </w:rPr>
      </w:pPr>
      <w:r w:rsidRPr="002F282B">
        <w:rPr>
          <w:i/>
          <w:sz w:val="16"/>
          <w:szCs w:val="16"/>
        </w:rPr>
        <w:fldChar w:fldCharType="begin" w:fldLock="1"/>
      </w:r>
      <w:r w:rsidR="00F122A0" w:rsidRPr="002F282B">
        <w:rPr>
          <w:i/>
          <w:sz w:val="16"/>
          <w:szCs w:val="16"/>
        </w:rPr>
        <w:instrText xml:space="preserve">ADDIN Mendeley Bibliography CSL_BIBLIOGRAPHY </w:instrText>
      </w:r>
      <w:r w:rsidRPr="002F282B">
        <w:rPr>
          <w:i/>
          <w:sz w:val="16"/>
          <w:szCs w:val="16"/>
        </w:rPr>
        <w:fldChar w:fldCharType="separate"/>
      </w:r>
      <w:r w:rsidR="00F122A0">
        <w:rPr>
          <w:noProof/>
          <w:sz w:val="16"/>
          <w:szCs w:val="16"/>
        </w:rPr>
        <w:t xml:space="preserve">[1] </w:t>
      </w:r>
      <w:r w:rsidR="00F122A0" w:rsidRPr="002F282B">
        <w:rPr>
          <w:noProof/>
          <w:sz w:val="16"/>
          <w:szCs w:val="16"/>
        </w:rPr>
        <w:t xml:space="preserve">C.-C. Jung, P.-C. Wu, C.-H. Tseng, H.-J. Su, Indoor air quality varies with ventilation types and working areas in hospitals, Build. Environ. 85 (2015) 190–195. </w:t>
      </w:r>
    </w:p>
    <w:p w:rsidR="00F122A0" w:rsidRPr="00F122A0" w:rsidRDefault="00F122A0" w:rsidP="00F122A0">
      <w:pPr>
        <w:widowControl w:val="0"/>
        <w:autoSpaceDE w:val="0"/>
        <w:autoSpaceDN w:val="0"/>
        <w:adjustRightInd w:val="0"/>
        <w:rPr>
          <w:rFonts w:asciiTheme="minorHAnsi" w:hAnsiTheme="minorHAnsi"/>
          <w:noProof/>
          <w:sz w:val="20"/>
        </w:rPr>
      </w:pPr>
      <w:r>
        <w:rPr>
          <w:noProof/>
          <w:sz w:val="16"/>
          <w:szCs w:val="16"/>
        </w:rPr>
        <w:t xml:space="preserve">[2] </w:t>
      </w:r>
      <w:r w:rsidRPr="002F282B">
        <w:rPr>
          <w:noProof/>
          <w:sz w:val="16"/>
          <w:szCs w:val="16"/>
        </w:rPr>
        <w:t>W.L. Barrett, S.M. Garber, Surgical smoke: a review of the literature, Surg. Endosc. Other Interv. Tech. 17 (2003) 979–987.</w:t>
      </w:r>
    </w:p>
    <w:p w:rsidR="00F122A0" w:rsidRPr="002F282B" w:rsidRDefault="00F122A0" w:rsidP="00F122A0">
      <w:pPr>
        <w:widowControl w:val="0"/>
        <w:autoSpaceDE w:val="0"/>
        <w:autoSpaceDN w:val="0"/>
        <w:adjustRightInd w:val="0"/>
        <w:rPr>
          <w:noProof/>
          <w:sz w:val="16"/>
          <w:szCs w:val="16"/>
        </w:rPr>
      </w:pPr>
      <w:r>
        <w:rPr>
          <w:noProof/>
          <w:sz w:val="16"/>
          <w:szCs w:val="16"/>
        </w:rPr>
        <w:t>[</w:t>
      </w:r>
      <w:r w:rsidR="00671698">
        <w:rPr>
          <w:noProof/>
          <w:sz w:val="16"/>
          <w:szCs w:val="16"/>
        </w:rPr>
        <w:t>3</w:t>
      </w:r>
      <w:r>
        <w:rPr>
          <w:noProof/>
          <w:sz w:val="16"/>
          <w:szCs w:val="16"/>
        </w:rPr>
        <w:t xml:space="preserve">] </w:t>
      </w:r>
      <w:r w:rsidRPr="002F282B">
        <w:rPr>
          <w:noProof/>
          <w:sz w:val="16"/>
          <w:szCs w:val="16"/>
        </w:rPr>
        <w:t xml:space="preserve">A. Maudhuit, C. Raillard, V. Héquet, L. Le Coq, J. Sablayrolles, L. Molins, Adsorption phenomena in photocatalytic reactions: The case of toluene, acetone and heptane, Chem. Eng. J. 170 (2011) 464–470. </w:t>
      </w:r>
    </w:p>
    <w:p w:rsidR="00F122A0" w:rsidRPr="002F282B" w:rsidRDefault="00F122A0" w:rsidP="00F122A0">
      <w:pPr>
        <w:widowControl w:val="0"/>
        <w:autoSpaceDE w:val="0"/>
        <w:autoSpaceDN w:val="0"/>
        <w:adjustRightInd w:val="0"/>
        <w:rPr>
          <w:noProof/>
          <w:sz w:val="16"/>
          <w:szCs w:val="16"/>
        </w:rPr>
      </w:pPr>
      <w:r>
        <w:rPr>
          <w:noProof/>
          <w:sz w:val="16"/>
          <w:szCs w:val="16"/>
        </w:rPr>
        <w:t>[</w:t>
      </w:r>
      <w:r w:rsidR="00671698">
        <w:rPr>
          <w:noProof/>
          <w:sz w:val="16"/>
          <w:szCs w:val="16"/>
        </w:rPr>
        <w:t>4</w:t>
      </w:r>
      <w:r>
        <w:rPr>
          <w:noProof/>
          <w:sz w:val="16"/>
          <w:szCs w:val="16"/>
        </w:rPr>
        <w:t xml:space="preserve">] </w:t>
      </w:r>
      <w:r w:rsidRPr="002F282B">
        <w:rPr>
          <w:noProof/>
          <w:sz w:val="16"/>
          <w:szCs w:val="16"/>
        </w:rPr>
        <w:t xml:space="preserve">É. Dumont, V. Hequet, Determination of the Clean Air Delivery Rate (CADR) of Photocatalytic Oxidation (PCO) Purifiers for Indoor Air Pollutants Using a Closed-Loop Reactor. Part I: Theoretical Considerations, Molecules. 22 (2017). </w:t>
      </w:r>
    </w:p>
    <w:p w:rsidR="00704BDF" w:rsidRPr="00704BDF" w:rsidRDefault="00340E73"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r w:rsidRPr="002F282B">
        <w:rPr>
          <w:i/>
          <w:sz w:val="16"/>
          <w:szCs w:val="16"/>
        </w:rPr>
        <w:fldChar w:fldCharType="end"/>
      </w: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46C" w:rsidRDefault="0075346C" w:rsidP="004F5E36">
      <w:r>
        <w:separator/>
      </w:r>
    </w:p>
  </w:endnote>
  <w:endnote w:type="continuationSeparator" w:id="0">
    <w:p w:rsidR="0075346C" w:rsidRDefault="0075346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Times">
    <w:panose1 w:val="02020603050405020304"/>
    <w:charset w:val="00"/>
    <w:family w:val="auto"/>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46C" w:rsidRDefault="0075346C" w:rsidP="004F5E36">
      <w:r>
        <w:separator/>
      </w:r>
    </w:p>
  </w:footnote>
  <w:footnote w:type="continuationSeparator" w:id="0">
    <w:p w:rsidR="0075346C" w:rsidRDefault="0075346C"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4A7364">
    <w:pPr>
      <w:pStyle w:val="Intestazione"/>
    </w:pPr>
    <w:r>
      <w:rPr>
        <w:noProof/>
        <w:lang w:val="it-IT" w:eastAsia="it-IT"/>
      </w:rPr>
      <mc:AlternateContent>
        <mc:Choice Requires="wps">
          <w:drawing>
            <wp:anchor distT="4294967295" distB="4294967295" distL="114300" distR="114300" simplePos="0" relativeHeight="251666432" behindDoc="0" locked="0" layoutInCell="1" allowOverlap="1">
              <wp:simplePos x="0" y="0"/>
              <wp:positionH relativeFrom="column">
                <wp:posOffset>19050</wp:posOffset>
              </wp:positionH>
              <wp:positionV relativeFrom="paragraph">
                <wp:posOffset>799464</wp:posOffset>
              </wp:positionV>
              <wp:extent cx="5581650" cy="0"/>
              <wp:effectExtent l="38100" t="38100" r="76200" b="95250"/>
              <wp:wrapNone/>
              <wp:docPr id="86" name="Connettore 1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16F8F07" id="Connettore 1 86"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" strokecolor="#002060" strokeweight="2pt">
              <v:shadow on="t" color="black" opacity="24903f" origin=",.5" offset="0,.55556mm"/>
              <o:lock v:ext="edit" shapetype="f"/>
            </v:line>
          </w:pict>
        </mc:Fallback>
      </mc:AlternateContent>
    </w:r>
    <w:r w:rsidR="004D1162">
      <w:rPr>
        <w:noProof/>
        <w:lang w:val="it-IT" w:eastAsia="it-IT"/>
      </w:rPr>
      <w:drawing>
        <wp:anchor distT="0" distB="0" distL="114300" distR="114300" simplePos="0" relativeHeight="251662336" behindDoc="0" locked="0" layoutInCell="1" allowOverlap="1">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DE0019" w:rsidRDefault="00704BDF"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Intestazione"/>
    </w:pPr>
  </w:p>
  <w:p w:rsidR="00704BDF" w:rsidRDefault="004A7364">
    <w:pPr>
      <w:pStyle w:val="Intestazione"/>
    </w:pPr>
    <w:r>
      <w:rPr>
        <w:noProof/>
        <w:lang w:val="it-IT" w:eastAsia="it-IT"/>
      </w:rPr>
      <mc:AlternateContent>
        <mc:Choice Requires="wps">
          <w:drawing>
            <wp:anchor distT="4294967295" distB="4294967295" distL="114300" distR="114300" simplePos="0" relativeHeight="251660288" behindDoc="0" locked="0" layoutInCell="1" allowOverlap="1">
              <wp:simplePos x="0" y="0"/>
              <wp:positionH relativeFrom="column">
                <wp:posOffset>128270</wp:posOffset>
              </wp:positionH>
              <wp:positionV relativeFrom="paragraph">
                <wp:posOffset>76199</wp:posOffset>
              </wp:positionV>
              <wp:extent cx="5581650" cy="0"/>
              <wp:effectExtent l="38100" t="38100" r="76200" b="95250"/>
              <wp:wrapNone/>
              <wp:docPr id="12" name="Connettore 1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B59F82" id="Connettore 1 1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" strokecolor="#002060" strokeweight="2pt">
              <v:shadow on="t" color="black" opacity="24903f" origin=",.5" offset="0,.55556mm"/>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40E73"/>
    <w:rsid w:val="003723D4"/>
    <w:rsid w:val="003A7D1C"/>
    <w:rsid w:val="003B14D9"/>
    <w:rsid w:val="0046164A"/>
    <w:rsid w:val="00462DCD"/>
    <w:rsid w:val="004A7364"/>
    <w:rsid w:val="004D1162"/>
    <w:rsid w:val="004E4DD6"/>
    <w:rsid w:val="004F5E36"/>
    <w:rsid w:val="005119A5"/>
    <w:rsid w:val="005278B7"/>
    <w:rsid w:val="005346C8"/>
    <w:rsid w:val="00580657"/>
    <w:rsid w:val="00594E9F"/>
    <w:rsid w:val="005B61E6"/>
    <w:rsid w:val="005C77E1"/>
    <w:rsid w:val="005D6A2F"/>
    <w:rsid w:val="005E1A82"/>
    <w:rsid w:val="005F0A28"/>
    <w:rsid w:val="005F0E5E"/>
    <w:rsid w:val="005F7995"/>
    <w:rsid w:val="00620DEE"/>
    <w:rsid w:val="00625639"/>
    <w:rsid w:val="0064184D"/>
    <w:rsid w:val="00660E3E"/>
    <w:rsid w:val="00662E74"/>
    <w:rsid w:val="00663D90"/>
    <w:rsid w:val="00671698"/>
    <w:rsid w:val="006A58D2"/>
    <w:rsid w:val="006C5579"/>
    <w:rsid w:val="00704BDF"/>
    <w:rsid w:val="00736B13"/>
    <w:rsid w:val="007447F3"/>
    <w:rsid w:val="0075346C"/>
    <w:rsid w:val="007661C8"/>
    <w:rsid w:val="007D52CD"/>
    <w:rsid w:val="008055AE"/>
    <w:rsid w:val="00813288"/>
    <w:rsid w:val="008168FC"/>
    <w:rsid w:val="008479A2"/>
    <w:rsid w:val="0087637F"/>
    <w:rsid w:val="008A1512"/>
    <w:rsid w:val="008D0BEB"/>
    <w:rsid w:val="008E566E"/>
    <w:rsid w:val="00901EB6"/>
    <w:rsid w:val="009450CE"/>
    <w:rsid w:val="0095164B"/>
    <w:rsid w:val="00964392"/>
    <w:rsid w:val="00996483"/>
    <w:rsid w:val="009C69D2"/>
    <w:rsid w:val="009D6B94"/>
    <w:rsid w:val="009E788A"/>
    <w:rsid w:val="00A1763D"/>
    <w:rsid w:val="00A17CEC"/>
    <w:rsid w:val="00A27EF0"/>
    <w:rsid w:val="00A76EFC"/>
    <w:rsid w:val="00A9626B"/>
    <w:rsid w:val="00A97F29"/>
    <w:rsid w:val="00AB0964"/>
    <w:rsid w:val="00AE377D"/>
    <w:rsid w:val="00B50415"/>
    <w:rsid w:val="00B61DBF"/>
    <w:rsid w:val="00BC30C9"/>
    <w:rsid w:val="00BE3E58"/>
    <w:rsid w:val="00C01616"/>
    <w:rsid w:val="00C0162B"/>
    <w:rsid w:val="00C345B1"/>
    <w:rsid w:val="00C40142"/>
    <w:rsid w:val="00C57182"/>
    <w:rsid w:val="00C655FD"/>
    <w:rsid w:val="00C867B1"/>
    <w:rsid w:val="00C94434"/>
    <w:rsid w:val="00CA1C95"/>
    <w:rsid w:val="00CA5A9C"/>
    <w:rsid w:val="00CD5FE2"/>
    <w:rsid w:val="00D02B4C"/>
    <w:rsid w:val="00D84576"/>
    <w:rsid w:val="00DE0019"/>
    <w:rsid w:val="00DE264A"/>
    <w:rsid w:val="00E041E7"/>
    <w:rsid w:val="00E23CA1"/>
    <w:rsid w:val="00E409A8"/>
    <w:rsid w:val="00E7209D"/>
    <w:rsid w:val="00E72DED"/>
    <w:rsid w:val="00EA50E1"/>
    <w:rsid w:val="00EE0131"/>
    <w:rsid w:val="00F122A0"/>
    <w:rsid w:val="00F30C64"/>
    <w:rsid w:val="00F62141"/>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F4A980-6A11-40D3-9AB5-2A29300E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aliases w:val="Caption Char"/>
    <w:basedOn w:val="Normale"/>
    <w:next w:val="Normale"/>
    <w:link w:val="DidascaliaCarattere"/>
    <w:uiPriority w:val="99"/>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character" w:customStyle="1" w:styleId="DidascaliaCarattere">
    <w:name w:val="Didascalia Carattere"/>
    <w:aliases w:val="Caption Char Carattere"/>
    <w:link w:val="Didascalia"/>
    <w:uiPriority w:val="99"/>
    <w:rsid w:val="00B50415"/>
    <w:rPr>
      <w:rFonts w:ascii="Arial" w:eastAsia="Times New Roman" w:hAnsi="Arial" w:cs="Times New Roman"/>
      <w:b/>
      <w:bCs/>
      <w:color w:val="4F81BD" w:themeColor="accent1"/>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36405-7E41-4BFD-81D8-252E59591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827</Words>
  <Characters>4717</Characters>
  <Application>Microsoft Office Word</Application>
  <DocSecurity>0</DocSecurity>
  <Lines>39</Lines>
  <Paragraphs>11</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Dipartimento CMIC - Politecnico di Milano</Company>
  <LinksUpToDate>false</LinksUpToDate>
  <CharactersWithSpaces>5533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manuela</cp:lastModifiedBy>
  <cp:revision>2</cp:revision>
  <cp:lastPrinted>2019-01-15T15:13:00Z</cp:lastPrinted>
  <dcterms:created xsi:type="dcterms:W3CDTF">2019-06-07T10:28:00Z</dcterms:created>
  <dcterms:modified xsi:type="dcterms:W3CDTF">2019-06-07T10:28:00Z</dcterms:modified>
</cp:coreProperties>
</file>