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9D595E" w:rsidP="00704BDF">
      <w:pPr>
        <w:snapToGrid w:val="0"/>
        <w:spacing w:after="360"/>
        <w:jc w:val="center"/>
        <w:rPr>
          <w:rFonts w:asciiTheme="minorHAnsi" w:eastAsia="ＭＳ Ｐゴシック" w:hAnsiTheme="minorHAnsi"/>
          <w:b/>
          <w:bCs/>
          <w:sz w:val="28"/>
          <w:szCs w:val="28"/>
          <w:lang w:val="en-US" w:eastAsia="ko-KR"/>
        </w:rPr>
      </w:pPr>
      <w:r w:rsidRPr="009D595E">
        <w:rPr>
          <w:rFonts w:asciiTheme="minorHAnsi" w:eastAsia="ＭＳ Ｐゴシック" w:hAnsiTheme="minorHAnsi"/>
          <w:b/>
          <w:bCs/>
          <w:sz w:val="28"/>
          <w:szCs w:val="28"/>
          <w:lang w:val="en-US"/>
        </w:rPr>
        <w:t>High performance and repeated use of immobilized phospholipase A</w:t>
      </w:r>
      <w:r w:rsidRPr="009D595E">
        <w:rPr>
          <w:rFonts w:asciiTheme="minorHAnsi" w:eastAsia="ＭＳ Ｐゴシック" w:hAnsiTheme="minorHAnsi"/>
          <w:b/>
          <w:bCs/>
          <w:sz w:val="28"/>
          <w:szCs w:val="28"/>
          <w:vertAlign w:val="subscript"/>
          <w:lang w:val="en-US"/>
        </w:rPr>
        <w:t>1</w:t>
      </w:r>
      <w:r w:rsidRPr="009D595E">
        <w:rPr>
          <w:rFonts w:asciiTheme="minorHAnsi" w:eastAsia="ＭＳ Ｐゴシック" w:hAnsiTheme="minorHAnsi"/>
          <w:b/>
          <w:bCs/>
          <w:sz w:val="28"/>
          <w:szCs w:val="28"/>
          <w:lang w:val="en-US"/>
        </w:rPr>
        <w:t xml:space="preserve"> for       hydrolysis of phospholipid involved with hydrophobicity of reaction media</w:t>
      </w:r>
    </w:p>
    <w:p w:rsidR="009D595E" w:rsidRPr="009D595E" w:rsidRDefault="009D595E" w:rsidP="009D595E">
      <w:pPr>
        <w:snapToGrid w:val="0"/>
        <w:spacing w:after="120"/>
        <w:jc w:val="center"/>
        <w:rPr>
          <w:rFonts w:eastAsia="SimSun"/>
          <w:color w:val="000000"/>
          <w:lang w:val="en-US" w:eastAsia="zh-CN"/>
        </w:rPr>
      </w:pPr>
      <w:r w:rsidRPr="009D595E">
        <w:rPr>
          <w:rFonts w:asciiTheme="minorHAnsi" w:eastAsia="SimSun" w:hAnsiTheme="minorHAnsi"/>
          <w:color w:val="000000"/>
          <w:sz w:val="24"/>
          <w:szCs w:val="24"/>
          <w:u w:val="single"/>
          <w:lang w:val="en-US" w:eastAsia="zh-CN"/>
        </w:rPr>
        <w:t>Yusuke Hayakawa</w:t>
      </w:r>
      <w:r w:rsidRPr="009D595E">
        <w:rPr>
          <w:rFonts w:asciiTheme="minorHAnsi" w:eastAsia="SimSun" w:hAnsiTheme="minorHAnsi"/>
          <w:color w:val="000000"/>
          <w:sz w:val="24"/>
          <w:szCs w:val="24"/>
          <w:u w:val="single"/>
          <w:vertAlign w:val="superscript"/>
          <w:lang w:val="en-US" w:eastAsia="zh-CN"/>
        </w:rPr>
        <w:t>1</w:t>
      </w:r>
      <w:r w:rsidRPr="009D595E">
        <w:rPr>
          <w:rFonts w:asciiTheme="minorHAnsi" w:eastAsia="SimSun" w:hAnsiTheme="minorHAnsi"/>
          <w:color w:val="000000"/>
          <w:sz w:val="24"/>
          <w:szCs w:val="24"/>
          <w:lang w:val="en-US" w:eastAsia="zh-CN"/>
        </w:rPr>
        <w:t>, Ryoichi Nakayama</w:t>
      </w:r>
      <w:r w:rsidRPr="009D595E">
        <w:rPr>
          <w:rFonts w:asciiTheme="minorHAnsi" w:eastAsia="SimSun" w:hAnsiTheme="minorHAnsi"/>
          <w:color w:val="000000"/>
          <w:sz w:val="24"/>
          <w:szCs w:val="24"/>
          <w:vertAlign w:val="superscript"/>
          <w:lang w:val="en-US" w:eastAsia="zh-CN"/>
        </w:rPr>
        <w:t>2*</w:t>
      </w:r>
      <w:r w:rsidRPr="009D595E">
        <w:rPr>
          <w:rFonts w:asciiTheme="minorHAnsi" w:eastAsia="SimSun" w:hAnsiTheme="minorHAnsi"/>
          <w:color w:val="000000"/>
          <w:sz w:val="24"/>
          <w:szCs w:val="24"/>
          <w:lang w:val="en-US" w:eastAsia="zh-CN"/>
        </w:rPr>
        <w:t>, Norikazu Namiki</w:t>
      </w:r>
      <w:r w:rsidRPr="009D595E">
        <w:rPr>
          <w:rFonts w:asciiTheme="minorHAnsi" w:eastAsia="SimSun" w:hAnsiTheme="minorHAnsi"/>
          <w:color w:val="000000"/>
          <w:sz w:val="24"/>
          <w:szCs w:val="24"/>
          <w:vertAlign w:val="superscript"/>
          <w:lang w:val="en-US" w:eastAsia="zh-CN"/>
        </w:rPr>
        <w:t>2</w:t>
      </w:r>
      <w:r w:rsidRPr="009D595E">
        <w:rPr>
          <w:rFonts w:asciiTheme="minorHAnsi" w:eastAsia="SimSun" w:hAnsiTheme="minorHAnsi"/>
          <w:color w:val="000000"/>
          <w:sz w:val="24"/>
          <w:szCs w:val="24"/>
          <w:lang w:val="en-US" w:eastAsia="zh-CN"/>
        </w:rPr>
        <w:t>, Masanao Imai</w:t>
      </w:r>
      <w:r w:rsidRPr="009D595E">
        <w:rPr>
          <w:rFonts w:asciiTheme="majorHAnsi" w:eastAsia="SimSun" w:hAnsiTheme="majorHAnsi"/>
          <w:color w:val="000000"/>
          <w:sz w:val="24"/>
          <w:vertAlign w:val="superscript"/>
          <w:lang w:val="en-US" w:eastAsia="zh-CN"/>
        </w:rPr>
        <w:t>1</w:t>
      </w:r>
      <w:r w:rsidRPr="009D595E">
        <w:rPr>
          <w:rFonts w:eastAsia="SimSun"/>
          <w:color w:val="000000"/>
          <w:lang w:val="en-US" w:eastAsia="zh-CN"/>
        </w:rPr>
        <w:t xml:space="preserve"> </w:t>
      </w:r>
    </w:p>
    <w:p w:rsidR="009D595E" w:rsidRPr="009D595E" w:rsidRDefault="009D595E" w:rsidP="009D595E">
      <w:pPr>
        <w:snapToGrid w:val="0"/>
        <w:spacing w:after="120"/>
        <w:jc w:val="center"/>
        <w:rPr>
          <w:rFonts w:asciiTheme="minorHAnsi" w:eastAsia="ＭＳ Ｐゴシック" w:hAnsiTheme="minorHAnsi"/>
          <w:i/>
          <w:iCs/>
          <w:color w:val="000000"/>
          <w:sz w:val="20"/>
          <w:lang w:val="hr-HR"/>
        </w:rPr>
      </w:pPr>
      <w:r w:rsidRPr="009D595E">
        <w:rPr>
          <w:rFonts w:asciiTheme="minorHAnsi" w:eastAsia="ＭＳ Ｐゴシック" w:hAnsiTheme="minorHAnsi"/>
          <w:i/>
          <w:iCs/>
          <w:color w:val="000000"/>
          <w:sz w:val="20"/>
          <w:lang w:val="en-US"/>
        </w:rPr>
        <w:t xml:space="preserve">1 </w:t>
      </w:r>
      <w:r w:rsidRPr="009D595E">
        <w:rPr>
          <w:rFonts w:asciiTheme="minorHAnsi" w:eastAsia="ＭＳ Ｐゴシック" w:hAnsiTheme="minorHAnsi"/>
          <w:i/>
          <w:iCs/>
          <w:color w:val="000000"/>
          <w:sz w:val="20"/>
          <w:lang w:val="hr-HR"/>
        </w:rPr>
        <w:t xml:space="preserve">Course in Bioresource Utilization Sciences, Graduate School of Bioresource Sciences, Nihon University, </w:t>
      </w:r>
      <w:r w:rsidR="00946F38">
        <w:rPr>
          <w:rFonts w:asciiTheme="minorHAnsi" w:eastAsia="ＭＳ Ｐゴシック" w:hAnsiTheme="minorHAnsi" w:hint="eastAsia"/>
          <w:i/>
          <w:iCs/>
          <w:color w:val="000000"/>
          <w:sz w:val="20"/>
          <w:lang w:val="hr-HR" w:eastAsia="ja-JP"/>
        </w:rPr>
        <w:t xml:space="preserve">　</w:t>
      </w:r>
      <w:bookmarkStart w:id="0" w:name="_GoBack"/>
      <w:bookmarkEnd w:id="0"/>
      <w:r w:rsidRPr="009D595E">
        <w:rPr>
          <w:rFonts w:asciiTheme="minorHAnsi" w:eastAsia="ＭＳ Ｐゴシック" w:hAnsiTheme="minorHAnsi"/>
          <w:i/>
          <w:iCs/>
          <w:color w:val="000000"/>
          <w:sz w:val="20"/>
          <w:lang w:val="hr-HR"/>
        </w:rPr>
        <w:t>1866 Kameino, Fujisawa, Kanagawa, 252-0880, JAPAN</w:t>
      </w:r>
    </w:p>
    <w:p w:rsidR="009D595E" w:rsidRPr="009D595E" w:rsidRDefault="009D595E" w:rsidP="009D595E">
      <w:pPr>
        <w:snapToGrid w:val="0"/>
        <w:spacing w:after="120"/>
        <w:jc w:val="center"/>
        <w:rPr>
          <w:rFonts w:asciiTheme="minorHAnsi" w:eastAsia="ＭＳ Ｐゴシック" w:hAnsiTheme="minorHAnsi"/>
          <w:i/>
          <w:iCs/>
          <w:color w:val="000000"/>
          <w:sz w:val="20"/>
          <w:lang w:val="hr-HR"/>
        </w:rPr>
      </w:pPr>
      <w:r w:rsidRPr="009D595E">
        <w:rPr>
          <w:rFonts w:asciiTheme="minorHAnsi" w:eastAsia="ＭＳ Ｐゴシック" w:hAnsiTheme="minorHAnsi" w:cstheme="minorHAnsi"/>
          <w:i/>
          <w:iCs/>
          <w:color w:val="000000"/>
          <w:sz w:val="20"/>
          <w:lang w:val="en-US"/>
        </w:rPr>
        <w:t xml:space="preserve">2 </w:t>
      </w:r>
      <w:r w:rsidRPr="009D595E">
        <w:rPr>
          <w:rFonts w:asciiTheme="minorHAnsi" w:eastAsia="ＭＳ Ｐゴシック" w:hAnsiTheme="minorHAnsi"/>
          <w:i/>
          <w:iCs/>
          <w:color w:val="000000"/>
          <w:sz w:val="20"/>
          <w:lang w:val="hr-HR"/>
        </w:rPr>
        <w:t>Department of Environmental Chemistry &amp; Chemical Engineering, School of Advanced Engineering, Kogakuin University, 2665-1 Nakano-machi, Hachioji, Tokyo, 192-0015, JAPAN</w:t>
      </w:r>
    </w:p>
    <w:p w:rsidR="009D595E" w:rsidRPr="009D595E" w:rsidRDefault="009D595E" w:rsidP="009D595E">
      <w:pPr>
        <w:snapToGrid w:val="0"/>
        <w:spacing w:after="120"/>
        <w:jc w:val="center"/>
        <w:rPr>
          <w:rFonts w:asciiTheme="minorHAnsi" w:eastAsia="ＭＳ Ｐゴシック" w:hAnsiTheme="minorHAnsi"/>
          <w:bCs/>
          <w:i/>
          <w:iCs/>
          <w:sz w:val="20"/>
          <w:lang w:val="en-US"/>
        </w:rPr>
      </w:pPr>
      <w:r w:rsidRPr="009D595E">
        <w:rPr>
          <w:rFonts w:asciiTheme="minorHAnsi" w:eastAsia="ＭＳ Ｐゴシック" w:hAnsiTheme="minorHAnsi"/>
          <w:i/>
          <w:iCs/>
          <w:color w:val="000000"/>
          <w:sz w:val="20"/>
          <w:lang w:val="en-US"/>
        </w:rPr>
        <w:t xml:space="preserve"> </w:t>
      </w:r>
      <w:r w:rsidRPr="009D595E">
        <w:rPr>
          <w:rFonts w:asciiTheme="minorHAnsi" w:eastAsia="ＭＳ Ｐゴシック" w:hAnsiTheme="minorHAnsi"/>
          <w:bCs/>
          <w:i/>
          <w:iCs/>
          <w:color w:val="000000"/>
          <w:sz w:val="20"/>
          <w:lang w:val="en-US"/>
        </w:rPr>
        <w:t>*Corresponding author</w:t>
      </w:r>
      <w:r w:rsidRPr="009D595E">
        <w:rPr>
          <w:rFonts w:asciiTheme="minorHAnsi" w:eastAsia="ＭＳ Ｐゴシック" w:hAnsiTheme="minorHAnsi"/>
          <w:bCs/>
          <w:i/>
          <w:iCs/>
          <w:sz w:val="20"/>
          <w:lang w:val="en-US" w:eastAsia="ko-KR"/>
        </w:rPr>
        <w:t>:</w:t>
      </w:r>
      <w:r w:rsidRPr="009D595E">
        <w:rPr>
          <w:rFonts w:asciiTheme="minorHAnsi" w:eastAsia="ＭＳ Ｐゴシック" w:hAnsiTheme="minorHAnsi"/>
          <w:bCs/>
          <w:i/>
          <w:iCs/>
          <w:sz w:val="20"/>
          <w:lang w:val="en-US"/>
        </w:rPr>
        <w:t xml:space="preserve"> bionakayama.ryo@cc.kogakuin.ac.jp</w:t>
      </w:r>
    </w:p>
    <w:p w:rsidR="009D595E" w:rsidRPr="009D595E" w:rsidRDefault="009D595E" w:rsidP="009D595E">
      <w:pPr>
        <w:tabs>
          <w:tab w:val="clear" w:pos="7100"/>
          <w:tab w:val="left" w:pos="3547"/>
          <w:tab w:val="center" w:pos="4694"/>
        </w:tabs>
        <w:spacing w:before="240" w:line="240" w:lineRule="atLeast"/>
        <w:ind w:firstLine="357"/>
        <w:rPr>
          <w:rFonts w:asciiTheme="minorHAnsi" w:hAnsiTheme="minorHAnsi"/>
          <w:b/>
          <w:i/>
          <w:sz w:val="20"/>
          <w:lang w:val="en-US"/>
        </w:rPr>
      </w:pPr>
      <w:r w:rsidRPr="009D595E">
        <w:rPr>
          <w:rFonts w:asciiTheme="minorHAnsi" w:hAnsiTheme="minorHAnsi"/>
          <w:b/>
          <w:i/>
          <w:sz w:val="20"/>
          <w:lang w:val="en-US"/>
        </w:rPr>
        <w:t>Highlights</w:t>
      </w:r>
    </w:p>
    <w:p w:rsidR="009D595E" w:rsidRPr="009D595E" w:rsidRDefault="009D595E" w:rsidP="009D595E">
      <w:pPr>
        <w:numPr>
          <w:ilvl w:val="0"/>
          <w:numId w:val="16"/>
        </w:numPr>
        <w:tabs>
          <w:tab w:val="clear" w:pos="7100"/>
        </w:tabs>
        <w:spacing w:line="240" w:lineRule="atLeast"/>
        <w:ind w:right="720"/>
        <w:rPr>
          <w:rFonts w:asciiTheme="minorHAnsi" w:hAnsiTheme="minorHAnsi"/>
          <w:sz w:val="20"/>
          <w:lang w:val="en-US"/>
        </w:rPr>
      </w:pPr>
      <w:r w:rsidRPr="009D595E">
        <w:rPr>
          <w:rFonts w:asciiTheme="minorHAnsi" w:hAnsiTheme="minorHAnsi"/>
          <w:sz w:val="20"/>
          <w:lang w:val="en-US"/>
        </w:rPr>
        <w:t>Immobilized phospholipase A</w:t>
      </w:r>
      <w:r w:rsidRPr="009D595E">
        <w:rPr>
          <w:rFonts w:asciiTheme="minorHAnsi" w:hAnsiTheme="minorHAnsi"/>
          <w:sz w:val="20"/>
          <w:vertAlign w:val="subscript"/>
          <w:lang w:val="en-US"/>
        </w:rPr>
        <w:t xml:space="preserve">1 </w:t>
      </w:r>
      <w:r w:rsidRPr="009D595E">
        <w:rPr>
          <w:rFonts w:asciiTheme="minorHAnsi" w:hAnsiTheme="minorHAnsi"/>
          <w:sz w:val="20"/>
          <w:lang w:val="en-US"/>
        </w:rPr>
        <w:t>was successfully prepared.</w:t>
      </w:r>
    </w:p>
    <w:p w:rsidR="009D595E" w:rsidRPr="009D595E" w:rsidRDefault="009D595E" w:rsidP="009D595E">
      <w:pPr>
        <w:numPr>
          <w:ilvl w:val="0"/>
          <w:numId w:val="16"/>
        </w:numPr>
        <w:tabs>
          <w:tab w:val="clear" w:pos="7100"/>
        </w:tabs>
        <w:spacing w:line="240" w:lineRule="atLeast"/>
        <w:ind w:right="720"/>
        <w:rPr>
          <w:rFonts w:asciiTheme="minorHAnsi" w:hAnsiTheme="minorHAnsi"/>
          <w:sz w:val="20"/>
          <w:lang w:val="en-US"/>
        </w:rPr>
      </w:pPr>
      <w:r w:rsidRPr="009D595E">
        <w:rPr>
          <w:rFonts w:asciiTheme="minorHAnsi" w:hAnsiTheme="minorHAnsi"/>
          <w:sz w:val="20"/>
          <w:lang w:val="en-US"/>
        </w:rPr>
        <w:t xml:space="preserve">Reaction rate increased by glutaraldehyde treatment. </w:t>
      </w:r>
    </w:p>
    <w:p w:rsidR="009D595E" w:rsidRPr="009D595E" w:rsidRDefault="009D595E" w:rsidP="009D595E">
      <w:pPr>
        <w:numPr>
          <w:ilvl w:val="0"/>
          <w:numId w:val="16"/>
        </w:numPr>
        <w:tabs>
          <w:tab w:val="clear" w:pos="7100"/>
        </w:tabs>
        <w:spacing w:line="240" w:lineRule="atLeast"/>
        <w:ind w:right="720"/>
        <w:rPr>
          <w:rFonts w:asciiTheme="minorHAnsi" w:hAnsiTheme="minorHAnsi"/>
          <w:sz w:val="20"/>
          <w:lang w:val="en-US"/>
        </w:rPr>
      </w:pPr>
      <w:r w:rsidRPr="009D595E">
        <w:rPr>
          <w:rFonts w:asciiTheme="minorHAnsi" w:hAnsiTheme="minorHAnsi"/>
          <w:sz w:val="20"/>
          <w:lang w:val="en-US"/>
        </w:rPr>
        <w:t>Repeated use of immobilized phospholipase A</w:t>
      </w:r>
      <w:r w:rsidRPr="009D595E">
        <w:rPr>
          <w:rFonts w:asciiTheme="minorHAnsi" w:hAnsiTheme="minorHAnsi"/>
          <w:sz w:val="20"/>
          <w:vertAlign w:val="subscript"/>
          <w:lang w:val="en-US"/>
        </w:rPr>
        <w:t>1</w:t>
      </w:r>
      <w:r w:rsidRPr="009D595E">
        <w:rPr>
          <w:rFonts w:asciiTheme="minorHAnsi" w:hAnsiTheme="minorHAnsi"/>
          <w:sz w:val="20"/>
          <w:lang w:val="en-US"/>
        </w:rPr>
        <w:t xml:space="preserve"> was successfully appeared. </w:t>
      </w:r>
    </w:p>
    <w:p w:rsidR="009D595E" w:rsidRPr="009D595E" w:rsidRDefault="009D595E" w:rsidP="009D595E">
      <w:pPr>
        <w:snapToGrid w:val="0"/>
        <w:spacing w:after="120"/>
        <w:jc w:val="center"/>
        <w:rPr>
          <w:rFonts w:eastAsia="SimSun"/>
          <w:bCs/>
          <w:i/>
          <w:iCs/>
          <w:color w:val="0000FF"/>
          <w:sz w:val="20"/>
          <w:lang w:val="en-US" w:eastAsia="zh-CN"/>
        </w:rPr>
      </w:pPr>
    </w:p>
    <w:p w:rsidR="009D595E" w:rsidRPr="009D595E" w:rsidRDefault="009D595E" w:rsidP="009D595E">
      <w:pPr>
        <w:snapToGrid w:val="0"/>
        <w:spacing w:line="300" w:lineRule="auto"/>
        <w:rPr>
          <w:rFonts w:asciiTheme="minorHAnsi" w:eastAsia="ＭＳ Ｐゴシック" w:hAnsiTheme="minorHAnsi"/>
          <w:b/>
          <w:bCs/>
          <w:color w:val="000000"/>
          <w:sz w:val="22"/>
          <w:szCs w:val="22"/>
          <w:lang w:val="en-US" w:eastAsia="ko-KR"/>
        </w:rPr>
      </w:pPr>
      <w:r w:rsidRPr="009D595E">
        <w:rPr>
          <w:rFonts w:asciiTheme="minorHAnsi" w:eastAsia="ＭＳ Ｐゴシック" w:hAnsiTheme="minorHAnsi"/>
          <w:b/>
          <w:bCs/>
          <w:color w:val="000000"/>
          <w:sz w:val="22"/>
          <w:szCs w:val="22"/>
          <w:lang w:val="en-US"/>
        </w:rPr>
        <w:t>1. Introduction</w:t>
      </w:r>
    </w:p>
    <w:p w:rsidR="009D595E" w:rsidRPr="009D595E" w:rsidRDefault="009D595E" w:rsidP="009D595E">
      <w:pPr>
        <w:snapToGrid w:val="0"/>
        <w:spacing w:after="120"/>
        <w:ind w:firstLineChars="100" w:firstLine="220"/>
        <w:rPr>
          <w:rFonts w:asciiTheme="minorHAnsi" w:eastAsia="ＭＳ Ｐゴシック" w:hAnsiTheme="minorHAnsi"/>
          <w:color w:val="000000"/>
          <w:sz w:val="22"/>
          <w:szCs w:val="22"/>
          <w:lang w:val="en-US"/>
        </w:rPr>
      </w:pPr>
      <w:r w:rsidRPr="009D595E">
        <w:rPr>
          <w:rFonts w:asciiTheme="minorHAnsi" w:eastAsia="ＭＳ Ｐゴシック" w:hAnsiTheme="minorHAnsi"/>
          <w:sz w:val="22"/>
          <w:szCs w:val="22"/>
          <w:lang w:val="en-US"/>
        </w:rPr>
        <w:t xml:space="preserve">Immobilized enzyme has been expected </w:t>
      </w:r>
      <w:r w:rsidRPr="009D595E">
        <w:rPr>
          <w:rFonts w:asciiTheme="minorHAnsi" w:eastAsia="ＭＳ Ｐゴシック" w:hAnsiTheme="minorHAnsi" w:hint="eastAsia"/>
          <w:sz w:val="22"/>
          <w:szCs w:val="22"/>
          <w:lang w:val="en-US" w:eastAsia="ja-JP"/>
        </w:rPr>
        <w:t>to</w:t>
      </w:r>
      <w:r w:rsidRPr="009D595E">
        <w:rPr>
          <w:rFonts w:asciiTheme="minorHAnsi" w:eastAsia="ＭＳ Ｐゴシック" w:hAnsiTheme="minorHAnsi"/>
          <w:sz w:val="22"/>
          <w:szCs w:val="22"/>
          <w:lang w:val="en-US" w:eastAsia="ja-JP"/>
        </w:rPr>
        <w:t xml:space="preserve"> </w:t>
      </w:r>
      <w:r w:rsidRPr="009D595E">
        <w:rPr>
          <w:rFonts w:asciiTheme="minorHAnsi" w:eastAsia="ＭＳ Ｐゴシック" w:hAnsiTheme="minorHAnsi"/>
          <w:sz w:val="22"/>
          <w:szCs w:val="22"/>
          <w:lang w:val="en-US"/>
        </w:rPr>
        <w:t>industrial applications. Immobilized enzyme effectively enables to separate the enzyme from products, thus facilitating its recovery and repeated use. A</w:t>
      </w:r>
      <w:r w:rsidRPr="009D595E">
        <w:rPr>
          <w:rFonts w:asciiTheme="minorHAnsi" w:eastAsia="ＭＳ Ｐゴシック" w:hAnsiTheme="minorHAnsi"/>
          <w:sz w:val="22"/>
          <w:szCs w:val="22"/>
          <w:lang w:val="en-US" w:eastAsia="ja-JP"/>
        </w:rPr>
        <w:t xml:space="preserve"> hydrophobic material is most favorable to easy diffusion of substrate in inner pore of carrier in order to quick initiation of hydrophobic enzymatic reaction. Recently, h</w:t>
      </w:r>
      <w:r w:rsidRPr="009D595E">
        <w:rPr>
          <w:rFonts w:asciiTheme="minorHAnsi" w:eastAsia="ＭＳ Ｐゴシック" w:hAnsiTheme="minorHAnsi"/>
          <w:sz w:val="22"/>
          <w:szCs w:val="22"/>
          <w:lang w:val="en-US"/>
        </w:rPr>
        <w:t xml:space="preserve">ydrophobic materials, primarily a polypropylene porous commercial carrier called Accurel, has been proposed for lipid [1]. </w:t>
      </w:r>
      <w:r w:rsidRPr="009D595E">
        <w:rPr>
          <w:rFonts w:asciiTheme="minorHAnsi" w:eastAsia="ＭＳ Ｐゴシック" w:hAnsiTheme="minorHAnsi"/>
          <w:color w:val="000000"/>
          <w:sz w:val="22"/>
          <w:szCs w:val="22"/>
          <w:lang w:val="en-US"/>
        </w:rPr>
        <w:t>In this study, we focused on hydrophobic porous carrier on reactivity of immobilized phospholipase A</w:t>
      </w:r>
      <w:r w:rsidRPr="009D595E">
        <w:rPr>
          <w:rFonts w:asciiTheme="minorHAnsi" w:eastAsia="ＭＳ Ｐゴシック" w:hAnsiTheme="minorHAnsi"/>
          <w:color w:val="000000"/>
          <w:sz w:val="22"/>
          <w:szCs w:val="22"/>
          <w:vertAlign w:val="subscript"/>
          <w:lang w:val="en-US"/>
        </w:rPr>
        <w:t>1</w:t>
      </w:r>
      <w:r w:rsidRPr="009D595E">
        <w:rPr>
          <w:rFonts w:asciiTheme="minorHAnsi" w:eastAsia="ＭＳ Ｐゴシック" w:hAnsiTheme="minorHAnsi"/>
          <w:color w:val="000000"/>
          <w:sz w:val="22"/>
          <w:szCs w:val="22"/>
          <w:lang w:val="en-US"/>
        </w:rPr>
        <w:t xml:space="preserve"> progressing toward higher reaction rate and high yield in repeated use. </w:t>
      </w:r>
    </w:p>
    <w:p w:rsidR="009D595E" w:rsidRPr="009D595E" w:rsidRDefault="009D595E" w:rsidP="009D595E">
      <w:pPr>
        <w:snapToGrid w:val="0"/>
        <w:spacing w:after="120"/>
        <w:rPr>
          <w:rFonts w:asciiTheme="minorHAnsi" w:eastAsia="ＭＳ Ｐゴシック" w:hAnsiTheme="minorHAnsi"/>
          <w:b/>
          <w:bCs/>
          <w:color w:val="000000"/>
          <w:sz w:val="22"/>
          <w:szCs w:val="22"/>
          <w:lang w:val="en-US"/>
        </w:rPr>
      </w:pPr>
    </w:p>
    <w:p w:rsidR="009D595E" w:rsidRPr="009D595E" w:rsidRDefault="009D595E" w:rsidP="009D595E">
      <w:pPr>
        <w:snapToGrid w:val="0"/>
        <w:spacing w:after="120"/>
        <w:rPr>
          <w:rFonts w:asciiTheme="minorHAnsi" w:eastAsia="ＭＳ Ｐゴシック" w:hAnsiTheme="minorHAnsi"/>
          <w:color w:val="000000"/>
          <w:sz w:val="22"/>
          <w:szCs w:val="22"/>
          <w:lang w:val="en-US"/>
        </w:rPr>
      </w:pPr>
      <w:r w:rsidRPr="009D595E">
        <w:rPr>
          <w:rFonts w:asciiTheme="minorHAnsi" w:eastAsia="ＭＳ Ｐゴシック" w:hAnsiTheme="minorHAnsi"/>
          <w:b/>
          <w:bCs/>
          <w:color w:val="000000"/>
          <w:sz w:val="22"/>
          <w:szCs w:val="22"/>
          <w:lang w:val="en-US"/>
        </w:rPr>
        <w:t>2. Methods</w:t>
      </w:r>
    </w:p>
    <w:p w:rsidR="009D595E" w:rsidRPr="009D595E" w:rsidRDefault="009D595E" w:rsidP="009D595E">
      <w:pPr>
        <w:snapToGrid w:val="0"/>
        <w:spacing w:after="120"/>
        <w:rPr>
          <w:rFonts w:asciiTheme="minorHAnsi" w:eastAsia="ＭＳ Ｐゴシック" w:hAnsiTheme="minorHAnsi"/>
          <w:b/>
          <w:color w:val="000000"/>
          <w:sz w:val="22"/>
          <w:szCs w:val="22"/>
          <w:lang w:val="en-US"/>
        </w:rPr>
      </w:pPr>
      <w:r w:rsidRPr="009D595E">
        <w:rPr>
          <w:rFonts w:asciiTheme="minorHAnsi" w:eastAsia="ＭＳ Ｐゴシック" w:hAnsiTheme="minorHAnsi"/>
          <w:b/>
          <w:color w:val="000000"/>
          <w:sz w:val="22"/>
          <w:szCs w:val="22"/>
          <w:lang w:val="en-US"/>
        </w:rPr>
        <w:t>2.1 Phospholipase A</w:t>
      </w:r>
      <w:r w:rsidRPr="009D595E">
        <w:rPr>
          <w:rFonts w:asciiTheme="minorHAnsi" w:eastAsia="ＭＳ Ｐゴシック" w:hAnsiTheme="minorHAnsi"/>
          <w:b/>
          <w:color w:val="000000"/>
          <w:sz w:val="22"/>
          <w:szCs w:val="22"/>
          <w:vertAlign w:val="subscript"/>
          <w:lang w:val="en-US"/>
        </w:rPr>
        <w:t>1</w:t>
      </w:r>
      <w:r w:rsidRPr="009D595E">
        <w:rPr>
          <w:rFonts w:asciiTheme="minorHAnsi" w:eastAsia="ＭＳ Ｐゴシック" w:hAnsiTheme="minorHAnsi"/>
          <w:b/>
          <w:color w:val="000000"/>
          <w:sz w:val="22"/>
          <w:szCs w:val="22"/>
          <w:lang w:val="en-US"/>
        </w:rPr>
        <w:t xml:space="preserve"> immobilization method</w:t>
      </w:r>
    </w:p>
    <w:p w:rsidR="009D595E" w:rsidRPr="009D595E" w:rsidRDefault="009D595E" w:rsidP="009D595E">
      <w:pPr>
        <w:snapToGrid w:val="0"/>
        <w:spacing w:after="120"/>
        <w:ind w:firstLineChars="100" w:firstLine="220"/>
        <w:rPr>
          <w:rFonts w:asciiTheme="minorHAnsi" w:eastAsia="ＭＳ Ｐゴシック" w:hAnsiTheme="minorHAnsi"/>
          <w:color w:val="000000"/>
          <w:sz w:val="22"/>
          <w:szCs w:val="22"/>
          <w:lang w:val="en-US"/>
        </w:rPr>
      </w:pPr>
      <w:r w:rsidRPr="009D595E">
        <w:rPr>
          <w:rFonts w:asciiTheme="minorHAnsi" w:eastAsia="ＭＳ Ｐゴシック" w:hAnsiTheme="minorHAnsi"/>
          <w:color w:val="000000"/>
          <w:sz w:val="22"/>
          <w:szCs w:val="22"/>
          <w:lang w:val="en-US"/>
        </w:rPr>
        <w:t>Accurel MP 100 (</w:t>
      </w:r>
      <w:proofErr w:type="spellStart"/>
      <w:r w:rsidRPr="009D595E">
        <w:rPr>
          <w:rFonts w:asciiTheme="minorHAnsi" w:eastAsia="ＭＳ Ｐゴシック" w:hAnsiTheme="minorHAnsi"/>
          <w:color w:val="000000"/>
          <w:sz w:val="22"/>
          <w:szCs w:val="22"/>
          <w:lang w:val="en-US"/>
        </w:rPr>
        <w:t>Membrana</w:t>
      </w:r>
      <w:proofErr w:type="spellEnd"/>
      <w:r w:rsidRPr="009D595E">
        <w:rPr>
          <w:rFonts w:asciiTheme="minorHAnsi" w:eastAsia="ＭＳ Ｐゴシック" w:hAnsiTheme="minorHAnsi"/>
          <w:color w:val="000000"/>
          <w:sz w:val="22"/>
          <w:szCs w:val="22"/>
          <w:lang w:val="en-US"/>
        </w:rPr>
        <w:t xml:space="preserve"> GmbH, Germany) (Figure 1 and 2) was immersed in ethanol (99.5 v/</w:t>
      </w:r>
      <w:proofErr w:type="gramStart"/>
      <w:r w:rsidRPr="009D595E">
        <w:rPr>
          <w:rFonts w:asciiTheme="minorHAnsi" w:eastAsia="ＭＳ Ｐゴシック" w:hAnsiTheme="minorHAnsi"/>
          <w:color w:val="000000"/>
          <w:sz w:val="22"/>
          <w:szCs w:val="22"/>
          <w:lang w:val="en-US"/>
        </w:rPr>
        <w:t>v%</w:t>
      </w:r>
      <w:proofErr w:type="gramEnd"/>
      <w:r w:rsidRPr="009D595E">
        <w:rPr>
          <w:rFonts w:asciiTheme="minorHAnsi" w:eastAsia="ＭＳ Ｐゴシック" w:hAnsiTheme="minorHAnsi"/>
          <w:color w:val="000000"/>
          <w:sz w:val="22"/>
          <w:szCs w:val="22"/>
          <w:lang w:val="en-US"/>
        </w:rPr>
        <w:t xml:space="preserve">) for 60min. And then, the Accurel carrier was placed into the PLA1 solution and then shaken to </w:t>
      </w:r>
      <w:proofErr w:type="gramStart"/>
      <w:r w:rsidRPr="009D595E">
        <w:rPr>
          <w:rFonts w:asciiTheme="minorHAnsi" w:eastAsia="ＭＳ Ｐゴシック" w:hAnsiTheme="minorHAnsi"/>
          <w:color w:val="000000"/>
          <w:sz w:val="22"/>
          <w:szCs w:val="22"/>
          <w:lang w:val="en-US"/>
        </w:rPr>
        <w:t>adsorbed</w:t>
      </w:r>
      <w:proofErr w:type="gramEnd"/>
      <w:r w:rsidRPr="009D595E">
        <w:rPr>
          <w:rFonts w:asciiTheme="minorHAnsi" w:eastAsia="ＭＳ Ｐゴシック" w:hAnsiTheme="minorHAnsi"/>
          <w:color w:val="000000"/>
          <w:sz w:val="22"/>
          <w:szCs w:val="22"/>
          <w:lang w:val="en-US"/>
        </w:rPr>
        <w:t xml:space="preserve"> PLA1 for 24h at 298K. </w:t>
      </w:r>
    </w:p>
    <w:p w:rsidR="009D595E" w:rsidRPr="009D595E" w:rsidRDefault="009D595E" w:rsidP="009D595E">
      <w:pPr>
        <w:snapToGrid w:val="0"/>
        <w:spacing w:after="120"/>
        <w:ind w:firstLineChars="100" w:firstLine="220"/>
        <w:rPr>
          <w:rFonts w:asciiTheme="minorHAnsi" w:eastAsia="ＭＳ Ｐゴシック" w:hAnsiTheme="minorHAnsi"/>
          <w:color w:val="000000"/>
          <w:sz w:val="22"/>
          <w:szCs w:val="22"/>
          <w:lang w:val="en-US"/>
        </w:rPr>
      </w:pPr>
      <w:r w:rsidRPr="009D595E">
        <w:rPr>
          <w:rFonts w:asciiTheme="minorHAnsi" w:eastAsia="ＭＳ Ｐゴシック" w:hAnsiTheme="minorHAnsi"/>
          <w:color w:val="000000"/>
          <w:sz w:val="22"/>
          <w:szCs w:val="22"/>
          <w:lang w:val="en-US"/>
        </w:rPr>
        <w:t>Next, the dried Accurel carrier with the adsorbed PLA1 was shaken in Glutaraldehyde (GA) solution (1.5~6 v/</w:t>
      </w:r>
      <w:proofErr w:type="gramStart"/>
      <w:r w:rsidRPr="009D595E">
        <w:rPr>
          <w:rFonts w:asciiTheme="minorHAnsi" w:eastAsia="ＭＳ Ｐゴシック" w:hAnsiTheme="minorHAnsi"/>
          <w:color w:val="000000"/>
          <w:sz w:val="22"/>
          <w:szCs w:val="22"/>
          <w:lang w:val="en-US"/>
        </w:rPr>
        <w:t>v%</w:t>
      </w:r>
      <w:proofErr w:type="gramEnd"/>
      <w:r w:rsidRPr="009D595E">
        <w:rPr>
          <w:rFonts w:asciiTheme="minorHAnsi" w:eastAsia="ＭＳ Ｐゴシック" w:hAnsiTheme="minorHAnsi"/>
          <w:color w:val="000000"/>
          <w:sz w:val="22"/>
          <w:szCs w:val="22"/>
          <w:lang w:val="en-US"/>
        </w:rPr>
        <w:t>) for 60 min at 298 K. The desorbed amount of PLA1 in the GA solution was the measured. The immobilized PLA1 carrier was briefly washed in distilled water.</w:t>
      </w:r>
    </w:p>
    <w:p w:rsidR="009D595E" w:rsidRPr="009D595E" w:rsidRDefault="009D595E" w:rsidP="009D595E">
      <w:pPr>
        <w:snapToGrid w:val="0"/>
        <w:spacing w:after="120"/>
        <w:ind w:firstLineChars="500" w:firstLine="1100"/>
        <w:jc w:val="left"/>
        <w:rPr>
          <w:rFonts w:asciiTheme="minorHAnsi" w:eastAsia="ＭＳ Ｐゴシック" w:hAnsiTheme="minorHAnsi"/>
          <w:color w:val="000000"/>
          <w:sz w:val="22"/>
          <w:szCs w:val="22"/>
          <w:lang w:val="en-US" w:eastAsia="ja-JP"/>
        </w:rPr>
      </w:pPr>
      <w:r w:rsidRPr="009D595E">
        <w:rPr>
          <w:rFonts w:asciiTheme="minorHAnsi" w:eastAsia="ＭＳ Ｐゴシック" w:hAnsiTheme="minorHAnsi"/>
          <w:noProof/>
          <w:color w:val="000000"/>
          <w:sz w:val="22"/>
          <w:szCs w:val="22"/>
          <w:lang w:val="en-US" w:eastAsia="ja-JP"/>
        </w:rPr>
        <w:drawing>
          <wp:anchor distT="0" distB="0" distL="114300" distR="114300" simplePos="0" relativeHeight="251659264" behindDoc="0" locked="0" layoutInCell="1" allowOverlap="1" wp14:anchorId="0176929E" wp14:editId="3CE36DB9">
            <wp:simplePos x="0" y="0"/>
            <wp:positionH relativeFrom="column">
              <wp:posOffset>3760902</wp:posOffset>
            </wp:positionH>
            <wp:positionV relativeFrom="paragraph">
              <wp:posOffset>-1270</wp:posOffset>
            </wp:positionV>
            <wp:extent cx="831215" cy="908685"/>
            <wp:effectExtent l="0" t="0" r="6985" b="571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1215" cy="908685"/>
                    </a:xfrm>
                    <a:prstGeom prst="rect">
                      <a:avLst/>
                    </a:prstGeom>
                    <a:noFill/>
                    <a:ln>
                      <a:noFill/>
                    </a:ln>
                  </pic:spPr>
                </pic:pic>
              </a:graphicData>
            </a:graphic>
            <wp14:sizeRelV relativeFrom="margin">
              <wp14:pctHeight>0</wp14:pctHeight>
            </wp14:sizeRelV>
          </wp:anchor>
        </w:drawing>
      </w:r>
      <w:r w:rsidRPr="009D595E">
        <w:rPr>
          <w:rFonts w:asciiTheme="minorHAnsi" w:eastAsia="ＭＳ Ｐゴシック" w:hAnsiTheme="minorHAnsi"/>
          <w:noProof/>
          <w:color w:val="000000"/>
          <w:sz w:val="22"/>
          <w:szCs w:val="22"/>
          <w:lang w:val="en-US" w:eastAsia="ja-JP"/>
        </w:rPr>
        <w:drawing>
          <wp:inline distT="0" distB="0" distL="0" distR="0" wp14:anchorId="7BF52021" wp14:editId="05DE9A10">
            <wp:extent cx="1385570" cy="90868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1811" cy="919336"/>
                    </a:xfrm>
                    <a:prstGeom prst="rect">
                      <a:avLst/>
                    </a:prstGeom>
                    <a:noFill/>
                    <a:ln>
                      <a:noFill/>
                    </a:ln>
                  </pic:spPr>
                </pic:pic>
              </a:graphicData>
            </a:graphic>
          </wp:inline>
        </w:drawing>
      </w:r>
      <w:r w:rsidRPr="009D595E">
        <w:rPr>
          <w:rFonts w:asciiTheme="minorHAnsi" w:eastAsia="ＭＳ Ｐゴシック" w:hAnsiTheme="minorHAnsi" w:hint="eastAsia"/>
          <w:color w:val="000000"/>
          <w:sz w:val="22"/>
          <w:szCs w:val="22"/>
          <w:lang w:val="en-US" w:eastAsia="ja-JP"/>
        </w:rPr>
        <w:t xml:space="preserve"> </w:t>
      </w:r>
    </w:p>
    <w:p w:rsidR="009D595E" w:rsidRPr="009D595E" w:rsidRDefault="009D595E" w:rsidP="009D595E">
      <w:pPr>
        <w:snapToGrid w:val="0"/>
        <w:spacing w:after="120"/>
        <w:ind w:firstLineChars="250" w:firstLine="452"/>
        <w:jc w:val="left"/>
        <w:rPr>
          <w:rFonts w:asciiTheme="minorHAnsi" w:eastAsia="ＭＳ Ｐゴシック" w:hAnsiTheme="minorHAnsi"/>
          <w:color w:val="000000"/>
          <w:szCs w:val="22"/>
          <w:lang w:val="en-US" w:eastAsia="ja-JP"/>
        </w:rPr>
      </w:pPr>
      <w:r w:rsidRPr="009D595E">
        <w:rPr>
          <w:rFonts w:asciiTheme="minorHAnsi" w:eastAsia="ＭＳ Ｐゴシック" w:hAnsiTheme="minorHAnsi" w:hint="eastAsia"/>
          <w:b/>
          <w:color w:val="000000"/>
          <w:szCs w:val="22"/>
          <w:lang w:val="en-US" w:eastAsia="ja-JP"/>
        </w:rPr>
        <w:t>Figure 1</w:t>
      </w:r>
      <w:r w:rsidRPr="009D595E">
        <w:rPr>
          <w:rFonts w:asciiTheme="minorHAnsi" w:eastAsia="ＭＳ Ｐゴシック" w:hAnsiTheme="minorHAnsi"/>
          <w:b/>
          <w:color w:val="000000"/>
          <w:szCs w:val="22"/>
          <w:lang w:val="en-US" w:eastAsia="ja-JP"/>
        </w:rPr>
        <w:t>.</w:t>
      </w:r>
      <w:r w:rsidRPr="009D595E">
        <w:rPr>
          <w:rFonts w:asciiTheme="minorHAnsi" w:eastAsia="ＭＳ Ｐゴシック" w:hAnsiTheme="minorHAnsi"/>
          <w:color w:val="000000"/>
          <w:szCs w:val="22"/>
          <w:lang w:val="en-US" w:eastAsia="ja-JP"/>
        </w:rPr>
        <w:t xml:space="preserve">  Schematic illustration of Accurel MP100.                           </w:t>
      </w:r>
      <w:r w:rsidRPr="009D595E">
        <w:rPr>
          <w:rFonts w:asciiTheme="minorHAnsi" w:eastAsia="ＭＳ Ｐゴシック" w:hAnsiTheme="minorHAnsi"/>
          <w:b/>
          <w:color w:val="000000"/>
          <w:szCs w:val="22"/>
          <w:lang w:val="en-US" w:eastAsia="ja-JP"/>
        </w:rPr>
        <w:t>Figure 2.</w:t>
      </w:r>
      <w:r w:rsidRPr="009D595E">
        <w:rPr>
          <w:rFonts w:asciiTheme="minorHAnsi" w:eastAsia="ＭＳ Ｐゴシック" w:hAnsiTheme="minorHAnsi"/>
          <w:color w:val="000000"/>
          <w:szCs w:val="22"/>
          <w:lang w:val="en-US" w:eastAsia="ja-JP"/>
        </w:rPr>
        <w:t xml:space="preserve"> SEM image of Accurel surface.</w:t>
      </w:r>
    </w:p>
    <w:p w:rsidR="009D595E" w:rsidRPr="009D595E" w:rsidRDefault="009D595E" w:rsidP="009D595E">
      <w:pPr>
        <w:snapToGrid w:val="0"/>
        <w:spacing w:after="120"/>
        <w:rPr>
          <w:rFonts w:asciiTheme="minorHAnsi" w:eastAsia="ＭＳ Ｐゴシック" w:hAnsiTheme="minorHAnsi"/>
          <w:b/>
          <w:color w:val="000000"/>
          <w:sz w:val="22"/>
          <w:szCs w:val="22"/>
          <w:lang w:val="en-US"/>
        </w:rPr>
      </w:pPr>
      <w:r w:rsidRPr="009D595E">
        <w:rPr>
          <w:rFonts w:asciiTheme="minorHAnsi" w:eastAsia="ＭＳ Ｐゴシック" w:hAnsiTheme="minorHAnsi" w:hint="eastAsia"/>
          <w:b/>
          <w:color w:val="000000"/>
          <w:sz w:val="22"/>
          <w:szCs w:val="22"/>
          <w:lang w:val="en-US" w:eastAsia="ja-JP"/>
        </w:rPr>
        <w:lastRenderedPageBreak/>
        <w:t xml:space="preserve">2.2 Hydrolysis of </w:t>
      </w:r>
      <w:r w:rsidRPr="009D595E">
        <w:rPr>
          <w:rFonts w:asciiTheme="minorHAnsi" w:eastAsia="ＭＳ Ｐゴシック" w:hAnsiTheme="minorHAnsi"/>
          <w:b/>
          <w:color w:val="000000"/>
          <w:sz w:val="22"/>
          <w:szCs w:val="22"/>
          <w:lang w:val="en-US" w:eastAsia="ja-JP"/>
        </w:rPr>
        <w:t>phospho</w:t>
      </w:r>
      <w:r w:rsidRPr="009D595E">
        <w:rPr>
          <w:rFonts w:asciiTheme="minorHAnsi" w:eastAsia="ＭＳ Ｐゴシック" w:hAnsiTheme="minorHAnsi" w:hint="eastAsia"/>
          <w:b/>
          <w:color w:val="000000"/>
          <w:sz w:val="22"/>
          <w:szCs w:val="22"/>
          <w:lang w:val="en-US" w:eastAsia="ja-JP"/>
        </w:rPr>
        <w:t xml:space="preserve">lipid using immobilized PLA1 in Accurel </w:t>
      </w:r>
      <w:r w:rsidRPr="009D595E">
        <w:rPr>
          <w:rFonts w:asciiTheme="minorHAnsi" w:eastAsia="ＭＳ Ｐゴシック" w:hAnsiTheme="minorHAnsi"/>
          <w:b/>
          <w:color w:val="000000"/>
          <w:sz w:val="22"/>
          <w:szCs w:val="22"/>
          <w:lang w:val="en-US" w:eastAsia="ja-JP"/>
        </w:rPr>
        <w:t>carrier</w:t>
      </w:r>
    </w:p>
    <w:p w:rsidR="009D595E" w:rsidRPr="009D595E" w:rsidRDefault="009D595E" w:rsidP="009D595E">
      <w:pPr>
        <w:snapToGrid w:val="0"/>
        <w:spacing w:after="120"/>
        <w:ind w:firstLineChars="100" w:firstLine="220"/>
        <w:rPr>
          <w:rFonts w:asciiTheme="minorHAnsi" w:eastAsia="ＭＳ Ｐゴシック" w:hAnsiTheme="minorHAnsi"/>
          <w:i/>
          <w:color w:val="000000"/>
          <w:sz w:val="22"/>
          <w:szCs w:val="22"/>
          <w:lang w:val="en-US"/>
        </w:rPr>
      </w:pPr>
      <w:r w:rsidRPr="009D595E">
        <w:rPr>
          <w:rFonts w:asciiTheme="minorHAnsi" w:eastAsia="ＭＳ Ｐゴシック" w:hAnsiTheme="minorHAnsi"/>
          <w:color w:val="000000"/>
          <w:sz w:val="22"/>
          <w:szCs w:val="22"/>
          <w:lang w:val="en-US"/>
        </w:rPr>
        <w:t>Phospholipid (from soybean) was dissolved into the organic phase composed of 1-butanol/isooctane. The substrate solution (50mL) was placed in a glass vessel. And then, the substrate solution containing acetate buffer solution (pH5.0) were stirred magnetically for 10min in a water bath (</w:t>
      </w:r>
      <w:r w:rsidRPr="009D595E">
        <w:rPr>
          <w:rFonts w:asciiTheme="minorHAnsi" w:eastAsia="ＭＳ Ｐゴシック" w:hAnsiTheme="minorHAnsi" w:hint="eastAsia"/>
          <w:color w:val="000000"/>
          <w:sz w:val="22"/>
          <w:szCs w:val="22"/>
          <w:lang w:val="en-US" w:eastAsia="ja-JP"/>
        </w:rPr>
        <w:t>313K</w:t>
      </w:r>
      <w:r w:rsidRPr="009D595E">
        <w:rPr>
          <w:rFonts w:asciiTheme="minorHAnsi" w:eastAsia="ＭＳ Ｐゴシック" w:hAnsiTheme="minorHAnsi"/>
          <w:color w:val="000000"/>
          <w:sz w:val="22"/>
          <w:szCs w:val="22"/>
          <w:lang w:val="en-US" w:eastAsia="ja-JP"/>
        </w:rPr>
        <w:t>)</w:t>
      </w:r>
      <w:r w:rsidRPr="009D595E">
        <w:rPr>
          <w:rFonts w:asciiTheme="minorHAnsi" w:eastAsia="ＭＳ Ｐゴシック" w:hAnsiTheme="minorHAnsi"/>
          <w:color w:val="000000"/>
          <w:sz w:val="22"/>
          <w:szCs w:val="22"/>
          <w:lang w:val="en-US"/>
        </w:rPr>
        <w:t xml:space="preserve">. The reaction was initiated when the immobilized PLA1 on Accurel carrier was added to the W/O </w:t>
      </w:r>
      <w:proofErr w:type="spellStart"/>
      <w:r w:rsidRPr="009D595E">
        <w:rPr>
          <w:rFonts w:asciiTheme="minorHAnsi" w:eastAsia="ＭＳ Ｐゴシック" w:hAnsiTheme="minorHAnsi"/>
          <w:color w:val="000000"/>
          <w:sz w:val="22"/>
          <w:szCs w:val="22"/>
          <w:lang w:val="en-US"/>
        </w:rPr>
        <w:t>microemulsion</w:t>
      </w:r>
      <w:proofErr w:type="spellEnd"/>
      <w:r w:rsidRPr="009D595E">
        <w:rPr>
          <w:rFonts w:asciiTheme="minorHAnsi" w:eastAsia="ＭＳ Ｐゴシック" w:hAnsiTheme="minorHAnsi"/>
          <w:color w:val="000000"/>
          <w:sz w:val="22"/>
          <w:szCs w:val="22"/>
          <w:lang w:val="en-US"/>
        </w:rPr>
        <w:t xml:space="preserve"> phase. After the reaction was initiated, 0.2 mL of the sample was taken at the desired time in the reaction period. The concentration of produced fatty acid (palmitic acid) was determined by the Lowry-Tinsley colorimetric method [2]. </w:t>
      </w:r>
    </w:p>
    <w:p w:rsidR="009D595E" w:rsidRPr="009D595E" w:rsidRDefault="009D595E" w:rsidP="009D595E">
      <w:pPr>
        <w:snapToGrid w:val="0"/>
        <w:spacing w:before="240" w:line="300" w:lineRule="auto"/>
        <w:rPr>
          <w:rFonts w:asciiTheme="minorHAnsi" w:eastAsia="ＭＳ Ｐゴシック" w:hAnsiTheme="minorHAnsi"/>
          <w:color w:val="000000"/>
          <w:sz w:val="22"/>
          <w:szCs w:val="22"/>
          <w:lang w:val="en-US"/>
        </w:rPr>
      </w:pPr>
      <w:r w:rsidRPr="009D595E">
        <w:rPr>
          <w:rFonts w:asciiTheme="minorHAnsi" w:eastAsia="ＭＳ Ｐゴシック" w:hAnsiTheme="minorHAnsi"/>
          <w:b/>
          <w:bCs/>
          <w:color w:val="000000"/>
          <w:sz w:val="22"/>
          <w:szCs w:val="22"/>
          <w:lang w:val="en-US"/>
        </w:rPr>
        <w:t>3. Results and discussion</w:t>
      </w:r>
    </w:p>
    <w:p w:rsidR="009D595E" w:rsidRPr="009D595E" w:rsidRDefault="009D595E" w:rsidP="009D595E">
      <w:pPr>
        <w:snapToGrid w:val="0"/>
        <w:spacing w:after="120"/>
        <w:ind w:firstLineChars="100" w:firstLine="220"/>
        <w:rPr>
          <w:rFonts w:asciiTheme="minorHAnsi" w:eastAsia="ＭＳ Ｐゴシック" w:hAnsiTheme="minorHAnsi"/>
          <w:color w:val="000000"/>
          <w:sz w:val="22"/>
          <w:szCs w:val="22"/>
          <w:lang w:val="en-US" w:eastAsia="ja-JP"/>
        </w:rPr>
      </w:pPr>
      <w:r w:rsidRPr="009D595E">
        <w:rPr>
          <w:rFonts w:asciiTheme="minorHAnsi" w:eastAsia="ＭＳ Ｐゴシック" w:hAnsiTheme="minorHAnsi" w:hint="eastAsia"/>
          <w:color w:val="000000"/>
          <w:sz w:val="22"/>
          <w:szCs w:val="22"/>
          <w:lang w:val="en-US" w:eastAsia="ja-JP"/>
        </w:rPr>
        <w:t xml:space="preserve">Figure 3 shows the </w:t>
      </w:r>
      <w:r w:rsidRPr="009D595E">
        <w:rPr>
          <w:rFonts w:asciiTheme="minorHAnsi" w:eastAsia="ＭＳ Ｐゴシック" w:hAnsiTheme="minorHAnsi"/>
          <w:color w:val="000000"/>
          <w:sz w:val="22"/>
          <w:szCs w:val="22"/>
          <w:lang w:val="en-US" w:eastAsia="ja-JP"/>
        </w:rPr>
        <w:t>effect of GA treatment on the initial reaction rate (</w:t>
      </w:r>
      <w:proofErr w:type="gramStart"/>
      <w:r w:rsidRPr="009D595E">
        <w:rPr>
          <w:rFonts w:asciiTheme="minorHAnsi" w:eastAsia="ＭＳ Ｐゴシック" w:hAnsiTheme="minorHAnsi"/>
          <w:color w:val="000000"/>
          <w:sz w:val="22"/>
          <w:szCs w:val="22"/>
          <w:lang w:val="en-US" w:eastAsia="ja-JP"/>
        </w:rPr>
        <w:t>V</w:t>
      </w:r>
      <w:r w:rsidRPr="009D595E">
        <w:rPr>
          <w:rFonts w:asciiTheme="minorHAnsi" w:eastAsia="ＭＳ Ｐゴシック" w:hAnsiTheme="minorHAnsi"/>
          <w:color w:val="000000"/>
          <w:sz w:val="22"/>
          <w:szCs w:val="22"/>
          <w:vertAlign w:val="subscript"/>
          <w:lang w:val="en-US" w:eastAsia="ja-JP"/>
        </w:rPr>
        <w:t>i</w:t>
      </w:r>
      <w:proofErr w:type="gramEnd"/>
      <w:r w:rsidRPr="009D595E">
        <w:rPr>
          <w:rFonts w:asciiTheme="minorHAnsi" w:eastAsia="ＭＳ Ｐゴシック" w:hAnsiTheme="minorHAnsi"/>
          <w:color w:val="000000"/>
          <w:sz w:val="22"/>
          <w:szCs w:val="22"/>
          <w:lang w:val="en-US" w:eastAsia="ja-JP"/>
        </w:rPr>
        <w:t xml:space="preserve">). The </w:t>
      </w:r>
      <w:proofErr w:type="gramStart"/>
      <w:r w:rsidRPr="009D595E">
        <w:rPr>
          <w:rFonts w:asciiTheme="minorHAnsi" w:eastAsia="ＭＳ Ｐゴシック" w:hAnsiTheme="minorHAnsi"/>
          <w:color w:val="000000"/>
          <w:sz w:val="22"/>
          <w:szCs w:val="22"/>
          <w:lang w:val="en-US" w:eastAsia="ja-JP"/>
        </w:rPr>
        <w:t>V</w:t>
      </w:r>
      <w:r w:rsidRPr="009D595E">
        <w:rPr>
          <w:rFonts w:asciiTheme="minorHAnsi" w:eastAsia="ＭＳ Ｐゴシック" w:hAnsiTheme="minorHAnsi"/>
          <w:color w:val="000000"/>
          <w:sz w:val="22"/>
          <w:szCs w:val="22"/>
          <w:vertAlign w:val="subscript"/>
          <w:lang w:val="en-US" w:eastAsia="ja-JP"/>
        </w:rPr>
        <w:t>i</w:t>
      </w:r>
      <w:proofErr w:type="gramEnd"/>
      <w:r w:rsidRPr="009D595E">
        <w:rPr>
          <w:rFonts w:asciiTheme="minorHAnsi" w:eastAsia="ＭＳ Ｐゴシック" w:hAnsiTheme="minorHAnsi"/>
          <w:color w:val="000000"/>
          <w:sz w:val="22"/>
          <w:szCs w:val="22"/>
          <w:lang w:val="en-US" w:eastAsia="ja-JP"/>
        </w:rPr>
        <w:t xml:space="preserve"> increased with increasing GA concentration. Cross-linking of PLA1 by GA was very beneficial for attaining a higher reaction rate. </w:t>
      </w:r>
    </w:p>
    <w:p w:rsidR="009D595E" w:rsidRPr="009D595E" w:rsidRDefault="009D595E" w:rsidP="009D595E">
      <w:pPr>
        <w:snapToGrid w:val="0"/>
        <w:spacing w:after="120"/>
        <w:ind w:firstLineChars="100" w:firstLine="220"/>
        <w:rPr>
          <w:rFonts w:asciiTheme="minorHAnsi" w:eastAsia="ＭＳ Ｐゴシック" w:hAnsiTheme="minorHAnsi"/>
          <w:color w:val="000000"/>
          <w:sz w:val="22"/>
          <w:szCs w:val="22"/>
        </w:rPr>
      </w:pPr>
      <w:r w:rsidRPr="009D595E">
        <w:rPr>
          <w:rFonts w:asciiTheme="minorHAnsi" w:eastAsia="ＭＳ Ｐゴシック" w:hAnsiTheme="minorHAnsi"/>
          <w:color w:val="000000"/>
          <w:sz w:val="22"/>
          <w:szCs w:val="22"/>
          <w:lang w:val="en-US"/>
        </w:rPr>
        <w:t xml:space="preserve">Figure 4 shows the time course of production of palmitic acid for </w:t>
      </w:r>
      <w:r w:rsidRPr="009D595E">
        <w:rPr>
          <w:rFonts w:asciiTheme="minorHAnsi" w:eastAsia="ＭＳ Ｐゴシック" w:hAnsiTheme="minorHAnsi"/>
          <w:color w:val="000000"/>
          <w:sz w:val="22"/>
          <w:szCs w:val="22"/>
          <w:lang w:val="en-US" w:eastAsia="ja-JP"/>
        </w:rPr>
        <w:t>t</w:t>
      </w:r>
      <w:r w:rsidRPr="009D595E">
        <w:rPr>
          <w:rFonts w:asciiTheme="minorHAnsi" w:eastAsia="ＭＳ Ｐゴシック" w:hAnsiTheme="minorHAnsi"/>
          <w:color w:val="000000"/>
          <w:sz w:val="22"/>
          <w:szCs w:val="22"/>
          <w:lang w:val="en-US"/>
        </w:rPr>
        <w:t>he repeated use of immobilized PLA1.  Repeated use of immobilized PLA1 was successfully appeared without lag time and preserved sufficiently high reaction yield until 2</w:t>
      </w:r>
      <w:r w:rsidRPr="009D595E">
        <w:rPr>
          <w:rFonts w:asciiTheme="minorHAnsi" w:eastAsia="ＭＳ Ｐゴシック" w:hAnsiTheme="minorHAnsi"/>
          <w:color w:val="000000"/>
          <w:sz w:val="22"/>
          <w:szCs w:val="22"/>
          <w:vertAlign w:val="superscript"/>
          <w:lang w:val="en-US"/>
        </w:rPr>
        <w:t>nd</w:t>
      </w:r>
      <w:r w:rsidRPr="009D595E">
        <w:rPr>
          <w:rFonts w:asciiTheme="minorHAnsi" w:eastAsia="ＭＳ Ｐゴシック" w:hAnsiTheme="minorHAnsi"/>
          <w:color w:val="000000"/>
          <w:sz w:val="22"/>
          <w:szCs w:val="22"/>
          <w:lang w:val="en-US"/>
        </w:rPr>
        <w:t xml:space="preserve"> run. The activity site of immobilized PLA1 was not damaged after repeated processing. </w:t>
      </w:r>
    </w:p>
    <w:p w:rsidR="009D595E" w:rsidRPr="009D595E" w:rsidRDefault="009D595E" w:rsidP="009D595E">
      <w:pPr>
        <w:snapToGrid w:val="0"/>
        <w:spacing w:after="120"/>
        <w:ind w:firstLineChars="100" w:firstLine="180"/>
        <w:jc w:val="left"/>
        <w:rPr>
          <w:rFonts w:asciiTheme="minorHAnsi" w:eastAsia="ＭＳ Ｐゴシック" w:hAnsiTheme="minorHAnsi"/>
          <w:color w:val="000000"/>
        </w:rPr>
      </w:pPr>
      <w:r w:rsidRPr="009D595E">
        <w:rPr>
          <w:rFonts w:eastAsia="ＭＳ Ｐゴシック"/>
          <w:noProof/>
          <w:lang w:val="en-US" w:eastAsia="ja-JP"/>
        </w:rPr>
        <w:drawing>
          <wp:inline distT="0" distB="0" distL="0" distR="0" wp14:anchorId="2D122FE5" wp14:editId="2DC4362A">
            <wp:extent cx="2496185" cy="2232707"/>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7470" cy="2260690"/>
                    </a:xfrm>
                    <a:prstGeom prst="rect">
                      <a:avLst/>
                    </a:prstGeom>
                    <a:noFill/>
                    <a:ln>
                      <a:noFill/>
                    </a:ln>
                  </pic:spPr>
                </pic:pic>
              </a:graphicData>
            </a:graphic>
          </wp:inline>
        </w:drawing>
      </w:r>
      <w:r w:rsidRPr="009D595E">
        <w:rPr>
          <w:rFonts w:eastAsia="ＭＳ Ｐゴシック"/>
        </w:rPr>
        <w:t xml:space="preserve">                 </w:t>
      </w:r>
      <w:r w:rsidRPr="009D595E">
        <w:rPr>
          <w:rFonts w:eastAsia="ＭＳ Ｐゴシック"/>
          <w:noProof/>
          <w:lang w:val="en-US" w:eastAsia="ja-JP"/>
        </w:rPr>
        <w:drawing>
          <wp:inline distT="0" distB="0" distL="0" distR="0" wp14:anchorId="5B5EB828" wp14:editId="5BCBBAA2">
            <wp:extent cx="2273788" cy="2165389"/>
            <wp:effectExtent l="0" t="0" r="0" b="635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1487" cy="2182244"/>
                    </a:xfrm>
                    <a:prstGeom prst="rect">
                      <a:avLst/>
                    </a:prstGeom>
                    <a:noFill/>
                    <a:ln>
                      <a:noFill/>
                    </a:ln>
                  </pic:spPr>
                </pic:pic>
              </a:graphicData>
            </a:graphic>
          </wp:inline>
        </w:drawing>
      </w:r>
    </w:p>
    <w:p w:rsidR="009D595E" w:rsidRPr="009D595E" w:rsidRDefault="009D595E" w:rsidP="009D595E">
      <w:pPr>
        <w:snapToGrid w:val="0"/>
        <w:spacing w:after="120"/>
        <w:ind w:leftChars="250" w:left="5058" w:hangingChars="2550" w:hanging="4608"/>
        <w:jc w:val="left"/>
        <w:rPr>
          <w:rFonts w:asciiTheme="minorHAnsi" w:eastAsia="ＭＳ Ｐゴシック" w:hAnsiTheme="minorHAnsi"/>
          <w:color w:val="000000"/>
          <w:szCs w:val="18"/>
          <w:lang w:val="en-US"/>
        </w:rPr>
      </w:pPr>
      <w:r w:rsidRPr="009D595E">
        <w:rPr>
          <w:rFonts w:asciiTheme="minorHAnsi" w:eastAsia="ＭＳ Ｐゴシック" w:hAnsiTheme="minorHAnsi"/>
          <w:b/>
          <w:color w:val="000000"/>
          <w:szCs w:val="18"/>
          <w:lang w:val="en-US"/>
        </w:rPr>
        <w:t>Figure 3</w:t>
      </w:r>
      <w:r w:rsidRPr="009D595E">
        <w:rPr>
          <w:rFonts w:asciiTheme="minorHAnsi" w:eastAsia="ＭＳ Ｐゴシック" w:hAnsiTheme="minorHAnsi"/>
          <w:b/>
          <w:color w:val="000000"/>
          <w:szCs w:val="18"/>
          <w:lang w:val="en-US" w:eastAsia="ko-KR"/>
        </w:rPr>
        <w:t>.</w:t>
      </w:r>
      <w:r w:rsidRPr="009D595E">
        <w:rPr>
          <w:rFonts w:asciiTheme="minorHAnsi" w:eastAsia="ＭＳ Ｐゴシック" w:hAnsiTheme="minorHAnsi"/>
          <w:color w:val="000000"/>
          <w:szCs w:val="18"/>
          <w:lang w:val="en-US"/>
        </w:rPr>
        <w:t xml:space="preserve"> </w:t>
      </w:r>
      <w:r w:rsidRPr="009D595E">
        <w:rPr>
          <w:rFonts w:asciiTheme="minorHAnsi" w:hAnsiTheme="minorHAnsi"/>
          <w:lang w:val="en-US"/>
        </w:rPr>
        <w:t xml:space="preserve"> Effect of GA concentration on the </w:t>
      </w:r>
      <w:proofErr w:type="gramStart"/>
      <w:r w:rsidRPr="009D595E">
        <w:rPr>
          <w:rFonts w:asciiTheme="minorHAnsi" w:hAnsiTheme="minorHAnsi"/>
          <w:lang w:val="en-US"/>
        </w:rPr>
        <w:t>V</w:t>
      </w:r>
      <w:r w:rsidRPr="009D595E">
        <w:rPr>
          <w:rFonts w:asciiTheme="minorHAnsi" w:hAnsiTheme="minorHAnsi"/>
          <w:vertAlign w:val="subscript"/>
          <w:lang w:val="en-US"/>
        </w:rPr>
        <w:t>i</w:t>
      </w:r>
      <w:proofErr w:type="gramEnd"/>
      <w:r w:rsidRPr="009D595E">
        <w:rPr>
          <w:rFonts w:asciiTheme="minorHAnsi" w:hAnsiTheme="minorHAnsi"/>
          <w:lang w:val="en-US"/>
        </w:rPr>
        <w:t>.</w:t>
      </w:r>
      <w:r w:rsidRPr="009D595E">
        <w:rPr>
          <w:rFonts w:asciiTheme="minorHAnsi" w:eastAsia="ＭＳ Ｐゴシック" w:hAnsiTheme="minorHAnsi"/>
          <w:color w:val="000000"/>
          <w:szCs w:val="18"/>
          <w:lang w:val="en-US"/>
        </w:rPr>
        <w:t xml:space="preserve">             </w:t>
      </w:r>
      <w:r w:rsidRPr="009D595E">
        <w:rPr>
          <w:rFonts w:asciiTheme="minorHAnsi" w:eastAsia="ＭＳ Ｐゴシック" w:hAnsiTheme="minorHAnsi"/>
          <w:b/>
          <w:color w:val="000000"/>
          <w:szCs w:val="18"/>
          <w:lang w:val="en-US"/>
        </w:rPr>
        <w:t xml:space="preserve">Figure 4. </w:t>
      </w:r>
      <w:r w:rsidRPr="009D595E">
        <w:rPr>
          <w:rFonts w:asciiTheme="minorHAnsi" w:eastAsia="ＭＳ Ｐゴシック" w:hAnsiTheme="minorHAnsi"/>
          <w:color w:val="000000"/>
          <w:szCs w:val="18"/>
          <w:lang w:val="en-US"/>
        </w:rPr>
        <w:t xml:space="preserve">Time course of production for the repeated use of immobilized PLA1. </w:t>
      </w:r>
    </w:p>
    <w:p w:rsidR="009D595E" w:rsidRPr="009D595E" w:rsidRDefault="009D595E" w:rsidP="009D595E">
      <w:pPr>
        <w:snapToGrid w:val="0"/>
        <w:spacing w:before="240" w:line="300" w:lineRule="auto"/>
        <w:rPr>
          <w:rFonts w:asciiTheme="minorHAnsi" w:eastAsia="ＭＳ Ｐゴシック" w:hAnsiTheme="minorHAnsi"/>
          <w:color w:val="000000"/>
          <w:sz w:val="22"/>
          <w:szCs w:val="22"/>
          <w:lang w:val="en-US" w:eastAsia="ko-KR"/>
        </w:rPr>
      </w:pPr>
      <w:r w:rsidRPr="009D595E">
        <w:rPr>
          <w:rFonts w:asciiTheme="minorHAnsi" w:eastAsia="ＭＳ Ｐゴシック" w:hAnsiTheme="minorHAnsi"/>
          <w:b/>
          <w:bCs/>
          <w:color w:val="000000"/>
          <w:sz w:val="22"/>
          <w:szCs w:val="22"/>
          <w:lang w:val="en-US"/>
        </w:rPr>
        <w:t>4. Conclusion</w:t>
      </w:r>
      <w:r w:rsidRPr="009D595E">
        <w:rPr>
          <w:rFonts w:asciiTheme="minorHAnsi" w:eastAsia="ＭＳ Ｐゴシック" w:hAnsiTheme="minorHAnsi"/>
          <w:b/>
          <w:bCs/>
          <w:color w:val="000000"/>
          <w:sz w:val="22"/>
          <w:szCs w:val="22"/>
          <w:lang w:val="en-US" w:eastAsia="ko-KR"/>
        </w:rPr>
        <w:t>s</w:t>
      </w:r>
    </w:p>
    <w:p w:rsidR="009D595E" w:rsidRPr="009D595E" w:rsidRDefault="009D595E" w:rsidP="009D595E">
      <w:pPr>
        <w:snapToGrid w:val="0"/>
        <w:spacing w:after="120"/>
        <w:ind w:firstLineChars="100" w:firstLine="220"/>
        <w:rPr>
          <w:rFonts w:asciiTheme="minorHAnsi" w:eastAsia="ＭＳ Ｐゴシック" w:hAnsiTheme="minorHAnsi"/>
          <w:color w:val="000000"/>
          <w:sz w:val="22"/>
          <w:szCs w:val="22"/>
          <w:lang w:val="en-US"/>
        </w:rPr>
      </w:pPr>
      <w:r w:rsidRPr="009D595E">
        <w:rPr>
          <w:rFonts w:asciiTheme="minorHAnsi" w:eastAsia="ＭＳ Ｐゴシック" w:hAnsiTheme="minorHAnsi"/>
          <w:color w:val="000000"/>
          <w:sz w:val="22"/>
          <w:szCs w:val="22"/>
          <w:lang w:val="en-US"/>
        </w:rPr>
        <w:t>High yield immobilization of phospholipase A</w:t>
      </w:r>
      <w:r w:rsidRPr="009D595E">
        <w:rPr>
          <w:rFonts w:asciiTheme="minorHAnsi" w:eastAsia="ＭＳ Ｐゴシック" w:hAnsiTheme="minorHAnsi"/>
          <w:color w:val="000000"/>
          <w:sz w:val="22"/>
          <w:szCs w:val="22"/>
          <w:vertAlign w:val="subscript"/>
          <w:lang w:val="en-US"/>
        </w:rPr>
        <w:t>1</w:t>
      </w:r>
      <w:r w:rsidRPr="009D595E">
        <w:rPr>
          <w:rFonts w:asciiTheme="minorHAnsi" w:eastAsia="ＭＳ Ｐゴシック" w:hAnsiTheme="minorHAnsi"/>
          <w:color w:val="000000"/>
          <w:sz w:val="22"/>
          <w:szCs w:val="22"/>
          <w:lang w:val="en-US"/>
        </w:rPr>
        <w:t xml:space="preserve"> and quick initiation of hydrolysis of </w:t>
      </w:r>
      <w:r w:rsidRPr="009D595E">
        <w:rPr>
          <w:rFonts w:asciiTheme="minorHAnsi" w:eastAsia="ＭＳ Ｐゴシック" w:hAnsiTheme="minorHAnsi" w:hint="eastAsia"/>
          <w:color w:val="000000"/>
          <w:sz w:val="22"/>
          <w:szCs w:val="22"/>
          <w:lang w:val="en-US" w:eastAsia="ja-JP"/>
        </w:rPr>
        <w:t>phospholipid</w:t>
      </w:r>
      <w:r w:rsidRPr="009D595E">
        <w:rPr>
          <w:rFonts w:asciiTheme="minorHAnsi" w:eastAsia="ＭＳ Ｐゴシック" w:hAnsiTheme="minorHAnsi"/>
          <w:color w:val="000000"/>
          <w:sz w:val="22"/>
          <w:szCs w:val="22"/>
          <w:lang w:val="en-US"/>
        </w:rPr>
        <w:t xml:space="preserve">. Immobilized PLA1 was prepared using porous polypropylene carrier (Accurel MP100). Repeated used of immobilized PLA1 was attractively performed and stable. </w:t>
      </w:r>
      <w:r w:rsidRPr="009D595E">
        <w:rPr>
          <w:rFonts w:asciiTheme="minorHAnsi" w:eastAsia="ＭＳ Ｐゴシック" w:hAnsiTheme="minorHAnsi" w:hint="eastAsia"/>
          <w:color w:val="000000"/>
          <w:sz w:val="22"/>
          <w:szCs w:val="22"/>
          <w:lang w:val="en-US" w:eastAsia="ja-JP"/>
        </w:rPr>
        <w:t>Accurel</w:t>
      </w:r>
      <w:r w:rsidRPr="009D595E">
        <w:rPr>
          <w:rFonts w:asciiTheme="minorHAnsi" w:eastAsia="ＭＳ Ｐゴシック" w:hAnsiTheme="minorHAnsi"/>
          <w:color w:val="000000"/>
          <w:sz w:val="22"/>
          <w:szCs w:val="22"/>
          <w:lang w:val="en-US" w:eastAsia="ja-JP"/>
        </w:rPr>
        <w:t xml:space="preserve"> is</w:t>
      </w:r>
      <w:r w:rsidRPr="009D595E">
        <w:rPr>
          <w:rFonts w:asciiTheme="minorHAnsi" w:eastAsia="ＭＳ Ｐゴシック" w:hAnsiTheme="minorHAnsi" w:hint="eastAsia"/>
          <w:color w:val="000000"/>
          <w:sz w:val="22"/>
          <w:szCs w:val="22"/>
          <w:lang w:val="en-US" w:eastAsia="ja-JP"/>
        </w:rPr>
        <w:t xml:space="preserve"> </w:t>
      </w:r>
      <w:r w:rsidRPr="009D595E">
        <w:rPr>
          <w:rFonts w:asciiTheme="minorHAnsi" w:eastAsia="ＭＳ Ｐゴシック" w:hAnsiTheme="minorHAnsi"/>
          <w:color w:val="000000"/>
          <w:sz w:val="22"/>
          <w:szCs w:val="22"/>
          <w:lang w:val="en-US" w:eastAsia="ja-JP"/>
        </w:rPr>
        <w:t>expected</w:t>
      </w:r>
      <w:r w:rsidRPr="009D595E">
        <w:rPr>
          <w:rFonts w:asciiTheme="minorHAnsi" w:eastAsia="ＭＳ Ｐゴシック" w:hAnsiTheme="minorHAnsi" w:hint="eastAsia"/>
          <w:color w:val="000000"/>
          <w:sz w:val="22"/>
          <w:szCs w:val="22"/>
          <w:lang w:val="en-US" w:eastAsia="ja-JP"/>
        </w:rPr>
        <w:t xml:space="preserve"> </w:t>
      </w:r>
      <w:r w:rsidRPr="009D595E">
        <w:rPr>
          <w:rFonts w:asciiTheme="minorHAnsi" w:eastAsia="ＭＳ Ｐゴシック" w:hAnsiTheme="minorHAnsi"/>
          <w:color w:val="000000"/>
          <w:sz w:val="22"/>
          <w:szCs w:val="22"/>
          <w:lang w:val="en-US" w:eastAsia="ja-JP"/>
        </w:rPr>
        <w:t>to hydrophobic friendly phospholipase carrier progressing toward higher reaction rete and high yield in repeated use.</w:t>
      </w:r>
    </w:p>
    <w:p w:rsidR="009D595E" w:rsidRPr="009D595E" w:rsidRDefault="009D595E" w:rsidP="009D595E">
      <w:pPr>
        <w:snapToGrid w:val="0"/>
        <w:spacing w:before="240" w:line="300" w:lineRule="auto"/>
        <w:rPr>
          <w:rFonts w:asciiTheme="minorHAnsi" w:eastAsia="SimSun" w:hAnsiTheme="minorHAnsi"/>
          <w:b/>
          <w:bCs/>
          <w:color w:val="000000"/>
          <w:sz w:val="20"/>
          <w:lang w:val="en-US" w:eastAsia="zh-CN"/>
        </w:rPr>
      </w:pPr>
      <w:r w:rsidRPr="009D595E">
        <w:rPr>
          <w:rFonts w:asciiTheme="minorHAnsi" w:eastAsia="ＭＳ Ｐゴシック" w:hAnsiTheme="minorHAnsi"/>
          <w:b/>
          <w:bCs/>
          <w:color w:val="000000"/>
          <w:sz w:val="20"/>
          <w:lang w:val="en-US"/>
        </w:rPr>
        <w:t>References</w:t>
      </w:r>
    </w:p>
    <w:p w:rsidR="009D595E" w:rsidRPr="009D595E" w:rsidRDefault="009D595E" w:rsidP="009D595E">
      <w:pPr>
        <w:numPr>
          <w:ilvl w:val="0"/>
          <w:numId w:val="17"/>
        </w:numPr>
        <w:tabs>
          <w:tab w:val="clear" w:pos="7100"/>
          <w:tab w:val="left" w:pos="426"/>
        </w:tabs>
        <w:spacing w:line="240" w:lineRule="auto"/>
        <w:ind w:left="426" w:hanging="426"/>
        <w:rPr>
          <w:rFonts w:asciiTheme="minorHAnsi" w:hAnsiTheme="minorHAnsi"/>
          <w:color w:val="000000"/>
          <w:sz w:val="20"/>
          <w:lang w:val="en-US"/>
        </w:rPr>
      </w:pPr>
      <w:r w:rsidRPr="009D595E">
        <w:rPr>
          <w:rFonts w:asciiTheme="minorHAnsi" w:hAnsiTheme="minorHAnsi"/>
          <w:color w:val="000000"/>
          <w:sz w:val="20"/>
          <w:lang w:val="en-US"/>
        </w:rPr>
        <w:t xml:space="preserve">M. </w:t>
      </w:r>
      <w:proofErr w:type="spellStart"/>
      <w:r w:rsidRPr="009D595E">
        <w:rPr>
          <w:rFonts w:asciiTheme="minorHAnsi" w:hAnsiTheme="minorHAnsi"/>
          <w:color w:val="000000"/>
          <w:sz w:val="20"/>
          <w:lang w:val="en-US"/>
        </w:rPr>
        <w:t>Naya</w:t>
      </w:r>
      <w:proofErr w:type="spellEnd"/>
      <w:r w:rsidRPr="009D595E">
        <w:rPr>
          <w:rFonts w:asciiTheme="minorHAnsi" w:hAnsiTheme="minorHAnsi"/>
          <w:color w:val="000000"/>
          <w:sz w:val="20"/>
          <w:lang w:val="en-US"/>
        </w:rPr>
        <w:t>, M. Imai, Asia-Pac. J. Chem. Eng. 7 (2012) S157-S165.</w:t>
      </w:r>
    </w:p>
    <w:p w:rsidR="00704BDF" w:rsidRPr="009D595E" w:rsidRDefault="009D595E" w:rsidP="00704BDF">
      <w:pPr>
        <w:widowControl w:val="0"/>
        <w:numPr>
          <w:ilvl w:val="0"/>
          <w:numId w:val="17"/>
        </w:numPr>
        <w:tabs>
          <w:tab w:val="clear" w:pos="7100"/>
          <w:tab w:val="left" w:pos="426"/>
        </w:tabs>
        <w:autoSpaceDE w:val="0"/>
        <w:autoSpaceDN w:val="0"/>
        <w:adjustRightInd w:val="0"/>
        <w:spacing w:line="240" w:lineRule="auto"/>
        <w:ind w:left="426" w:hanging="426"/>
        <w:rPr>
          <w:rFonts w:asciiTheme="minorHAnsi" w:eastAsia="SimSun" w:hAnsiTheme="minorHAnsi"/>
          <w:sz w:val="22"/>
          <w:szCs w:val="22"/>
          <w:lang w:eastAsia="zh-CN"/>
        </w:rPr>
      </w:pPr>
      <w:r w:rsidRPr="009D595E">
        <w:rPr>
          <w:rFonts w:asciiTheme="minorHAnsi" w:hAnsiTheme="minorHAnsi"/>
          <w:color w:val="000000"/>
          <w:sz w:val="20"/>
          <w:lang w:val="en-US"/>
        </w:rPr>
        <w:t>R.R. Lowry, I.J. Tinsley, J. Am. Oil Chem. Soc. 53 (1976) 470-472.</w:t>
      </w:r>
    </w:p>
    <w:sectPr w:rsidR="00704BDF" w:rsidRPr="009D595E"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1AC" w:rsidRDefault="006B01AC" w:rsidP="004F5E36">
      <w:r>
        <w:separator/>
      </w:r>
    </w:p>
  </w:endnote>
  <w:endnote w:type="continuationSeparator" w:id="0">
    <w:p w:rsidR="006B01AC" w:rsidRDefault="006B01A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1AC" w:rsidRDefault="006B01AC" w:rsidP="004F5E36">
      <w:r>
        <w:separator/>
      </w:r>
    </w:p>
  </w:footnote>
  <w:footnote w:type="continuationSeparator" w:id="0">
    <w:p w:rsidR="006B01AC" w:rsidRDefault="006B01AC"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afff6"/>
    </w:pPr>
    <w:r>
      <w:rPr>
        <w:noProof/>
        <w:lang w:val="en-US" w:eastAsia="ja-JP"/>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C57FFB9" id="Connettore 1 86"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en-US" w:eastAsia="ja-JP"/>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4F563B" w:rsidRDefault="00704BDF" w:rsidP="00704BDF">
    <w:pPr>
      <w:ind w:left="-426" w:right="-285"/>
      <w:jc w:val="center"/>
      <w:rPr>
        <w:rFonts w:asciiTheme="minorHAnsi" w:hAnsiTheme="minorHAnsi"/>
        <w:b/>
        <w:i/>
        <w:color w:val="7030A0"/>
        <w:sz w:val="24"/>
        <w:szCs w:val="24"/>
        <w:lang w:val="en-US"/>
      </w:rPr>
    </w:pPr>
    <w:r>
      <w:rPr>
        <w:noProof/>
        <w:lang w:val="en-US" w:eastAsia="ja-JP"/>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afff6"/>
    </w:pPr>
  </w:p>
  <w:p w:rsidR="00704BDF" w:rsidRDefault="00704BDF">
    <w:pPr>
      <w:pStyle w:val="afff6"/>
    </w:pPr>
    <w:r>
      <w:rPr>
        <w:noProof/>
        <w:lang w:val="en-US" w:eastAsia="ja-JP"/>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71BA02" id="Connettore 1 1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644" w:hanging="360"/>
      </w:pPr>
      <w:rPr>
        <w:rFonts w:hint="default"/>
        <w:sz w:val="18"/>
        <w:szCs w:val="18"/>
      </w:rPr>
    </w:lvl>
    <w:lvl w:ilvl="1" w:tplc="04090019" w:tentative="1">
      <w:start w:val="1"/>
      <w:numFmt w:val="lowerLetter"/>
      <w:lvlText w:val="%2."/>
      <w:lvlJc w:val="left"/>
      <w:pPr>
        <w:ind w:left="3794" w:hanging="360"/>
      </w:pPr>
    </w:lvl>
    <w:lvl w:ilvl="2" w:tplc="0409001B" w:tentative="1">
      <w:start w:val="1"/>
      <w:numFmt w:val="lowerRoman"/>
      <w:lvlText w:val="%3."/>
      <w:lvlJc w:val="right"/>
      <w:pPr>
        <w:ind w:left="4514" w:hanging="180"/>
      </w:pPr>
    </w:lvl>
    <w:lvl w:ilvl="3" w:tplc="0409000F" w:tentative="1">
      <w:start w:val="1"/>
      <w:numFmt w:val="decimal"/>
      <w:lvlText w:val="%4."/>
      <w:lvlJc w:val="left"/>
      <w:pPr>
        <w:ind w:left="5234" w:hanging="360"/>
      </w:pPr>
    </w:lvl>
    <w:lvl w:ilvl="4" w:tplc="04090019" w:tentative="1">
      <w:start w:val="1"/>
      <w:numFmt w:val="lowerLetter"/>
      <w:lvlText w:val="%5."/>
      <w:lvlJc w:val="left"/>
      <w:pPr>
        <w:ind w:left="5954" w:hanging="360"/>
      </w:pPr>
    </w:lvl>
    <w:lvl w:ilvl="5" w:tplc="0409001B" w:tentative="1">
      <w:start w:val="1"/>
      <w:numFmt w:val="lowerRoman"/>
      <w:lvlText w:val="%6."/>
      <w:lvlJc w:val="right"/>
      <w:pPr>
        <w:ind w:left="6674" w:hanging="180"/>
      </w:pPr>
    </w:lvl>
    <w:lvl w:ilvl="6" w:tplc="0409000F" w:tentative="1">
      <w:start w:val="1"/>
      <w:numFmt w:val="decimal"/>
      <w:lvlText w:val="%7."/>
      <w:lvlJc w:val="left"/>
      <w:pPr>
        <w:ind w:left="7394" w:hanging="360"/>
      </w:pPr>
    </w:lvl>
    <w:lvl w:ilvl="7" w:tplc="04090019" w:tentative="1">
      <w:start w:val="1"/>
      <w:numFmt w:val="lowerLetter"/>
      <w:lvlText w:val="%8."/>
      <w:lvlJc w:val="left"/>
      <w:pPr>
        <w:ind w:left="8114" w:hanging="360"/>
      </w:pPr>
    </w:lvl>
    <w:lvl w:ilvl="8" w:tplc="0409001B" w:tentative="1">
      <w:start w:val="1"/>
      <w:numFmt w:val="lowerRoman"/>
      <w:lvlText w:val="%9."/>
      <w:lvlJc w:val="right"/>
      <w:pPr>
        <w:ind w:left="8834"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6164A"/>
    <w:rsid w:val="00462DCD"/>
    <w:rsid w:val="004D1162"/>
    <w:rsid w:val="004E4DD6"/>
    <w:rsid w:val="004F563B"/>
    <w:rsid w:val="004F5E36"/>
    <w:rsid w:val="005119A5"/>
    <w:rsid w:val="005278B7"/>
    <w:rsid w:val="005346C8"/>
    <w:rsid w:val="00594E9F"/>
    <w:rsid w:val="005B61E6"/>
    <w:rsid w:val="005C77E1"/>
    <w:rsid w:val="005D6A2F"/>
    <w:rsid w:val="005E1A82"/>
    <w:rsid w:val="005F0A28"/>
    <w:rsid w:val="005F0E5E"/>
    <w:rsid w:val="00620DEE"/>
    <w:rsid w:val="00625639"/>
    <w:rsid w:val="006366F8"/>
    <w:rsid w:val="0064184D"/>
    <w:rsid w:val="00660E3E"/>
    <w:rsid w:val="00662E74"/>
    <w:rsid w:val="006B01AC"/>
    <w:rsid w:val="006C5579"/>
    <w:rsid w:val="00704BDF"/>
    <w:rsid w:val="00736B13"/>
    <w:rsid w:val="007447F3"/>
    <w:rsid w:val="007661C8"/>
    <w:rsid w:val="007D52CD"/>
    <w:rsid w:val="00813288"/>
    <w:rsid w:val="008168FC"/>
    <w:rsid w:val="008479A2"/>
    <w:rsid w:val="0087637F"/>
    <w:rsid w:val="008A1512"/>
    <w:rsid w:val="008D0BEB"/>
    <w:rsid w:val="008E566E"/>
    <w:rsid w:val="00901EB6"/>
    <w:rsid w:val="009450CE"/>
    <w:rsid w:val="00946F38"/>
    <w:rsid w:val="0095164B"/>
    <w:rsid w:val="00996483"/>
    <w:rsid w:val="009D595E"/>
    <w:rsid w:val="009E788A"/>
    <w:rsid w:val="00A1763D"/>
    <w:rsid w:val="00A17CEC"/>
    <w:rsid w:val="00A27EF0"/>
    <w:rsid w:val="00A76EFC"/>
    <w:rsid w:val="00A97F29"/>
    <w:rsid w:val="00AB0964"/>
    <w:rsid w:val="00AE377D"/>
    <w:rsid w:val="00B61DBF"/>
    <w:rsid w:val="00BC30C9"/>
    <w:rsid w:val="00BE3E58"/>
    <w:rsid w:val="00C01616"/>
    <w:rsid w:val="00C0162B"/>
    <w:rsid w:val="00C345B1"/>
    <w:rsid w:val="00C40142"/>
    <w:rsid w:val="00C57182"/>
    <w:rsid w:val="00C655FD"/>
    <w:rsid w:val="00C94434"/>
    <w:rsid w:val="00CA1C95"/>
    <w:rsid w:val="00CA5A9C"/>
    <w:rsid w:val="00CC3F4B"/>
    <w:rsid w:val="00CD5FE2"/>
    <w:rsid w:val="00D02B4C"/>
    <w:rsid w:val="00D84576"/>
    <w:rsid w:val="00DE0019"/>
    <w:rsid w:val="00DE264A"/>
    <w:rsid w:val="00E041E7"/>
    <w:rsid w:val="00E23CA1"/>
    <w:rsid w:val="00E409A8"/>
    <w:rsid w:val="00E47211"/>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1"/>
    <w:uiPriority w:val="9"/>
    <w:locked/>
    <w:rsid w:val="004F5E36"/>
    <w:pPr>
      <w:tabs>
        <w:tab w:val="clear" w:pos="360"/>
        <w:tab w:val="right" w:pos="7100"/>
      </w:tabs>
      <w:jc w:val="both"/>
      <w:outlineLvl w:val="0"/>
    </w:pPr>
    <w:rPr>
      <w:lang w:val="en-GB"/>
    </w:rPr>
  </w:style>
  <w:style w:type="paragraph" w:styleId="21">
    <w:name w:val="heading 2"/>
    <w:basedOn w:val="a1"/>
    <w:next w:val="a1"/>
    <w:link w:val="22"/>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0"/>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a5">
    <w:name w:val="Balloon Text"/>
    <w:basedOn w:val="a1"/>
    <w:link w:val="a6"/>
    <w:uiPriority w:val="99"/>
    <w:semiHidden/>
    <w:unhideWhenUsed/>
    <w:locked/>
    <w:rsid w:val="000D34BE"/>
    <w:pPr>
      <w:spacing w:line="240" w:lineRule="auto"/>
    </w:pPr>
    <w:rPr>
      <w:rFonts w:ascii="Tahoma" w:hAnsi="Tahoma" w:cs="Tahoma"/>
      <w:sz w:val="16"/>
      <w:szCs w:val="16"/>
    </w:rPr>
  </w:style>
  <w:style w:type="character" w:customStyle="1" w:styleId="a6">
    <w:name w:val="吹き出し (文字)"/>
    <w:basedOn w:val="a2"/>
    <w:link w:val="a5"/>
    <w:uiPriority w:val="99"/>
    <w:semiHidden/>
    <w:rsid w:val="000D34BE"/>
    <w:rPr>
      <w:rFonts w:ascii="Tahoma" w:hAnsi="Tahoma" w:cs="Tahoma"/>
      <w:sz w:val="16"/>
      <w:szCs w:val="16"/>
    </w:rPr>
  </w:style>
  <w:style w:type="paragraph" w:styleId="a7">
    <w:name w:val="Bibliography"/>
    <w:basedOn w:val="a1"/>
    <w:next w:val="a1"/>
    <w:uiPriority w:val="37"/>
    <w:semiHidden/>
    <w:unhideWhenUsed/>
    <w:rsid w:val="0003148D"/>
  </w:style>
  <w:style w:type="paragraph" w:styleId="23">
    <w:name w:val="Body Text 2"/>
    <w:basedOn w:val="a1"/>
    <w:link w:val="24"/>
    <w:uiPriority w:val="99"/>
    <w:semiHidden/>
    <w:unhideWhenUsed/>
    <w:rsid w:val="0003148D"/>
    <w:pPr>
      <w:spacing w:after="120" w:line="480" w:lineRule="auto"/>
    </w:pPr>
  </w:style>
  <w:style w:type="character" w:customStyle="1" w:styleId="24">
    <w:name w:val="本文 2 (文字)"/>
    <w:basedOn w:val="a2"/>
    <w:link w:val="23"/>
    <w:uiPriority w:val="99"/>
    <w:semiHidden/>
    <w:rsid w:val="0003148D"/>
  </w:style>
  <w:style w:type="paragraph" w:styleId="33">
    <w:name w:val="Body Text 3"/>
    <w:basedOn w:val="a1"/>
    <w:link w:val="34"/>
    <w:uiPriority w:val="99"/>
    <w:semiHidden/>
    <w:unhideWhenUsed/>
    <w:rsid w:val="0003148D"/>
    <w:pPr>
      <w:spacing w:after="120"/>
    </w:pPr>
    <w:rPr>
      <w:sz w:val="16"/>
      <w:szCs w:val="16"/>
    </w:rPr>
  </w:style>
  <w:style w:type="character" w:customStyle="1" w:styleId="34">
    <w:name w:val="本文 3 (文字)"/>
    <w:basedOn w:val="a2"/>
    <w:link w:val="33"/>
    <w:uiPriority w:val="99"/>
    <w:semiHidden/>
    <w:rsid w:val="0003148D"/>
    <w:rPr>
      <w:sz w:val="16"/>
      <w:szCs w:val="16"/>
    </w:rPr>
  </w:style>
  <w:style w:type="paragraph" w:styleId="a8">
    <w:name w:val="Body Text"/>
    <w:basedOn w:val="a1"/>
    <w:link w:val="a9"/>
    <w:uiPriority w:val="99"/>
    <w:semiHidden/>
    <w:unhideWhenUsed/>
    <w:rsid w:val="0003148D"/>
    <w:pPr>
      <w:spacing w:after="120"/>
    </w:pPr>
  </w:style>
  <w:style w:type="character" w:customStyle="1" w:styleId="a9">
    <w:name w:val="本文 (文字)"/>
    <w:basedOn w:val="a2"/>
    <w:link w:val="a8"/>
    <w:uiPriority w:val="99"/>
    <w:semiHidden/>
    <w:rsid w:val="0003148D"/>
  </w:style>
  <w:style w:type="paragraph" w:styleId="aa">
    <w:name w:val="Date"/>
    <w:basedOn w:val="a1"/>
    <w:next w:val="a1"/>
    <w:link w:val="ab"/>
    <w:uiPriority w:val="99"/>
    <w:semiHidden/>
    <w:unhideWhenUsed/>
    <w:locked/>
    <w:rsid w:val="0003148D"/>
  </w:style>
  <w:style w:type="character" w:customStyle="1" w:styleId="ab">
    <w:name w:val="日付 (文字)"/>
    <w:basedOn w:val="a2"/>
    <w:link w:val="aa"/>
    <w:uiPriority w:val="99"/>
    <w:semiHidden/>
    <w:rsid w:val="0003148D"/>
  </w:style>
  <w:style w:type="paragraph" w:styleId="ac">
    <w:name w:val="caption"/>
    <w:basedOn w:val="a1"/>
    <w:next w:val="a1"/>
    <w:uiPriority w:val="35"/>
    <w:semiHidden/>
    <w:unhideWhenUsed/>
    <w:qFormat/>
    <w:locked/>
    <w:rsid w:val="0003148D"/>
    <w:pPr>
      <w:spacing w:line="240" w:lineRule="auto"/>
    </w:pPr>
    <w:rPr>
      <w:b/>
      <w:bCs/>
      <w:color w:val="4F81BD" w:themeColor="accent1"/>
      <w:szCs w:val="18"/>
    </w:rPr>
  </w:style>
  <w:style w:type="paragraph" w:styleId="ad">
    <w:name w:val="List"/>
    <w:basedOn w:val="a1"/>
    <w:uiPriority w:val="99"/>
    <w:semiHidden/>
    <w:unhideWhenUsed/>
    <w:locked/>
    <w:rsid w:val="0003148D"/>
    <w:pPr>
      <w:ind w:left="283" w:hanging="283"/>
      <w:contextualSpacing/>
    </w:pPr>
  </w:style>
  <w:style w:type="paragraph" w:styleId="25">
    <w:name w:val="List 2"/>
    <w:basedOn w:val="a1"/>
    <w:uiPriority w:val="99"/>
    <w:semiHidden/>
    <w:unhideWhenUsed/>
    <w:locked/>
    <w:rsid w:val="0003148D"/>
    <w:pPr>
      <w:ind w:left="566" w:hanging="283"/>
      <w:contextualSpacing/>
    </w:pPr>
  </w:style>
  <w:style w:type="paragraph" w:styleId="35">
    <w:name w:val="List 3"/>
    <w:basedOn w:val="a1"/>
    <w:uiPriority w:val="99"/>
    <w:semiHidden/>
    <w:unhideWhenUsed/>
    <w:locked/>
    <w:rsid w:val="0003148D"/>
    <w:pPr>
      <w:ind w:left="849" w:hanging="283"/>
      <w:contextualSpacing/>
    </w:pPr>
  </w:style>
  <w:style w:type="paragraph" w:styleId="43">
    <w:name w:val="List 4"/>
    <w:basedOn w:val="a1"/>
    <w:uiPriority w:val="99"/>
    <w:semiHidden/>
    <w:unhideWhenUsed/>
    <w:locked/>
    <w:rsid w:val="0003148D"/>
    <w:pPr>
      <w:ind w:left="1132" w:hanging="283"/>
      <w:contextualSpacing/>
    </w:pPr>
  </w:style>
  <w:style w:type="paragraph" w:styleId="53">
    <w:name w:val="List 5"/>
    <w:basedOn w:val="a1"/>
    <w:uiPriority w:val="99"/>
    <w:semiHidden/>
    <w:unhideWhenUsed/>
    <w:locked/>
    <w:rsid w:val="0003148D"/>
    <w:pPr>
      <w:ind w:left="1415" w:hanging="283"/>
      <w:contextualSpacing/>
    </w:pPr>
  </w:style>
  <w:style w:type="paragraph" w:styleId="ae">
    <w:name w:val="List Continue"/>
    <w:basedOn w:val="a1"/>
    <w:uiPriority w:val="99"/>
    <w:semiHidden/>
    <w:unhideWhenUsed/>
    <w:locked/>
    <w:rsid w:val="0003148D"/>
    <w:pPr>
      <w:spacing w:after="120"/>
      <w:ind w:left="283"/>
      <w:contextualSpacing/>
    </w:pPr>
  </w:style>
  <w:style w:type="paragraph" w:styleId="26">
    <w:name w:val="List Continue 2"/>
    <w:basedOn w:val="a1"/>
    <w:uiPriority w:val="99"/>
    <w:semiHidden/>
    <w:unhideWhenUsed/>
    <w:locked/>
    <w:rsid w:val="0003148D"/>
    <w:pPr>
      <w:spacing w:after="120"/>
      <w:ind w:left="566"/>
      <w:contextualSpacing/>
    </w:pPr>
  </w:style>
  <w:style w:type="paragraph" w:styleId="36">
    <w:name w:val="List Continue 3"/>
    <w:basedOn w:val="a1"/>
    <w:uiPriority w:val="99"/>
    <w:semiHidden/>
    <w:unhideWhenUsed/>
    <w:locked/>
    <w:rsid w:val="0003148D"/>
    <w:pPr>
      <w:spacing w:after="120"/>
      <w:ind w:left="849"/>
      <w:contextualSpacing/>
    </w:pPr>
  </w:style>
  <w:style w:type="paragraph" w:styleId="44">
    <w:name w:val="List Continue 4"/>
    <w:basedOn w:val="a1"/>
    <w:uiPriority w:val="99"/>
    <w:semiHidden/>
    <w:unhideWhenUsed/>
    <w:locked/>
    <w:rsid w:val="0003148D"/>
    <w:pPr>
      <w:spacing w:after="120"/>
      <w:ind w:left="1132"/>
      <w:contextualSpacing/>
    </w:pPr>
  </w:style>
  <w:style w:type="paragraph" w:styleId="54">
    <w:name w:val="List Continue 5"/>
    <w:basedOn w:val="a1"/>
    <w:uiPriority w:val="99"/>
    <w:semiHidden/>
    <w:unhideWhenUsed/>
    <w:locked/>
    <w:rsid w:val="0003148D"/>
    <w:pPr>
      <w:spacing w:after="120"/>
      <w:ind w:left="1415"/>
      <w:contextualSpacing/>
    </w:pPr>
  </w:style>
  <w:style w:type="paragraph" w:styleId="af">
    <w:name w:val="Signature"/>
    <w:basedOn w:val="a1"/>
    <w:link w:val="af0"/>
    <w:uiPriority w:val="99"/>
    <w:semiHidden/>
    <w:unhideWhenUsed/>
    <w:locked/>
    <w:rsid w:val="0003148D"/>
    <w:pPr>
      <w:spacing w:line="240" w:lineRule="auto"/>
      <w:ind w:left="4252"/>
    </w:pPr>
  </w:style>
  <w:style w:type="character" w:customStyle="1" w:styleId="af0">
    <w:name w:val="署名 (文字)"/>
    <w:basedOn w:val="a2"/>
    <w:link w:val="af"/>
    <w:uiPriority w:val="99"/>
    <w:semiHidden/>
    <w:rsid w:val="0003148D"/>
  </w:style>
  <w:style w:type="paragraph" w:styleId="af1">
    <w:name w:val="E-mail Signature"/>
    <w:basedOn w:val="a1"/>
    <w:link w:val="af2"/>
    <w:uiPriority w:val="99"/>
    <w:semiHidden/>
    <w:unhideWhenUsed/>
    <w:locked/>
    <w:rsid w:val="0003148D"/>
    <w:pPr>
      <w:spacing w:line="240" w:lineRule="auto"/>
    </w:pPr>
  </w:style>
  <w:style w:type="character" w:customStyle="1" w:styleId="af2">
    <w:name w:val="電子メール署名 (文字)"/>
    <w:basedOn w:val="a2"/>
    <w:link w:val="af1"/>
    <w:uiPriority w:val="99"/>
    <w:semiHidden/>
    <w:rsid w:val="0003148D"/>
  </w:style>
  <w:style w:type="paragraph" w:styleId="af3">
    <w:name w:val="Salutation"/>
    <w:basedOn w:val="a1"/>
    <w:next w:val="a1"/>
    <w:link w:val="af4"/>
    <w:uiPriority w:val="99"/>
    <w:semiHidden/>
    <w:unhideWhenUsed/>
    <w:locked/>
    <w:rsid w:val="0003148D"/>
  </w:style>
  <w:style w:type="character" w:customStyle="1" w:styleId="af4">
    <w:name w:val="挨拶文 (文字)"/>
    <w:basedOn w:val="a2"/>
    <w:link w:val="af3"/>
    <w:uiPriority w:val="99"/>
    <w:semiHidden/>
    <w:rsid w:val="0003148D"/>
  </w:style>
  <w:style w:type="paragraph" w:styleId="af5">
    <w:name w:val="Closing"/>
    <w:basedOn w:val="a1"/>
    <w:link w:val="af6"/>
    <w:uiPriority w:val="99"/>
    <w:semiHidden/>
    <w:unhideWhenUsed/>
    <w:locked/>
    <w:rsid w:val="0003148D"/>
    <w:pPr>
      <w:spacing w:line="240" w:lineRule="auto"/>
      <w:ind w:left="4252"/>
    </w:pPr>
  </w:style>
  <w:style w:type="character" w:customStyle="1" w:styleId="af6">
    <w:name w:val="結語 (文字)"/>
    <w:basedOn w:val="a2"/>
    <w:link w:val="af5"/>
    <w:uiPriority w:val="99"/>
    <w:semiHidden/>
    <w:rsid w:val="0003148D"/>
  </w:style>
  <w:style w:type="paragraph" w:styleId="12">
    <w:name w:val="index 1"/>
    <w:basedOn w:val="a1"/>
    <w:next w:val="a1"/>
    <w:autoRedefine/>
    <w:uiPriority w:val="99"/>
    <w:semiHidden/>
    <w:unhideWhenUsed/>
    <w:locked/>
    <w:rsid w:val="0003148D"/>
    <w:pPr>
      <w:spacing w:line="240" w:lineRule="auto"/>
      <w:ind w:left="220" w:hanging="220"/>
    </w:pPr>
  </w:style>
  <w:style w:type="paragraph" w:styleId="27">
    <w:name w:val="index 2"/>
    <w:basedOn w:val="a1"/>
    <w:next w:val="a1"/>
    <w:autoRedefine/>
    <w:uiPriority w:val="99"/>
    <w:semiHidden/>
    <w:unhideWhenUsed/>
    <w:locked/>
    <w:rsid w:val="0003148D"/>
    <w:pPr>
      <w:spacing w:line="240" w:lineRule="auto"/>
      <w:ind w:left="440" w:hanging="220"/>
    </w:pPr>
  </w:style>
  <w:style w:type="paragraph" w:styleId="37">
    <w:name w:val="index 3"/>
    <w:basedOn w:val="a1"/>
    <w:next w:val="a1"/>
    <w:autoRedefine/>
    <w:uiPriority w:val="99"/>
    <w:semiHidden/>
    <w:unhideWhenUsed/>
    <w:locked/>
    <w:rsid w:val="0003148D"/>
    <w:pPr>
      <w:spacing w:line="240" w:lineRule="auto"/>
      <w:ind w:left="660" w:hanging="220"/>
    </w:pPr>
  </w:style>
  <w:style w:type="paragraph" w:styleId="45">
    <w:name w:val="index 4"/>
    <w:basedOn w:val="a1"/>
    <w:next w:val="a1"/>
    <w:autoRedefine/>
    <w:uiPriority w:val="99"/>
    <w:semiHidden/>
    <w:unhideWhenUsed/>
    <w:locked/>
    <w:rsid w:val="0003148D"/>
    <w:pPr>
      <w:spacing w:line="240" w:lineRule="auto"/>
      <w:ind w:left="880" w:hanging="220"/>
    </w:pPr>
  </w:style>
  <w:style w:type="paragraph" w:styleId="55">
    <w:name w:val="index 5"/>
    <w:basedOn w:val="a1"/>
    <w:next w:val="a1"/>
    <w:autoRedefine/>
    <w:uiPriority w:val="99"/>
    <w:semiHidden/>
    <w:unhideWhenUsed/>
    <w:locked/>
    <w:rsid w:val="0003148D"/>
    <w:pPr>
      <w:spacing w:line="240" w:lineRule="auto"/>
      <w:ind w:left="1100" w:hanging="220"/>
    </w:pPr>
  </w:style>
  <w:style w:type="paragraph" w:styleId="61">
    <w:name w:val="index 6"/>
    <w:basedOn w:val="a1"/>
    <w:next w:val="a1"/>
    <w:autoRedefine/>
    <w:uiPriority w:val="99"/>
    <w:semiHidden/>
    <w:unhideWhenUsed/>
    <w:locked/>
    <w:rsid w:val="0003148D"/>
    <w:pPr>
      <w:spacing w:line="240" w:lineRule="auto"/>
      <w:ind w:left="1320" w:hanging="220"/>
    </w:pPr>
  </w:style>
  <w:style w:type="paragraph" w:styleId="71">
    <w:name w:val="index 7"/>
    <w:basedOn w:val="a1"/>
    <w:next w:val="a1"/>
    <w:autoRedefine/>
    <w:uiPriority w:val="99"/>
    <w:semiHidden/>
    <w:unhideWhenUsed/>
    <w:locked/>
    <w:rsid w:val="0003148D"/>
    <w:pPr>
      <w:spacing w:line="240" w:lineRule="auto"/>
      <w:ind w:left="1540" w:hanging="220"/>
    </w:pPr>
  </w:style>
  <w:style w:type="paragraph" w:styleId="81">
    <w:name w:val="index 8"/>
    <w:basedOn w:val="a1"/>
    <w:next w:val="a1"/>
    <w:autoRedefine/>
    <w:uiPriority w:val="99"/>
    <w:semiHidden/>
    <w:unhideWhenUsed/>
    <w:locked/>
    <w:rsid w:val="0003148D"/>
    <w:pPr>
      <w:spacing w:line="240" w:lineRule="auto"/>
      <w:ind w:left="1760" w:hanging="220"/>
    </w:pPr>
  </w:style>
  <w:style w:type="paragraph" w:styleId="91">
    <w:name w:val="index 9"/>
    <w:basedOn w:val="a1"/>
    <w:next w:val="a1"/>
    <w:autoRedefine/>
    <w:uiPriority w:val="99"/>
    <w:semiHidden/>
    <w:unhideWhenUsed/>
    <w:locked/>
    <w:rsid w:val="0003148D"/>
    <w:pPr>
      <w:spacing w:line="240" w:lineRule="auto"/>
      <w:ind w:left="1980" w:hanging="220"/>
    </w:pPr>
  </w:style>
  <w:style w:type="paragraph" w:styleId="af7">
    <w:name w:val="table of figures"/>
    <w:basedOn w:val="a1"/>
    <w:next w:val="a1"/>
    <w:uiPriority w:val="99"/>
    <w:semiHidden/>
    <w:unhideWhenUsed/>
    <w:locked/>
    <w:rsid w:val="0003148D"/>
  </w:style>
  <w:style w:type="paragraph" w:styleId="af8">
    <w:name w:val="table of authorities"/>
    <w:basedOn w:val="a1"/>
    <w:next w:val="a1"/>
    <w:uiPriority w:val="99"/>
    <w:semiHidden/>
    <w:unhideWhenUsed/>
    <w:locked/>
    <w:rsid w:val="0003148D"/>
    <w:pPr>
      <w:ind w:left="220" w:hanging="220"/>
    </w:pPr>
  </w:style>
  <w:style w:type="paragraph" w:styleId="af9">
    <w:name w:val="envelope address"/>
    <w:basedOn w:val="a1"/>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0"/>
    <w:uiPriority w:val="99"/>
    <w:semiHidden/>
    <w:unhideWhenUsed/>
    <w:locked/>
    <w:rsid w:val="0003148D"/>
    <w:pPr>
      <w:spacing w:line="240" w:lineRule="auto"/>
    </w:pPr>
    <w:rPr>
      <w:i/>
      <w:iCs/>
    </w:rPr>
  </w:style>
  <w:style w:type="character" w:customStyle="1" w:styleId="HTML0">
    <w:name w:val="HTML アドレス (文字)"/>
    <w:basedOn w:val="a2"/>
    <w:link w:val="HTML"/>
    <w:uiPriority w:val="99"/>
    <w:semiHidden/>
    <w:rsid w:val="0003148D"/>
    <w:rPr>
      <w:i/>
      <w:iCs/>
    </w:rPr>
  </w:style>
  <w:style w:type="paragraph" w:styleId="afa">
    <w:name w:val="envelope return"/>
    <w:basedOn w:val="a1"/>
    <w:uiPriority w:val="99"/>
    <w:semiHidden/>
    <w:unhideWhenUsed/>
    <w:locked/>
    <w:rsid w:val="0003148D"/>
    <w:pPr>
      <w:spacing w:line="240" w:lineRule="auto"/>
    </w:pPr>
    <w:rPr>
      <w:rFonts w:asciiTheme="majorHAnsi" w:eastAsiaTheme="majorEastAsia" w:hAnsiTheme="majorHAnsi" w:cstheme="majorBidi"/>
    </w:rPr>
  </w:style>
  <w:style w:type="paragraph" w:styleId="afb">
    <w:name w:val="Message Header"/>
    <w:basedOn w:val="a1"/>
    <w:link w:val="afc"/>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afc">
    <w:name w:val="メッセージ見出し (文字)"/>
    <w:basedOn w:val="a2"/>
    <w:link w:val="afb"/>
    <w:uiPriority w:val="99"/>
    <w:semiHidden/>
    <w:rsid w:val="0003148D"/>
    <w:rPr>
      <w:rFonts w:asciiTheme="majorHAnsi" w:eastAsiaTheme="majorEastAsia" w:hAnsiTheme="majorHAnsi" w:cstheme="majorBidi"/>
      <w:sz w:val="24"/>
      <w:szCs w:val="24"/>
      <w:shd w:val="pct20" w:color="auto" w:fill="auto"/>
    </w:rPr>
  </w:style>
  <w:style w:type="paragraph" w:styleId="afd">
    <w:name w:val="Note Heading"/>
    <w:basedOn w:val="a1"/>
    <w:next w:val="a1"/>
    <w:link w:val="afe"/>
    <w:uiPriority w:val="99"/>
    <w:semiHidden/>
    <w:unhideWhenUsed/>
    <w:locked/>
    <w:rsid w:val="0003148D"/>
    <w:pPr>
      <w:spacing w:line="240" w:lineRule="auto"/>
    </w:pPr>
  </w:style>
  <w:style w:type="character" w:customStyle="1" w:styleId="afe">
    <w:name w:val="記 (文字)"/>
    <w:basedOn w:val="a2"/>
    <w:link w:val="afd"/>
    <w:uiPriority w:val="99"/>
    <w:semiHidden/>
    <w:rsid w:val="0003148D"/>
  </w:style>
  <w:style w:type="paragraph" w:styleId="aff">
    <w:name w:val="Document Map"/>
    <w:basedOn w:val="a1"/>
    <w:link w:val="aff0"/>
    <w:uiPriority w:val="99"/>
    <w:semiHidden/>
    <w:unhideWhenUsed/>
    <w:locked/>
    <w:rsid w:val="0003148D"/>
    <w:pPr>
      <w:spacing w:line="240" w:lineRule="auto"/>
    </w:pPr>
    <w:rPr>
      <w:rFonts w:ascii="Tahoma" w:hAnsi="Tahoma" w:cs="Tahoma"/>
      <w:sz w:val="16"/>
      <w:szCs w:val="16"/>
    </w:rPr>
  </w:style>
  <w:style w:type="character" w:customStyle="1" w:styleId="aff0">
    <w:name w:val="見出しマップ (文字)"/>
    <w:basedOn w:val="a2"/>
    <w:link w:val="aff"/>
    <w:uiPriority w:val="99"/>
    <w:semiHidden/>
    <w:rsid w:val="0003148D"/>
    <w:rPr>
      <w:rFonts w:ascii="Tahoma" w:hAnsi="Tahoma" w:cs="Tahoma"/>
      <w:sz w:val="16"/>
      <w:szCs w:val="16"/>
    </w:rPr>
  </w:style>
  <w:style w:type="paragraph" w:styleId="Web">
    <w:name w:val="Normal (Web)"/>
    <w:basedOn w:val="a1"/>
    <w:uiPriority w:val="99"/>
    <w:semiHidden/>
    <w:unhideWhenUsed/>
    <w:locked/>
    <w:rsid w:val="0003148D"/>
    <w:rPr>
      <w:sz w:val="24"/>
      <w:szCs w:val="24"/>
    </w:rPr>
  </w:style>
  <w:style w:type="paragraph" w:styleId="a">
    <w:name w:val="List Number"/>
    <w:basedOn w:val="a1"/>
    <w:uiPriority w:val="99"/>
    <w:semiHidden/>
    <w:unhideWhenUsed/>
    <w:locked/>
    <w:rsid w:val="0003148D"/>
    <w:pPr>
      <w:numPr>
        <w:numId w:val="2"/>
      </w:numPr>
      <w:contextualSpacing/>
    </w:pPr>
  </w:style>
  <w:style w:type="paragraph" w:styleId="2">
    <w:name w:val="List Number 2"/>
    <w:basedOn w:val="a1"/>
    <w:uiPriority w:val="99"/>
    <w:semiHidden/>
    <w:unhideWhenUsed/>
    <w:locked/>
    <w:rsid w:val="0003148D"/>
    <w:pPr>
      <w:numPr>
        <w:numId w:val="3"/>
      </w:numPr>
      <w:contextualSpacing/>
    </w:pPr>
  </w:style>
  <w:style w:type="paragraph" w:styleId="3">
    <w:name w:val="List Number 3"/>
    <w:basedOn w:val="a1"/>
    <w:uiPriority w:val="99"/>
    <w:semiHidden/>
    <w:unhideWhenUsed/>
    <w:locked/>
    <w:rsid w:val="0003148D"/>
    <w:pPr>
      <w:numPr>
        <w:numId w:val="4"/>
      </w:numPr>
      <w:contextualSpacing/>
    </w:pPr>
  </w:style>
  <w:style w:type="paragraph" w:styleId="4">
    <w:name w:val="List Number 4"/>
    <w:basedOn w:val="a1"/>
    <w:uiPriority w:val="99"/>
    <w:semiHidden/>
    <w:unhideWhenUsed/>
    <w:locked/>
    <w:rsid w:val="0003148D"/>
    <w:pPr>
      <w:numPr>
        <w:numId w:val="5"/>
      </w:numPr>
      <w:contextualSpacing/>
    </w:pPr>
  </w:style>
  <w:style w:type="paragraph" w:styleId="5">
    <w:name w:val="List Number 5"/>
    <w:basedOn w:val="a1"/>
    <w:uiPriority w:val="99"/>
    <w:semiHidden/>
    <w:unhideWhenUsed/>
    <w:locked/>
    <w:rsid w:val="0003148D"/>
    <w:pPr>
      <w:numPr>
        <w:numId w:val="6"/>
      </w:numPr>
      <w:contextualSpacing/>
    </w:pPr>
  </w:style>
  <w:style w:type="paragraph" w:styleId="HTML1">
    <w:name w:val="HTML Preformatted"/>
    <w:basedOn w:val="a1"/>
    <w:link w:val="HTML2"/>
    <w:uiPriority w:val="99"/>
    <w:semiHidden/>
    <w:unhideWhenUsed/>
    <w:locked/>
    <w:rsid w:val="0003148D"/>
    <w:pPr>
      <w:spacing w:line="240" w:lineRule="auto"/>
    </w:pPr>
    <w:rPr>
      <w:rFonts w:ascii="Consolas" w:hAnsi="Consolas" w:cs="Consolas"/>
    </w:rPr>
  </w:style>
  <w:style w:type="character" w:customStyle="1" w:styleId="HTML2">
    <w:name w:val="HTML 書式付き (文字)"/>
    <w:basedOn w:val="a2"/>
    <w:link w:val="HTML1"/>
    <w:uiPriority w:val="99"/>
    <w:semiHidden/>
    <w:rsid w:val="0003148D"/>
    <w:rPr>
      <w:rFonts w:ascii="Consolas" w:hAnsi="Consolas" w:cs="Consolas"/>
      <w:sz w:val="20"/>
      <w:szCs w:val="20"/>
    </w:rPr>
  </w:style>
  <w:style w:type="paragraph" w:styleId="aff1">
    <w:name w:val="Body Text First Indent"/>
    <w:basedOn w:val="a8"/>
    <w:link w:val="aff2"/>
    <w:uiPriority w:val="99"/>
    <w:semiHidden/>
    <w:unhideWhenUsed/>
    <w:locked/>
    <w:rsid w:val="0003148D"/>
    <w:pPr>
      <w:spacing w:after="200"/>
      <w:ind w:firstLine="360"/>
    </w:pPr>
  </w:style>
  <w:style w:type="character" w:customStyle="1" w:styleId="aff2">
    <w:name w:val="本文字下げ (文字)"/>
    <w:basedOn w:val="a9"/>
    <w:link w:val="aff1"/>
    <w:uiPriority w:val="99"/>
    <w:semiHidden/>
    <w:rsid w:val="0003148D"/>
  </w:style>
  <w:style w:type="paragraph" w:styleId="aff3">
    <w:name w:val="Body Text Indent"/>
    <w:basedOn w:val="a1"/>
    <w:link w:val="aff4"/>
    <w:uiPriority w:val="99"/>
    <w:semiHidden/>
    <w:unhideWhenUsed/>
    <w:locked/>
    <w:rsid w:val="0003148D"/>
    <w:pPr>
      <w:spacing w:after="120"/>
      <w:ind w:left="283"/>
    </w:pPr>
  </w:style>
  <w:style w:type="character" w:customStyle="1" w:styleId="aff4">
    <w:name w:val="本文インデント (文字)"/>
    <w:basedOn w:val="a2"/>
    <w:link w:val="aff3"/>
    <w:uiPriority w:val="99"/>
    <w:semiHidden/>
    <w:rsid w:val="0003148D"/>
  </w:style>
  <w:style w:type="paragraph" w:styleId="28">
    <w:name w:val="Body Text First Indent 2"/>
    <w:basedOn w:val="aff3"/>
    <w:link w:val="29"/>
    <w:uiPriority w:val="99"/>
    <w:semiHidden/>
    <w:unhideWhenUsed/>
    <w:locked/>
    <w:rsid w:val="0003148D"/>
    <w:pPr>
      <w:spacing w:after="200"/>
      <w:ind w:left="360" w:firstLine="360"/>
    </w:pPr>
  </w:style>
  <w:style w:type="character" w:customStyle="1" w:styleId="29">
    <w:name w:val="本文字下げ 2 (文字)"/>
    <w:basedOn w:val="aff4"/>
    <w:link w:val="28"/>
    <w:uiPriority w:val="99"/>
    <w:semiHidden/>
    <w:rsid w:val="0003148D"/>
  </w:style>
  <w:style w:type="paragraph" w:styleId="a0">
    <w:name w:val="List Bullet"/>
    <w:basedOn w:val="a1"/>
    <w:uiPriority w:val="99"/>
    <w:semiHidden/>
    <w:unhideWhenUsed/>
    <w:locked/>
    <w:rsid w:val="0003148D"/>
    <w:pPr>
      <w:numPr>
        <w:numId w:val="7"/>
      </w:numPr>
      <w:contextualSpacing/>
    </w:pPr>
  </w:style>
  <w:style w:type="paragraph" w:styleId="20">
    <w:name w:val="List Bullet 2"/>
    <w:basedOn w:val="a1"/>
    <w:uiPriority w:val="99"/>
    <w:semiHidden/>
    <w:unhideWhenUsed/>
    <w:locked/>
    <w:rsid w:val="0003148D"/>
    <w:pPr>
      <w:numPr>
        <w:numId w:val="8"/>
      </w:numPr>
      <w:contextualSpacing/>
    </w:pPr>
  </w:style>
  <w:style w:type="paragraph" w:styleId="30">
    <w:name w:val="List Bullet 3"/>
    <w:basedOn w:val="a1"/>
    <w:uiPriority w:val="99"/>
    <w:semiHidden/>
    <w:unhideWhenUsed/>
    <w:locked/>
    <w:rsid w:val="0003148D"/>
    <w:pPr>
      <w:numPr>
        <w:numId w:val="9"/>
      </w:numPr>
      <w:contextualSpacing/>
    </w:pPr>
  </w:style>
  <w:style w:type="paragraph" w:styleId="40">
    <w:name w:val="List Bullet 4"/>
    <w:basedOn w:val="a1"/>
    <w:uiPriority w:val="99"/>
    <w:semiHidden/>
    <w:unhideWhenUsed/>
    <w:locked/>
    <w:rsid w:val="0003148D"/>
    <w:pPr>
      <w:numPr>
        <w:numId w:val="10"/>
      </w:numPr>
      <w:contextualSpacing/>
    </w:pPr>
  </w:style>
  <w:style w:type="paragraph" w:styleId="50">
    <w:name w:val="List Bullet 5"/>
    <w:basedOn w:val="a1"/>
    <w:uiPriority w:val="99"/>
    <w:semiHidden/>
    <w:unhideWhenUsed/>
    <w:locked/>
    <w:rsid w:val="0003148D"/>
    <w:pPr>
      <w:numPr>
        <w:numId w:val="11"/>
      </w:numPr>
      <w:contextualSpacing/>
    </w:pPr>
  </w:style>
  <w:style w:type="paragraph" w:styleId="2a">
    <w:name w:val="Body Text Indent 2"/>
    <w:basedOn w:val="a1"/>
    <w:link w:val="2b"/>
    <w:uiPriority w:val="99"/>
    <w:semiHidden/>
    <w:unhideWhenUsed/>
    <w:locked/>
    <w:rsid w:val="0003148D"/>
    <w:pPr>
      <w:spacing w:after="120" w:line="480" w:lineRule="auto"/>
      <w:ind w:left="283"/>
    </w:pPr>
  </w:style>
  <w:style w:type="character" w:customStyle="1" w:styleId="2b">
    <w:name w:val="本文インデント 2 (文字)"/>
    <w:basedOn w:val="a2"/>
    <w:link w:val="2a"/>
    <w:uiPriority w:val="99"/>
    <w:semiHidden/>
    <w:rsid w:val="0003148D"/>
  </w:style>
  <w:style w:type="paragraph" w:styleId="38">
    <w:name w:val="Body Text Indent 3"/>
    <w:basedOn w:val="a1"/>
    <w:link w:val="39"/>
    <w:uiPriority w:val="99"/>
    <w:semiHidden/>
    <w:unhideWhenUsed/>
    <w:locked/>
    <w:rsid w:val="0003148D"/>
    <w:pPr>
      <w:spacing w:after="120"/>
      <w:ind w:left="283"/>
    </w:pPr>
    <w:rPr>
      <w:sz w:val="16"/>
      <w:szCs w:val="16"/>
    </w:rPr>
  </w:style>
  <w:style w:type="character" w:customStyle="1" w:styleId="39">
    <w:name w:val="本文インデント 3 (文字)"/>
    <w:basedOn w:val="a2"/>
    <w:link w:val="38"/>
    <w:uiPriority w:val="99"/>
    <w:semiHidden/>
    <w:rsid w:val="0003148D"/>
    <w:rPr>
      <w:sz w:val="16"/>
      <w:szCs w:val="16"/>
    </w:rPr>
  </w:style>
  <w:style w:type="paragraph" w:styleId="aff5">
    <w:name w:val="Normal Indent"/>
    <w:basedOn w:val="a1"/>
    <w:uiPriority w:val="99"/>
    <w:semiHidden/>
    <w:unhideWhenUsed/>
    <w:locked/>
    <w:rsid w:val="0003148D"/>
    <w:pPr>
      <w:ind w:left="720"/>
    </w:pPr>
  </w:style>
  <w:style w:type="paragraph" w:styleId="aff6">
    <w:name w:val="annotation text"/>
    <w:basedOn w:val="a1"/>
    <w:link w:val="aff7"/>
    <w:uiPriority w:val="99"/>
    <w:semiHidden/>
    <w:unhideWhenUsed/>
    <w:locked/>
    <w:rsid w:val="0003148D"/>
    <w:pPr>
      <w:spacing w:line="240" w:lineRule="auto"/>
    </w:pPr>
  </w:style>
  <w:style w:type="character" w:customStyle="1" w:styleId="aff7">
    <w:name w:val="コメント文字列 (文字)"/>
    <w:basedOn w:val="a2"/>
    <w:link w:val="aff6"/>
    <w:uiPriority w:val="99"/>
    <w:semiHidden/>
    <w:rsid w:val="0003148D"/>
    <w:rPr>
      <w:sz w:val="20"/>
      <w:szCs w:val="20"/>
    </w:rPr>
  </w:style>
  <w:style w:type="paragraph" w:styleId="aff8">
    <w:name w:val="annotation subject"/>
    <w:basedOn w:val="aff6"/>
    <w:next w:val="aff6"/>
    <w:link w:val="aff9"/>
    <w:uiPriority w:val="99"/>
    <w:semiHidden/>
    <w:unhideWhenUsed/>
    <w:locked/>
    <w:rsid w:val="0003148D"/>
    <w:rPr>
      <w:b/>
      <w:bCs/>
    </w:rPr>
  </w:style>
  <w:style w:type="character" w:customStyle="1" w:styleId="aff9">
    <w:name w:val="コメント内容 (文字)"/>
    <w:basedOn w:val="aff7"/>
    <w:link w:val="aff8"/>
    <w:uiPriority w:val="99"/>
    <w:semiHidden/>
    <w:rsid w:val="0003148D"/>
    <w:rPr>
      <w:b/>
      <w:bCs/>
      <w:sz w:val="20"/>
      <w:szCs w:val="20"/>
    </w:rPr>
  </w:style>
  <w:style w:type="paragraph" w:styleId="13">
    <w:name w:val="toc 1"/>
    <w:basedOn w:val="a1"/>
    <w:next w:val="a1"/>
    <w:autoRedefine/>
    <w:uiPriority w:val="39"/>
    <w:semiHidden/>
    <w:unhideWhenUsed/>
    <w:locked/>
    <w:rsid w:val="0003148D"/>
    <w:pPr>
      <w:spacing w:after="100"/>
    </w:pPr>
  </w:style>
  <w:style w:type="paragraph" w:styleId="2c">
    <w:name w:val="toc 2"/>
    <w:basedOn w:val="a1"/>
    <w:next w:val="a1"/>
    <w:autoRedefine/>
    <w:uiPriority w:val="39"/>
    <w:semiHidden/>
    <w:unhideWhenUsed/>
    <w:locked/>
    <w:rsid w:val="0003148D"/>
    <w:pPr>
      <w:spacing w:after="100"/>
      <w:ind w:left="220"/>
    </w:pPr>
  </w:style>
  <w:style w:type="paragraph" w:styleId="3a">
    <w:name w:val="toc 3"/>
    <w:basedOn w:val="a1"/>
    <w:next w:val="a1"/>
    <w:autoRedefine/>
    <w:uiPriority w:val="39"/>
    <w:semiHidden/>
    <w:unhideWhenUsed/>
    <w:locked/>
    <w:rsid w:val="0003148D"/>
    <w:pPr>
      <w:spacing w:after="100"/>
      <w:ind w:left="440"/>
    </w:pPr>
  </w:style>
  <w:style w:type="paragraph" w:styleId="46">
    <w:name w:val="toc 4"/>
    <w:basedOn w:val="a1"/>
    <w:next w:val="a1"/>
    <w:autoRedefine/>
    <w:uiPriority w:val="39"/>
    <w:semiHidden/>
    <w:unhideWhenUsed/>
    <w:locked/>
    <w:rsid w:val="0003148D"/>
    <w:pPr>
      <w:spacing w:after="100"/>
      <w:ind w:left="660"/>
    </w:pPr>
  </w:style>
  <w:style w:type="paragraph" w:styleId="56">
    <w:name w:val="toc 5"/>
    <w:basedOn w:val="a1"/>
    <w:next w:val="a1"/>
    <w:autoRedefine/>
    <w:uiPriority w:val="39"/>
    <w:semiHidden/>
    <w:unhideWhenUsed/>
    <w:locked/>
    <w:rsid w:val="0003148D"/>
    <w:pPr>
      <w:spacing w:after="100"/>
      <w:ind w:left="880"/>
    </w:pPr>
  </w:style>
  <w:style w:type="paragraph" w:styleId="62">
    <w:name w:val="toc 6"/>
    <w:basedOn w:val="a1"/>
    <w:next w:val="a1"/>
    <w:autoRedefine/>
    <w:uiPriority w:val="39"/>
    <w:semiHidden/>
    <w:unhideWhenUsed/>
    <w:locked/>
    <w:rsid w:val="0003148D"/>
    <w:pPr>
      <w:spacing w:after="100"/>
      <w:ind w:left="1100"/>
    </w:pPr>
  </w:style>
  <w:style w:type="paragraph" w:styleId="72">
    <w:name w:val="toc 7"/>
    <w:basedOn w:val="a1"/>
    <w:next w:val="a1"/>
    <w:autoRedefine/>
    <w:uiPriority w:val="39"/>
    <w:semiHidden/>
    <w:unhideWhenUsed/>
    <w:locked/>
    <w:rsid w:val="0003148D"/>
    <w:pPr>
      <w:spacing w:after="100"/>
      <w:ind w:left="1320"/>
    </w:pPr>
  </w:style>
  <w:style w:type="paragraph" w:styleId="82">
    <w:name w:val="toc 8"/>
    <w:basedOn w:val="a1"/>
    <w:next w:val="a1"/>
    <w:autoRedefine/>
    <w:uiPriority w:val="39"/>
    <w:semiHidden/>
    <w:unhideWhenUsed/>
    <w:locked/>
    <w:rsid w:val="0003148D"/>
    <w:pPr>
      <w:spacing w:after="100"/>
      <w:ind w:left="1540"/>
    </w:pPr>
  </w:style>
  <w:style w:type="paragraph" w:styleId="92">
    <w:name w:val="toc 9"/>
    <w:basedOn w:val="a1"/>
    <w:next w:val="a1"/>
    <w:autoRedefine/>
    <w:uiPriority w:val="39"/>
    <w:semiHidden/>
    <w:unhideWhenUsed/>
    <w:locked/>
    <w:rsid w:val="0003148D"/>
    <w:pPr>
      <w:spacing w:after="100"/>
      <w:ind w:left="1760"/>
    </w:pPr>
  </w:style>
  <w:style w:type="paragraph" w:styleId="affa">
    <w:name w:val="Block Text"/>
    <w:basedOn w:val="a1"/>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fb">
    <w:name w:val="macro"/>
    <w:link w:val="affc"/>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affc">
    <w:name w:val="マクロ文字列 (文字)"/>
    <w:basedOn w:val="a2"/>
    <w:link w:val="affb"/>
    <w:uiPriority w:val="99"/>
    <w:semiHidden/>
    <w:rsid w:val="0003148D"/>
    <w:rPr>
      <w:rFonts w:ascii="Consolas" w:hAnsi="Consolas" w:cs="Consolas"/>
      <w:sz w:val="20"/>
      <w:szCs w:val="20"/>
    </w:rPr>
  </w:style>
  <w:style w:type="paragraph" w:styleId="affd">
    <w:name w:val="Plain Text"/>
    <w:basedOn w:val="a1"/>
    <w:link w:val="affe"/>
    <w:uiPriority w:val="99"/>
    <w:semiHidden/>
    <w:unhideWhenUsed/>
    <w:locked/>
    <w:rsid w:val="0003148D"/>
    <w:pPr>
      <w:spacing w:line="240" w:lineRule="auto"/>
    </w:pPr>
    <w:rPr>
      <w:rFonts w:ascii="Consolas" w:hAnsi="Consolas" w:cs="Consolas"/>
      <w:sz w:val="21"/>
      <w:szCs w:val="21"/>
    </w:rPr>
  </w:style>
  <w:style w:type="character" w:customStyle="1" w:styleId="affe">
    <w:name w:val="書式なし (文字)"/>
    <w:basedOn w:val="a2"/>
    <w:link w:val="affd"/>
    <w:uiPriority w:val="99"/>
    <w:semiHidden/>
    <w:rsid w:val="0003148D"/>
    <w:rPr>
      <w:rFonts w:ascii="Consolas" w:hAnsi="Consolas" w:cs="Consolas"/>
      <w:sz w:val="21"/>
      <w:szCs w:val="21"/>
    </w:rPr>
  </w:style>
  <w:style w:type="paragraph" w:styleId="afff">
    <w:name w:val="footnote text"/>
    <w:basedOn w:val="a1"/>
    <w:link w:val="afff0"/>
    <w:uiPriority w:val="99"/>
    <w:semiHidden/>
    <w:unhideWhenUsed/>
    <w:locked/>
    <w:rsid w:val="0003148D"/>
    <w:pPr>
      <w:spacing w:line="240" w:lineRule="auto"/>
    </w:pPr>
  </w:style>
  <w:style w:type="character" w:customStyle="1" w:styleId="afff0">
    <w:name w:val="脚注文字列 (文字)"/>
    <w:basedOn w:val="a2"/>
    <w:link w:val="afff"/>
    <w:uiPriority w:val="99"/>
    <w:semiHidden/>
    <w:rsid w:val="0003148D"/>
    <w:rPr>
      <w:sz w:val="20"/>
      <w:szCs w:val="20"/>
    </w:rPr>
  </w:style>
  <w:style w:type="paragraph" w:styleId="afff1">
    <w:name w:val="endnote text"/>
    <w:basedOn w:val="a1"/>
    <w:link w:val="afff2"/>
    <w:uiPriority w:val="99"/>
    <w:semiHidden/>
    <w:unhideWhenUsed/>
    <w:locked/>
    <w:rsid w:val="0003148D"/>
    <w:pPr>
      <w:spacing w:line="240" w:lineRule="auto"/>
    </w:pPr>
  </w:style>
  <w:style w:type="character" w:customStyle="1" w:styleId="afff2">
    <w:name w:val="文末脚注文字列 (文字)"/>
    <w:basedOn w:val="a2"/>
    <w:link w:val="afff1"/>
    <w:uiPriority w:val="99"/>
    <w:semiHidden/>
    <w:rsid w:val="0003148D"/>
    <w:rPr>
      <w:sz w:val="20"/>
      <w:szCs w:val="20"/>
    </w:rPr>
  </w:style>
  <w:style w:type="character" w:customStyle="1" w:styleId="11">
    <w:name w:val="見出し 1 (文字)"/>
    <w:basedOn w:val="a2"/>
    <w:link w:val="10"/>
    <w:uiPriority w:val="9"/>
    <w:rsid w:val="004F5E36"/>
    <w:rPr>
      <w:rFonts w:ascii="Arial" w:eastAsia="Times New Roman" w:hAnsi="Arial" w:cs="Times New Roman"/>
      <w:b/>
      <w:sz w:val="20"/>
      <w:szCs w:val="20"/>
      <w:lang w:val="en-GB"/>
    </w:rPr>
  </w:style>
  <w:style w:type="character" w:customStyle="1" w:styleId="22">
    <w:name w:val="見出し 2 (文字)"/>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2">
    <w:name w:val="見出し 4 (文字)"/>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2">
    <w:name w:val="見出し 5 (文字)"/>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0">
    <w:name w:val="見出し 9 (文字)"/>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f3">
    <w:name w:val="index heading"/>
    <w:basedOn w:val="a1"/>
    <w:next w:val="12"/>
    <w:uiPriority w:val="99"/>
    <w:semiHidden/>
    <w:unhideWhenUsed/>
    <w:locked/>
    <w:rsid w:val="0003148D"/>
    <w:rPr>
      <w:rFonts w:asciiTheme="majorHAnsi" w:eastAsiaTheme="majorEastAsia" w:hAnsiTheme="majorHAnsi" w:cstheme="majorBidi"/>
      <w:b/>
      <w:bCs/>
    </w:rPr>
  </w:style>
  <w:style w:type="paragraph" w:styleId="afff4">
    <w:name w:val="toa heading"/>
    <w:basedOn w:val="a1"/>
    <w:next w:val="a1"/>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afff5">
    <w:name w:val="TOC Heading"/>
    <w:basedOn w:val="10"/>
    <w:next w:val="a1"/>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afff6">
    <w:name w:val="header"/>
    <w:basedOn w:val="a1"/>
    <w:link w:val="afff7"/>
    <w:uiPriority w:val="99"/>
    <w:unhideWhenUsed/>
    <w:locked/>
    <w:rsid w:val="005278B7"/>
    <w:pPr>
      <w:tabs>
        <w:tab w:val="clear" w:pos="7100"/>
        <w:tab w:val="center" w:pos="4819"/>
        <w:tab w:val="right" w:pos="9638"/>
      </w:tabs>
      <w:spacing w:line="240" w:lineRule="auto"/>
    </w:pPr>
  </w:style>
  <w:style w:type="character" w:customStyle="1" w:styleId="afff7">
    <w:name w:val="ヘッダー (文字)"/>
    <w:basedOn w:val="a2"/>
    <w:link w:val="afff6"/>
    <w:uiPriority w:val="99"/>
    <w:rsid w:val="005278B7"/>
    <w:rPr>
      <w:rFonts w:ascii="Arial" w:eastAsia="Times New Roman" w:hAnsi="Arial" w:cs="Times New Roman"/>
      <w:sz w:val="18"/>
      <w:szCs w:val="20"/>
      <w:lang w:val="en-GB"/>
    </w:rPr>
  </w:style>
  <w:style w:type="paragraph" w:styleId="afff8">
    <w:name w:val="footer"/>
    <w:basedOn w:val="a1"/>
    <w:link w:val="afff9"/>
    <w:uiPriority w:val="99"/>
    <w:unhideWhenUsed/>
    <w:locked/>
    <w:rsid w:val="005278B7"/>
    <w:pPr>
      <w:tabs>
        <w:tab w:val="clear" w:pos="7100"/>
        <w:tab w:val="center" w:pos="4819"/>
        <w:tab w:val="right" w:pos="9638"/>
      </w:tabs>
      <w:spacing w:line="240" w:lineRule="auto"/>
    </w:pPr>
  </w:style>
  <w:style w:type="character" w:customStyle="1" w:styleId="afff9">
    <w:name w:val="フッター (文字)"/>
    <w:basedOn w:val="a2"/>
    <w:link w:val="afff8"/>
    <w:uiPriority w:val="99"/>
    <w:rsid w:val="005278B7"/>
    <w:rPr>
      <w:rFonts w:ascii="Arial" w:eastAsia="Times New Roman" w:hAnsi="Arial" w:cs="Times New Roman"/>
      <w:sz w:val="18"/>
      <w:szCs w:val="20"/>
      <w:lang w:val="en-GB"/>
    </w:rPr>
  </w:style>
  <w:style w:type="table" w:styleId="afffa">
    <w:name w:val="Table Grid"/>
    <w:basedOn w:val="a3"/>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a1"/>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a1"/>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a1"/>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9B1CE-E052-45E8-8C2E-75D77CB55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615</Words>
  <Characters>3506</Characters>
  <Application>Microsoft Office Word</Application>
  <DocSecurity>0</DocSecurity>
  <Lines>29</Lines>
  <Paragraphs>8</Paragraphs>
  <ScaleCrop>false</ScaleCrop>
  <HeadingPairs>
    <vt:vector size="4" baseType="variant">
      <vt:variant>
        <vt:lpstr>タイトル</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中山 良一</cp:lastModifiedBy>
  <cp:revision>4</cp:revision>
  <cp:lastPrinted>2015-05-12T18:31:00Z</cp:lastPrinted>
  <dcterms:created xsi:type="dcterms:W3CDTF">2019-06-05T12:15:00Z</dcterms:created>
  <dcterms:modified xsi:type="dcterms:W3CDTF">2019-06-05T13:01:00Z</dcterms:modified>
</cp:coreProperties>
</file>