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2490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Influence of artificial biological aging on p</w:t>
      </w:r>
      <w:r w:rsidR="00040967">
        <w:rPr>
          <w:rFonts w:asciiTheme="minorHAnsi" w:eastAsia="MS PGothic" w:hAnsiTheme="minorHAnsi"/>
          <w:b/>
          <w:bCs/>
          <w:sz w:val="28"/>
          <w:szCs w:val="28"/>
          <w:lang w:val="en-US"/>
        </w:rPr>
        <w:t>hysicochemical, biological and</w:t>
      </w:r>
      <w:r w:rsidR="00911B6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ecotoxicological </w:t>
      </w:r>
      <w:r w:rsidR="00D918F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properties of </w:t>
      </w:r>
      <w:r w:rsidR="00377038">
        <w:rPr>
          <w:rFonts w:asciiTheme="minorHAnsi" w:eastAsia="MS PGothic" w:hAnsiTheme="minorHAnsi"/>
          <w:b/>
          <w:bCs/>
          <w:sz w:val="28"/>
          <w:szCs w:val="28"/>
          <w:lang w:val="en-US"/>
        </w:rPr>
        <w:t>five biochar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3770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918F9">
        <w:rPr>
          <w:rFonts w:asciiTheme="minorHAnsi" w:eastAsia="MS PGothic" w:hAnsiTheme="minorHAnsi"/>
          <w:b/>
          <w:bCs/>
          <w:sz w:val="28"/>
          <w:szCs w:val="28"/>
          <w:lang w:val="en-US"/>
        </w:rPr>
        <w:t>- a</w:t>
      </w:r>
      <w:r w:rsidR="00911B6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0847C6">
        <w:rPr>
          <w:rFonts w:asciiTheme="minorHAnsi" w:eastAsia="MS PGothic" w:hAnsiTheme="minorHAnsi"/>
          <w:b/>
          <w:bCs/>
          <w:sz w:val="28"/>
          <w:szCs w:val="28"/>
          <w:lang w:val="en-US"/>
        </w:rPr>
        <w:t>laboratory incubation study</w:t>
      </w:r>
    </w:p>
    <w:p w:rsidR="00DE0019" w:rsidRPr="00DE0019" w:rsidRDefault="00D918F9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918F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Mónika Molnár</w:t>
      </w:r>
      <w:r w:rsidR="00704BDF" w:rsidRPr="00D918F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121FE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Márta Kőszegi</w:t>
      </w:r>
      <w:r w:rsidR="000847C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 xml:space="preserve">1, </w:t>
      </w:r>
      <w:r w:rsidRPr="00D918F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Emese Vaszita</w:t>
      </w:r>
      <w:r>
        <w:rPr>
          <w:rFonts w:eastAsia="SimSun"/>
          <w:color w:val="000000"/>
          <w:vertAlign w:val="superscript"/>
          <w:lang w:val="en-US" w:eastAsia="zh-CN"/>
        </w:rPr>
        <w:t>1</w:t>
      </w:r>
      <w:r w:rsidR="000847C6">
        <w:rPr>
          <w:rFonts w:eastAsia="SimSun"/>
          <w:color w:val="000000"/>
          <w:lang w:val="en-US" w:eastAsia="zh-CN"/>
        </w:rPr>
        <w:t xml:space="preserve">, </w:t>
      </w:r>
      <w:r w:rsidR="0098057B" w:rsidRPr="0098057B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Katalin Gruiz</w:t>
      </w:r>
      <w:r w:rsidR="0098057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98057B" w:rsidRPr="0098057B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</w:t>
      </w:r>
      <w:r w:rsidR="0098057B">
        <w:rPr>
          <w:rFonts w:eastAsia="SimSun"/>
          <w:color w:val="000000"/>
          <w:lang w:val="en-US" w:eastAsia="zh-CN"/>
        </w:rPr>
        <w:t xml:space="preserve"> </w:t>
      </w:r>
      <w:r w:rsidR="0098057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Éva Farkas</w:t>
      </w:r>
      <w:r w:rsidR="0098057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121FE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Budapest University of Technology and Economics, Department of Applied Biotechnology and Food Science, </w:t>
      </w:r>
      <w:r w:rsidR="005524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H-</w:t>
      </w:r>
      <w:r w:rsidR="00121FE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1111 Budapest, Műegyetem rkp. 3</w:t>
      </w:r>
      <w:r w:rsidR="005524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121FE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224902" w:rsidRPr="009B1C4C">
          <w:rPr>
            <w:rStyle w:val="Hiperhivatkozs"/>
            <w:rFonts w:asciiTheme="minorHAnsi" w:eastAsia="MS PGothic" w:hAnsiTheme="minorHAnsi"/>
            <w:bCs/>
            <w:i/>
            <w:iCs/>
            <w:sz w:val="20"/>
            <w:lang w:val="en-US"/>
          </w:rPr>
          <w:t>mmolnar@mail.bme.hu</w:t>
        </w:r>
      </w:hyperlink>
      <w:r w:rsidR="0022490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FF5117" w:rsidRDefault="00740B7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biochar possessed increased microbial activity after </w:t>
      </w:r>
      <w:r w:rsidR="009817E8">
        <w:rPr>
          <w:rFonts w:asciiTheme="minorHAnsi" w:hAnsiTheme="minorHAnsi"/>
        </w:rPr>
        <w:t>aging</w:t>
      </w:r>
    </w:p>
    <w:p w:rsidR="00A2264E" w:rsidRDefault="00A2264E" w:rsidP="00A2264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Increased </w:t>
      </w:r>
      <w:r w:rsidRPr="00A2264E">
        <w:rPr>
          <w:rFonts w:asciiTheme="minorHAnsi" w:hAnsiTheme="minorHAnsi"/>
        </w:rPr>
        <w:t xml:space="preserve">biological activity was associated with </w:t>
      </w:r>
      <w:r>
        <w:rPr>
          <w:rFonts w:asciiTheme="minorHAnsi" w:hAnsiTheme="minorHAnsi"/>
        </w:rPr>
        <w:t xml:space="preserve">decreased </w:t>
      </w:r>
      <w:r w:rsidR="007C79DD">
        <w:rPr>
          <w:rFonts w:asciiTheme="minorHAnsi" w:hAnsiTheme="minorHAnsi"/>
        </w:rPr>
        <w:t>available nutrients</w:t>
      </w:r>
      <w:bookmarkStart w:id="0" w:name="_GoBack"/>
      <w:bookmarkEnd w:id="0"/>
    </w:p>
    <w:p w:rsidR="004508CA" w:rsidRDefault="004508CA" w:rsidP="00A2264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Initial </w:t>
      </w:r>
      <w:r w:rsidR="008618D2">
        <w:rPr>
          <w:rFonts w:asciiTheme="minorHAnsi" w:hAnsiTheme="minorHAnsi"/>
        </w:rPr>
        <w:t xml:space="preserve">specific surface area </w:t>
      </w:r>
      <w:r>
        <w:rPr>
          <w:rFonts w:asciiTheme="minorHAnsi" w:hAnsiTheme="minorHAnsi"/>
        </w:rPr>
        <w:t xml:space="preserve">highly affected the </w:t>
      </w:r>
      <w:r w:rsidR="009817E8">
        <w:rPr>
          <w:rFonts w:asciiTheme="minorHAnsi" w:hAnsiTheme="minorHAnsi"/>
        </w:rPr>
        <w:t>aging</w:t>
      </w:r>
      <w:r>
        <w:rPr>
          <w:rFonts w:asciiTheme="minorHAnsi" w:hAnsiTheme="minorHAnsi"/>
        </w:rPr>
        <w:t>-mediated changes</w:t>
      </w:r>
    </w:p>
    <w:p w:rsidR="00704BDF" w:rsidRPr="00C0482B" w:rsidRDefault="00704BDF" w:rsidP="00B04AC8">
      <w:pPr>
        <w:snapToGrid w:val="0"/>
        <w:spacing w:after="120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573BF1" w:rsidRPr="00573BF1" w:rsidRDefault="00325428" w:rsidP="00224902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2542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Biochar</w:t>
      </w:r>
      <w:r w:rsidR="00B04A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(BC)</w:t>
      </w:r>
      <w:r w:rsidRPr="003254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Pr="003254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2542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solid by-product</w:t>
      </w:r>
      <w:r w:rsidR="000C2F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biomass</w:t>
      </w:r>
      <w:r w:rsidR="000C2FCE" w:rsidRPr="000C2F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2FCE" w:rsidRPr="00417D22">
        <w:rPr>
          <w:rFonts w:asciiTheme="minorHAnsi" w:eastAsia="MS PGothic" w:hAnsiTheme="minorHAnsi"/>
          <w:color w:val="000000"/>
          <w:sz w:val="22"/>
          <w:szCs w:val="22"/>
        </w:rPr>
        <w:t>combustion under oxygen</w:t>
      </w:r>
      <w:r w:rsidR="000C2FCE" w:rsidRPr="000C2F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limited </w:t>
      </w:r>
      <w:r w:rsidR="00CE0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conditions, known as </w:t>
      </w:r>
      <w:r w:rsidR="00A22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pyrolysis</w:t>
      </w:r>
      <w:r w:rsidR="000C2F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502D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EF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>1]</w:t>
      </w:r>
      <w:r w:rsidR="0041351A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17D22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1351A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D5596F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iochar</w:t>
      </w:r>
      <w:r w:rsidR="00417D22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proved to </w:t>
      </w:r>
      <w:r w:rsidR="00573BF1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useful </w:t>
      </w:r>
      <w:r w:rsidR="00E32D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soil amendment </w:t>
      </w:r>
      <w:r w:rsidR="00AF753C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E32D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E055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considered effective in</w:t>
      </w:r>
      <w:r w:rsidR="00E32D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carbon sequestration and reduction of agricultural greenhouse gas emissions</w:t>
      </w:r>
      <w:r w:rsidR="00EF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753C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B660D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1,2</w:t>
      </w:r>
      <w:r w:rsidR="00AF753C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32D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contaminant and heavy metal removal, and </w:t>
      </w:r>
      <w:r w:rsidR="00CE055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other </w:t>
      </w:r>
      <w:r w:rsidR="00E32D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applications</w:t>
      </w:r>
      <w:r w:rsidR="00ED4A23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[1,2</w:t>
      </w:r>
      <w:r w:rsidR="00AF753C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32D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1351A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</w:t>
      </w:r>
      <w:r w:rsidR="00CE055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iochar</w:t>
      </w:r>
      <w:r w:rsidR="00FC66DE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 as soil amendment</w:t>
      </w:r>
      <w:r w:rsidR="00CE055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66DE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do not only depend on soil properties</w:t>
      </w:r>
      <w:r w:rsidR="00F37C71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F2A90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biochar production conditions, </w:t>
      </w:r>
      <w:r w:rsidR="00FC66DE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but also on</w:t>
      </w:r>
      <w:r w:rsidR="00573BF1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186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E09F8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variety of temporal </w:t>
      </w:r>
      <w:r w:rsidR="00D7186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 in the environment, called</w:t>
      </w:r>
      <w:r w:rsidR="002555AF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186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“aging”, including abiotic and biotic redox reactions, </w:t>
      </w:r>
      <w:r w:rsidR="00EF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interactions with microbes, organic matter</w:t>
      </w:r>
      <w:r w:rsidR="00D7186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minerals and solutes in the soil </w:t>
      </w:r>
      <w:r w:rsidR="000E0D26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 [</w:t>
      </w:r>
      <w:r w:rsidR="000B660D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E0D26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D7186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BF1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Progressive aging alters biochar quantity and quality</w:t>
      </w:r>
      <w:r w:rsidR="0066755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0B660D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66755B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573BF1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F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BF1" w:rsidRPr="0028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573BF1" w:rsidRP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paper evaluates the effect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73BF1" w:rsidRP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simulated conditions of artificial 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biological </w:t>
      </w:r>
      <w:r w:rsidR="00573BF1" w:rsidRP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>aging on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573BF1" w:rsidRP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physicochemical, biological, ecotoxicological properties of </w:t>
      </w:r>
      <w:r w:rsidR="00FC66DE">
        <w:rPr>
          <w:rFonts w:asciiTheme="minorHAnsi" w:eastAsia="MS PGothic" w:hAnsiTheme="minorHAnsi"/>
          <w:color w:val="000000"/>
          <w:sz w:val="22"/>
          <w:szCs w:val="22"/>
          <w:lang w:val="en-US"/>
        </w:rPr>
        <w:t>five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09F8" w:rsidRP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biochar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BF1" w:rsidRP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types 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 the</w:t>
      </w:r>
      <w:r w:rsidR="00D7186B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6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properties </w:t>
      </w:r>
      <w:r w:rsidR="00417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before aging</w:t>
      </w:r>
      <w:r w:rsidR="00573BF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5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aim is to support</w:t>
      </w:r>
      <w:r w:rsidR="00FC6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efficient long-term utilization of biochar in soil </w:t>
      </w:r>
      <w:r w:rsidR="00F37C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focusing also on the potential environmental risks 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posed </w:t>
      </w:r>
      <w:r w:rsidR="00F37C7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soil biota.</w:t>
      </w:r>
    </w:p>
    <w:p w:rsidR="00325428" w:rsidRPr="000C2FCE" w:rsidRDefault="00325428" w:rsidP="000C2FCE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C17F58" w:rsidRDefault="00D15FE0" w:rsidP="00224902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D15FE0">
        <w:rPr>
          <w:rFonts w:asciiTheme="minorHAnsi" w:eastAsia="MS PGothic" w:hAnsiTheme="minorHAnsi"/>
          <w:color w:val="000000"/>
          <w:sz w:val="22"/>
          <w:szCs w:val="22"/>
        </w:rPr>
        <w:t>Triplicate samples of five biochar</w:t>
      </w:r>
      <w:r w:rsidR="00917BD8">
        <w:rPr>
          <w:rFonts w:asciiTheme="minorHAnsi" w:eastAsia="MS PGothic" w:hAnsiTheme="minorHAnsi"/>
          <w:color w:val="000000"/>
          <w:sz w:val="22"/>
          <w:szCs w:val="22"/>
        </w:rPr>
        <w:t xml:space="preserve"> (BC)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types</w:t>
      </w:r>
      <w:r w:rsidR="00CE09F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>were “aged” by placing samples in 750</w:t>
      </w:r>
      <w:r w:rsidR="00CD701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mL glass containers </w:t>
      </w:r>
      <w:r w:rsidR="00CE09F8">
        <w:rPr>
          <w:rFonts w:asciiTheme="minorHAnsi" w:eastAsia="MS PGothic" w:hAnsiTheme="minorHAnsi"/>
          <w:color w:val="000000"/>
          <w:sz w:val="22"/>
          <w:szCs w:val="22"/>
        </w:rPr>
        <w:t xml:space="preserve">so that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three </w:t>
      </w:r>
      <w:r w:rsidR="00CE09F8">
        <w:rPr>
          <w:rFonts w:asciiTheme="minorHAnsi" w:eastAsia="MS PGothic" w:hAnsiTheme="minorHAnsi"/>
          <w:color w:val="000000"/>
          <w:sz w:val="22"/>
          <w:szCs w:val="22"/>
        </w:rPr>
        <w:t>calcareous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sandy soil layers alternated with </w:t>
      </w:r>
      <w:r w:rsidR="00CE09F8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biochar layers. </w:t>
      </w:r>
      <w:r w:rsidR="000D31CE">
        <w:rPr>
          <w:rFonts w:asciiTheme="minorHAnsi" w:eastAsia="MS PGothic" w:hAnsiTheme="minorHAnsi"/>
          <w:color w:val="000000"/>
          <w:sz w:val="22"/>
          <w:szCs w:val="22"/>
        </w:rPr>
        <w:t xml:space="preserve">The biochar types were the following: grain husk and paper </w:t>
      </w:r>
      <w:r w:rsidR="00224902">
        <w:rPr>
          <w:rFonts w:asciiTheme="minorHAnsi" w:eastAsia="MS PGothic" w:hAnsiTheme="minorHAnsi"/>
          <w:color w:val="000000"/>
          <w:sz w:val="22"/>
          <w:szCs w:val="22"/>
        </w:rPr>
        <w:t>fibre</w:t>
      </w:r>
      <w:r w:rsidR="00CD7014">
        <w:rPr>
          <w:rFonts w:asciiTheme="minorHAnsi" w:eastAsia="MS PGothic" w:hAnsiTheme="minorHAnsi"/>
          <w:color w:val="000000"/>
          <w:sz w:val="22"/>
          <w:szCs w:val="22"/>
        </w:rPr>
        <w:t xml:space="preserve"> sludge BC (A1), w</w:t>
      </w:r>
      <w:r w:rsidR="000D31CE">
        <w:rPr>
          <w:rFonts w:asciiTheme="minorHAnsi" w:eastAsia="MS PGothic" w:hAnsiTheme="minorHAnsi"/>
          <w:color w:val="000000"/>
          <w:sz w:val="22"/>
          <w:szCs w:val="22"/>
        </w:rPr>
        <w:t xml:space="preserve">ood screenings BC (B1), </w:t>
      </w:r>
      <w:r w:rsidR="00CD7014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24460D">
        <w:rPr>
          <w:rFonts w:asciiTheme="minorHAnsi" w:eastAsia="MS PGothic" w:hAnsiTheme="minorHAnsi"/>
          <w:color w:val="000000"/>
          <w:sz w:val="22"/>
          <w:szCs w:val="22"/>
        </w:rPr>
        <w:t xml:space="preserve">oodchips BC (F1), </w:t>
      </w:r>
      <w:r w:rsidR="00CD7014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0D31CE">
        <w:rPr>
          <w:rFonts w:asciiTheme="minorHAnsi" w:eastAsia="MS PGothic" w:hAnsiTheme="minorHAnsi"/>
          <w:color w:val="000000"/>
          <w:sz w:val="22"/>
          <w:szCs w:val="22"/>
        </w:rPr>
        <w:t>erbal pomace BC (H1)</w:t>
      </w:r>
      <w:r w:rsidR="0024460D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24460D" w:rsidRPr="0024460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D7014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="0024460D" w:rsidRPr="00224902">
        <w:rPr>
          <w:rFonts w:asciiTheme="minorHAnsi" w:eastAsia="MS PGothic" w:hAnsiTheme="minorHAnsi"/>
          <w:color w:val="000000"/>
          <w:sz w:val="22"/>
          <w:szCs w:val="22"/>
        </w:rPr>
        <w:t xml:space="preserve">iscanthus </w:t>
      </w:r>
      <w:r w:rsidR="0024460D">
        <w:rPr>
          <w:rFonts w:asciiTheme="minorHAnsi" w:eastAsia="MS PGothic" w:hAnsiTheme="minorHAnsi"/>
          <w:color w:val="000000"/>
          <w:sz w:val="22"/>
          <w:szCs w:val="22"/>
        </w:rPr>
        <w:t>BC (M2)</w:t>
      </w:r>
      <w:r w:rsidR="000D31CE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4096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The containers were </w:t>
      </w:r>
      <w:r w:rsidR="00FF5117">
        <w:rPr>
          <w:rFonts w:asciiTheme="minorHAnsi" w:eastAsia="MS PGothic" w:hAnsiTheme="minorHAnsi"/>
          <w:color w:val="000000"/>
          <w:sz w:val="22"/>
          <w:szCs w:val="22"/>
        </w:rPr>
        <w:t xml:space="preserve">covered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>with perforated alumin</w:t>
      </w: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>um foil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so that drying </w:t>
      </w:r>
      <w:r w:rsidR="005A01A1">
        <w:rPr>
          <w:rFonts w:asciiTheme="minorHAnsi" w:eastAsia="MS PGothic" w:hAnsiTheme="minorHAnsi"/>
          <w:color w:val="000000"/>
          <w:sz w:val="22"/>
          <w:szCs w:val="22"/>
        </w:rPr>
        <w:t>could not occur over 11 weeks</w:t>
      </w:r>
      <w:r w:rsidR="00F277B5">
        <w:rPr>
          <w:rFonts w:asciiTheme="minorHAnsi" w:eastAsia="MS PGothic" w:hAnsiTheme="minorHAnsi"/>
          <w:color w:val="000000"/>
          <w:sz w:val="22"/>
          <w:szCs w:val="22"/>
        </w:rPr>
        <w:t>; microcosms</w:t>
      </w:r>
      <w:r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31D3D"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were watered every 3 week with 20 mL microbial inoculant optimized for </w:t>
      </w:r>
      <w:r w:rsidR="00CE09F8">
        <w:rPr>
          <w:rFonts w:asciiTheme="minorHAnsi" w:eastAsia="MS PGothic" w:hAnsiTheme="minorHAnsi"/>
          <w:color w:val="000000"/>
          <w:sz w:val="22"/>
          <w:szCs w:val="22"/>
        </w:rPr>
        <w:t>calcareous</w:t>
      </w:r>
      <w:r w:rsidR="00CE09F8"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31D3D" w:rsidRPr="00D15FE0">
        <w:rPr>
          <w:rFonts w:asciiTheme="minorHAnsi" w:eastAsia="MS PGothic" w:hAnsiTheme="minorHAnsi"/>
          <w:color w:val="000000"/>
          <w:sz w:val="22"/>
          <w:szCs w:val="22"/>
        </w:rPr>
        <w:t>soil.</w:t>
      </w:r>
      <w:r w:rsidR="0041351A"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A</w:t>
      </w:r>
      <w:r w:rsidR="00A31D3D" w:rsidRPr="00D15FE0">
        <w:rPr>
          <w:rFonts w:asciiTheme="minorHAnsi" w:eastAsia="MS PGothic" w:hAnsiTheme="minorHAnsi"/>
          <w:color w:val="000000"/>
          <w:sz w:val="22"/>
          <w:szCs w:val="22"/>
        </w:rPr>
        <w:t>erobic conditions</w:t>
      </w:r>
      <w:r w:rsidR="0041351A"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were provided</w:t>
      </w:r>
      <w:r w:rsidR="00A31D3D"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1351A" w:rsidRPr="00D15FE0">
        <w:rPr>
          <w:rFonts w:asciiTheme="minorHAnsi" w:eastAsia="MS PGothic" w:hAnsiTheme="minorHAnsi"/>
          <w:color w:val="000000"/>
          <w:sz w:val="22"/>
          <w:szCs w:val="22"/>
        </w:rPr>
        <w:t>by glass capillary tubes inserted into the layers. After 11 weeks the biochar and soil layers were carefully separated</w:t>
      </w:r>
      <w:r w:rsidR="00193A97" w:rsidRPr="00D15FE0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removed.</w:t>
      </w:r>
      <w:r w:rsidR="00413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1351A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biochars</w:t>
      </w:r>
      <w:r w:rsid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before and after aging</w:t>
      </w:r>
      <w:r w:rsidR="00413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examined by </w:t>
      </w:r>
      <w:r w:rsid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41351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integrated methodology, including physicochem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ical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(pH, </w:t>
      </w:r>
      <w:r w:rsidR="00A53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ctric conductivity (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EC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 surface area (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loss on ignition (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LOI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holding capacity (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WHC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2C5BB8" w:rsidRP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ermangan</w:t>
      </w:r>
      <w:r w:rsidR="00A22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2C5BB8" w:rsidRP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 oxidizable carbon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POXC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3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cation exchange capacity (CEC), </w:t>
      </w:r>
      <w:r w:rsidR="00040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organic matter (OM)</w:t>
      </w:r>
      <w:r w:rsidR="00A53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048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plant  available </w:t>
      </w:r>
      <w:r w:rsidR="00040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nutrients (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NPK</w:t>
      </w:r>
      <w:r w:rsidR="00040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64DF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B6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heavy metals, metalloids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63B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 elements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),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biological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664D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aerobic heterotrophic cell counts) </w:t>
      </w:r>
      <w:r w:rsidR="00CE0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ecotoxicological</w:t>
      </w:r>
      <w:r w:rsidR="00413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4DF7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664DF7" w:rsidRPr="00664DF7">
        <w:rPr>
          <w:rFonts w:asciiTheme="minorHAnsi" w:eastAsia="MS PGothic" w:hAnsiTheme="minorHAnsi"/>
          <w:i/>
          <w:color w:val="000000"/>
          <w:sz w:val="22"/>
          <w:szCs w:val="22"/>
        </w:rPr>
        <w:t>Sinapis alba</w:t>
      </w:r>
      <w:r w:rsidR="00664DF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64DF7" w:rsidRPr="00664DF7">
        <w:rPr>
          <w:rFonts w:asciiTheme="minorHAnsi" w:eastAsia="MS PGothic" w:hAnsiTheme="minorHAnsi"/>
          <w:color w:val="000000"/>
          <w:sz w:val="22"/>
          <w:szCs w:val="22"/>
        </w:rPr>
        <w:t>sh</w:t>
      </w:r>
      <w:r w:rsidR="00D63BF7">
        <w:rPr>
          <w:rFonts w:asciiTheme="minorHAnsi" w:eastAsia="MS PGothic" w:hAnsiTheme="minorHAnsi"/>
          <w:color w:val="000000"/>
          <w:sz w:val="22"/>
          <w:szCs w:val="22"/>
          <w:lang w:val="en-US"/>
        </w:rPr>
        <w:t>oot</w:t>
      </w:r>
      <w:r w:rsidR="0024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D63B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4DF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root inhibition test</w:t>
      </w:r>
      <w:r w:rsidR="000D3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13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31CE" w:rsidRPr="00ED4A2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Folsomia candida</w:t>
      </w:r>
      <w:r w:rsidR="00664DF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0D31CE" w:rsidRPr="00D63BF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mortality test</w:t>
      </w:r>
      <w:r w:rsidR="005A01A1" w:rsidRPr="00D63BF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A01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).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8618D2" w:rsidRDefault="002555AF" w:rsidP="008618D2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 difference</w:t>
      </w:r>
      <w:r w:rsidR="000B65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biochars before and after </w:t>
      </w:r>
      <w:r w:rsidR="009817E8">
        <w:rPr>
          <w:rFonts w:asciiTheme="minorHAnsi" w:eastAsia="MS PGothic" w:hAnsiTheme="minorHAnsi"/>
          <w:color w:val="000000"/>
          <w:sz w:val="22"/>
          <w:szCs w:val="22"/>
          <w:lang w:val="en-US"/>
        </w:rPr>
        <w:t>aging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determined by </w:t>
      </w:r>
      <w:r w:rsidR="00193A97" w:rsidRP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one-way </w:t>
      </w:r>
      <w:r w:rsidRP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 of Variance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6A13D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ANOVA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93A97" w:rsidRPr="00193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2C5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StatSoft® Statistica 13.1</w:t>
      </w:r>
      <w:r w:rsidR="006A13D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212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5C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Table 1 shows the summary of the main effects of biochar aging compared to before aging.</w:t>
      </w:r>
    </w:p>
    <w:p w:rsidR="008618D2" w:rsidRDefault="008618D2" w:rsidP="008618D2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8618D2" w:rsidRPr="00A75BC6" w:rsidRDefault="008618D2" w:rsidP="008618D2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Table 1 </w:t>
      </w:r>
      <w:r w:rsidRPr="004B3F91">
        <w:rPr>
          <w:rFonts w:asciiTheme="minorHAnsi" w:eastAsia="MS PGothic" w:hAnsiTheme="minorHAnsi"/>
          <w:color w:val="000000"/>
          <w:szCs w:val="18"/>
          <w:lang w:val="en-US"/>
        </w:rPr>
        <w:t>Summary of the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main </w:t>
      </w:r>
      <w:r w:rsidRPr="004B3F91">
        <w:rPr>
          <w:rFonts w:asciiTheme="minorHAnsi" w:eastAsia="MS PGothic" w:hAnsiTheme="minorHAnsi"/>
          <w:color w:val="000000"/>
          <w:szCs w:val="18"/>
          <w:lang w:val="en-US"/>
        </w:rPr>
        <w:t>effects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of biochar aging.</w:t>
      </w:r>
    </w:p>
    <w:tbl>
      <w:tblPr>
        <w:tblW w:w="492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23"/>
        <w:gridCol w:w="524"/>
        <w:gridCol w:w="523"/>
        <w:gridCol w:w="523"/>
        <w:gridCol w:w="574"/>
        <w:gridCol w:w="523"/>
        <w:gridCol w:w="551"/>
        <w:gridCol w:w="715"/>
        <w:gridCol w:w="575"/>
        <w:gridCol w:w="610"/>
        <w:gridCol w:w="673"/>
        <w:gridCol w:w="572"/>
        <w:gridCol w:w="799"/>
        <w:gridCol w:w="799"/>
      </w:tblGrid>
      <w:tr w:rsidR="008618D2" w:rsidRPr="00A75BC6" w:rsidTr="003D4365">
        <w:trPr>
          <w:trHeight w:val="465"/>
          <w:jc w:val="center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0B25BB" w:rsidRDefault="008618D2" w:rsidP="003D4365">
            <w:pPr>
              <w:tabs>
                <w:tab w:val="clear" w:pos="71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18"/>
                <w:lang w:val="hu-HU" w:eastAsia="hu-HU"/>
              </w:rPr>
            </w:pPr>
            <w:r w:rsidRPr="000B25BB">
              <w:rPr>
                <w:rFonts w:ascii="Calibri" w:hAnsi="Calibri" w:cs="Calibri"/>
                <w:b/>
                <w:bCs/>
                <w:color w:val="000000"/>
                <w:szCs w:val="18"/>
                <w:lang w:val="en-US" w:eastAsia="hu-HU"/>
              </w:rPr>
              <w:t>Biochar type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pH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EC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LOI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WHC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  <w:t>BET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Pore vol.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POXC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  <w:t>OM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NO</w:t>
            </w:r>
            <w:r w:rsidRPr="00BC1289">
              <w:rPr>
                <w:rFonts w:ascii="Calibri" w:hAnsi="Calibri" w:cs="Calibri"/>
                <w:b/>
                <w:bCs/>
                <w:i/>
                <w:sz w:val="20"/>
                <w:vertAlign w:val="subscript"/>
                <w:lang w:val="en-US" w:eastAsia="hu-HU"/>
              </w:rPr>
              <w:t>3</w:t>
            </w: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-N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lang w:val="hu-HU" w:eastAsia="hu-HU"/>
              </w:rPr>
              <w:t>P</w:t>
            </w: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vertAlign w:val="subscript"/>
                <w:lang w:val="hu-HU" w:eastAsia="hu-HU"/>
              </w:rPr>
              <w:t>2</w:t>
            </w: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lang w:val="hu-HU" w:eastAsia="hu-HU"/>
              </w:rPr>
              <w:t>O</w:t>
            </w: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vertAlign w:val="subscript"/>
                <w:lang w:val="hu-HU" w:eastAsia="hu-HU"/>
              </w:rPr>
              <w:t xml:space="preserve">5 </w:t>
            </w: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lang w:val="hu-HU" w:eastAsia="hu-HU"/>
              </w:rPr>
              <w:t>/ K</w:t>
            </w: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vertAlign w:val="subscript"/>
                <w:lang w:val="hu-HU" w:eastAsia="hu-HU"/>
              </w:rPr>
              <w:t>2</w:t>
            </w: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lang w:val="hu-HU" w:eastAsia="hu-HU"/>
              </w:rPr>
              <w:t>O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Cs w:val="18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Cs w:val="18"/>
                <w:lang w:val="hu-HU" w:eastAsia="hu-HU"/>
              </w:rPr>
              <w:t>CEC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CFU</w:t>
            </w:r>
          </w:p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Cs w:val="18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szCs w:val="18"/>
                <w:lang w:val="en-US" w:eastAsia="hu-HU"/>
              </w:rPr>
              <w:t>Bacteria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i/>
                <w:iCs/>
                <w:sz w:val="20"/>
                <w:lang w:val="en-US" w:eastAsia="hu-HU"/>
              </w:rPr>
              <w:t xml:space="preserve">Plant </w:t>
            </w:r>
            <w:r w:rsidRPr="00BC1289">
              <w:rPr>
                <w:rFonts w:ascii="Calibri" w:hAnsi="Calibri" w:cs="Calibri"/>
                <w:b/>
                <w:bCs/>
                <w:i/>
                <w:sz w:val="20"/>
                <w:lang w:val="en-US" w:eastAsia="hu-HU"/>
              </w:rPr>
              <w:t>growth</w:t>
            </w:r>
          </w:p>
        </w:tc>
      </w:tr>
      <w:tr w:rsidR="008618D2" w:rsidRPr="00A75BC6" w:rsidTr="003D4365">
        <w:trPr>
          <w:trHeight w:val="315"/>
          <w:jc w:val="center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A75BC6" w:rsidRDefault="008618D2" w:rsidP="003D4365">
            <w:pPr>
              <w:tabs>
                <w:tab w:val="clear" w:pos="71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18"/>
                <w:lang w:val="hu-HU" w:eastAsia="hu-HU"/>
              </w:rPr>
            </w:pPr>
            <w:r w:rsidRPr="00A75BC6">
              <w:rPr>
                <w:rFonts w:ascii="Calibri" w:hAnsi="Calibri" w:cs="Calibri"/>
                <w:b/>
                <w:bCs/>
                <w:color w:val="000000"/>
                <w:szCs w:val="18"/>
                <w:lang w:val="en-US" w:eastAsia="hu-HU"/>
              </w:rPr>
              <w:t>A1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5A756B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5A75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F277B5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277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</w:tr>
      <w:tr w:rsidR="008618D2" w:rsidRPr="00A75BC6" w:rsidTr="003D4365">
        <w:trPr>
          <w:trHeight w:val="315"/>
          <w:jc w:val="center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A75BC6" w:rsidRDefault="008618D2" w:rsidP="003D4365">
            <w:pPr>
              <w:tabs>
                <w:tab w:val="clear" w:pos="71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18"/>
                <w:lang w:val="hu-HU" w:eastAsia="hu-HU"/>
              </w:rPr>
            </w:pPr>
            <w:r w:rsidRPr="00A75BC6">
              <w:rPr>
                <w:rFonts w:ascii="Calibri" w:hAnsi="Calibri" w:cs="Calibri"/>
                <w:b/>
                <w:bCs/>
                <w:color w:val="000000"/>
                <w:szCs w:val="18"/>
                <w:lang w:val="en-US" w:eastAsia="hu-HU"/>
              </w:rPr>
              <w:t>B1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5A756B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5A75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  <w:t>+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</w:t>
            </w:r>
          </w:p>
        </w:tc>
      </w:tr>
      <w:tr w:rsidR="008618D2" w:rsidRPr="00A75BC6" w:rsidTr="003D4365">
        <w:trPr>
          <w:trHeight w:val="315"/>
          <w:jc w:val="center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A75BC6" w:rsidRDefault="008618D2" w:rsidP="003D4365">
            <w:pPr>
              <w:tabs>
                <w:tab w:val="clear" w:pos="71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18"/>
                <w:lang w:val="hu-HU" w:eastAsia="hu-HU"/>
              </w:rPr>
            </w:pPr>
            <w:r w:rsidRPr="00A75BC6">
              <w:rPr>
                <w:rFonts w:ascii="Calibri" w:hAnsi="Calibri" w:cs="Calibri"/>
                <w:b/>
                <w:bCs/>
                <w:color w:val="000000"/>
                <w:szCs w:val="18"/>
                <w:lang w:val="en-US" w:eastAsia="hu-HU"/>
              </w:rPr>
              <w:t>F1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5A756B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5A75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  <w:t>+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</w:t>
            </w:r>
          </w:p>
        </w:tc>
      </w:tr>
      <w:tr w:rsidR="008618D2" w:rsidRPr="00A75BC6" w:rsidTr="003D4365">
        <w:trPr>
          <w:trHeight w:val="315"/>
          <w:jc w:val="center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A75BC6" w:rsidRDefault="008618D2" w:rsidP="003D4365">
            <w:pPr>
              <w:tabs>
                <w:tab w:val="clear" w:pos="71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18"/>
                <w:lang w:val="hu-HU" w:eastAsia="hu-HU"/>
              </w:rPr>
            </w:pPr>
            <w:r w:rsidRPr="00A75BC6">
              <w:rPr>
                <w:rFonts w:ascii="Calibri" w:hAnsi="Calibri" w:cs="Calibri"/>
                <w:b/>
                <w:bCs/>
                <w:color w:val="000000"/>
                <w:szCs w:val="18"/>
                <w:lang w:val="en-US" w:eastAsia="hu-HU"/>
              </w:rPr>
              <w:t>H1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5A756B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  <w:t>+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hu-HU" w:eastAsia="hu-HU"/>
              </w:rPr>
              <w:t>0</w:t>
            </w:r>
            <w:r w:rsidRPr="00EF55C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hu-HU" w:eastAsia="hu-HU"/>
              </w:rPr>
              <w:t>!</w:t>
            </w:r>
          </w:p>
        </w:tc>
      </w:tr>
      <w:tr w:rsidR="008618D2" w:rsidRPr="00A75BC6" w:rsidTr="007C79DD">
        <w:trPr>
          <w:trHeight w:val="193"/>
          <w:jc w:val="center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A75BC6" w:rsidRDefault="008618D2" w:rsidP="003D4365">
            <w:pPr>
              <w:tabs>
                <w:tab w:val="clear" w:pos="71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18"/>
                <w:lang w:val="hu-HU" w:eastAsia="hu-HU"/>
              </w:rPr>
            </w:pPr>
            <w:r w:rsidRPr="00A75BC6">
              <w:rPr>
                <w:rFonts w:ascii="Calibri" w:hAnsi="Calibri" w:cs="Calibri"/>
                <w:b/>
                <w:bCs/>
                <w:color w:val="000000"/>
                <w:szCs w:val="18"/>
                <w:lang w:val="en-US" w:eastAsia="hu-HU"/>
              </w:rPr>
              <w:t>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hu-HU" w:eastAsia="hu-H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5A756B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5A75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  <w:t>+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hu-H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 w:rsidRPr="00EF55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BC1289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</w:pPr>
            <w:r w:rsidRPr="00BC128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hu-HU" w:eastAsia="hu-HU"/>
              </w:rPr>
              <w:t>+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8D2" w:rsidRPr="00EF55CA" w:rsidRDefault="008618D2" w:rsidP="003D4365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 w:eastAsia="hu-HU"/>
              </w:rPr>
              <w:t>-</w:t>
            </w:r>
          </w:p>
        </w:tc>
      </w:tr>
    </w:tbl>
    <w:p w:rsidR="008618D2" w:rsidRDefault="008618D2" w:rsidP="008618D2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3"/>
        <w:gridCol w:w="1037"/>
        <w:gridCol w:w="391"/>
        <w:gridCol w:w="1096"/>
        <w:gridCol w:w="441"/>
        <w:gridCol w:w="1046"/>
        <w:gridCol w:w="382"/>
        <w:gridCol w:w="1107"/>
        <w:gridCol w:w="432"/>
        <w:gridCol w:w="1057"/>
        <w:gridCol w:w="371"/>
        <w:gridCol w:w="1114"/>
      </w:tblGrid>
      <w:tr w:rsidR="008618D2" w:rsidRPr="000C3BD1" w:rsidTr="003D4365">
        <w:trPr>
          <w:trHeight w:val="4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b/>
                <w:bCs/>
                <w:color w:val="000000"/>
                <w:sz w:val="20"/>
                <w:lang w:val="en-US" w:eastAsia="hu-HU"/>
              </w:rPr>
              <w:t>–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color w:val="000000"/>
                <w:sz w:val="20"/>
                <w:lang w:eastAsia="hu-HU"/>
              </w:rPr>
              <w:t>significant decrease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b/>
                <w:bCs/>
                <w:color w:val="000000"/>
                <w:sz w:val="20"/>
                <w:lang w:val="en-US" w:eastAsia="hu-HU"/>
              </w:rPr>
              <w:t>–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color w:val="000000"/>
                <w:sz w:val="20"/>
                <w:lang w:eastAsia="hu-HU"/>
              </w:rPr>
              <w:t>decrease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8D2" w:rsidRPr="00EF55CA" w:rsidRDefault="008618D2" w:rsidP="003D43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</w:pPr>
            <w:r w:rsidRPr="00EF55CA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  <w:t>+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color w:val="000000"/>
                <w:sz w:val="20"/>
                <w:lang w:eastAsia="hu-HU"/>
              </w:rPr>
              <w:t>significant increase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D2" w:rsidRPr="00EF55CA" w:rsidRDefault="008618D2" w:rsidP="003D43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</w:pPr>
            <w:r w:rsidRPr="00EF55CA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hu-HU"/>
              </w:rPr>
              <w:t>+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color w:val="000000"/>
                <w:sz w:val="20"/>
                <w:lang w:eastAsia="hu-HU"/>
              </w:rPr>
              <w:t>increase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D2" w:rsidRPr="00EF55CA" w:rsidRDefault="008618D2" w:rsidP="003D43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hu-HU"/>
              </w:rPr>
            </w:pPr>
            <w:r w:rsidRPr="00EF55C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hu-HU"/>
              </w:rPr>
              <w:t>!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val="en-US" w:eastAsia="hu-HU"/>
              </w:rPr>
            </w:pPr>
            <w:r w:rsidRPr="000C3BD1">
              <w:rPr>
                <w:rFonts w:ascii="Calibri" w:hAnsi="Calibri" w:cs="Calibri"/>
                <w:color w:val="000000"/>
                <w:sz w:val="20"/>
                <w:lang w:val="en-US" w:eastAsia="hu-HU"/>
              </w:rPr>
              <w:t>ecot</w:t>
            </w:r>
            <w:r w:rsidRPr="000C3BD1">
              <w:rPr>
                <w:rFonts w:asciiTheme="minorHAnsi" w:eastAsia="MS PGothic" w:hAnsiTheme="minorHAnsi"/>
                <w:color w:val="000000"/>
                <w:sz w:val="20"/>
                <w:lang w:val="en-US"/>
              </w:rPr>
              <w:t>oxicity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b/>
                <w:bCs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D2" w:rsidRPr="000C3BD1" w:rsidRDefault="008618D2" w:rsidP="003D436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hu-HU"/>
              </w:rPr>
            </w:pPr>
            <w:r w:rsidRPr="000C3BD1">
              <w:rPr>
                <w:rFonts w:ascii="Calibri" w:hAnsi="Calibri" w:cs="Calibri"/>
                <w:color w:val="000000"/>
                <w:sz w:val="20"/>
                <w:lang w:eastAsia="hu-HU"/>
              </w:rPr>
              <w:t>n</w:t>
            </w:r>
            <w:r w:rsidRPr="000C3BD1">
              <w:rPr>
                <w:rFonts w:asciiTheme="minorHAnsi" w:eastAsia="MS PGothic" w:hAnsiTheme="minorHAnsi"/>
                <w:color w:val="000000"/>
                <w:sz w:val="20"/>
                <w:lang w:val="en-US"/>
              </w:rPr>
              <w:t>o effect</w:t>
            </w:r>
          </w:p>
        </w:tc>
      </w:tr>
    </w:tbl>
    <w:p w:rsidR="008618D2" w:rsidRDefault="008618D2" w:rsidP="008618D2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86416F" w:rsidRDefault="00E45604" w:rsidP="00C352B0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Each biochar under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changes through 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aging process</w:t>
      </w:r>
      <w:r w:rsidR="007C7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especially regarding nutrients and biological activity. </w:t>
      </w:r>
      <w:r w:rsidR="00F73A6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accelerated</w:t>
      </w:r>
      <w:r w:rsidR="00EC1F45" w:rsidRPr="00875C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1F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biological </w:t>
      </w:r>
      <w:r w:rsidR="009817E8">
        <w:rPr>
          <w:rFonts w:asciiTheme="minorHAnsi" w:eastAsia="MS PGothic" w:hAnsiTheme="minorHAnsi"/>
          <w:color w:val="000000"/>
          <w:sz w:val="22"/>
          <w:szCs w:val="22"/>
          <w:lang w:val="en-US"/>
        </w:rPr>
        <w:t>aging</w:t>
      </w:r>
      <w:r w:rsidR="00EC1F45" w:rsidRPr="00875C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33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resulted in</w:t>
      </w:r>
      <w:r w:rsidR="00EC1F45" w:rsidRPr="00875C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1F45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microbial activity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case of 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biochar</w:t>
      </w:r>
      <w:r w:rsidR="00FF33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73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depending on their surface areas</w:t>
      </w:r>
      <w:r w:rsidR="009D48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(BET)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C1F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highest increase (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than two-fold</w:t>
      </w:r>
      <w:r w:rsidR="00EC1F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was found </w:t>
      </w:r>
      <w:r w:rsidR="00C46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B601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M2 and </w:t>
      </w:r>
      <w:r w:rsidR="00EC1F45">
        <w:rPr>
          <w:rFonts w:asciiTheme="minorHAnsi" w:eastAsia="MS PGothic" w:hAnsiTheme="minorHAnsi"/>
          <w:color w:val="000000"/>
          <w:sz w:val="22"/>
          <w:szCs w:val="22"/>
          <w:lang w:val="en-US"/>
        </w:rPr>
        <w:t>F1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biochar</w:t>
      </w:r>
      <w:r w:rsidR="00B601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66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largest </w:t>
      </w:r>
      <w:r w:rsidR="00452FD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</w:t>
      </w:r>
      <w:r w:rsidR="00452FD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11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C1F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 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values </w:t>
      </w:r>
      <w:r w:rsidR="00FF33A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biochars correlated with the</w:t>
      </w:r>
      <w:r w:rsidR="00F73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aerobic heterotrophic cell counts (CFU) of weathered biochars</w:t>
      </w:r>
      <w:r w:rsidR="00FF33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618D2" w:rsidRP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total </w:t>
      </w:r>
      <w:r w:rsidR="00C46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2A6D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content 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each biochar 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decreased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except A1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highest initial NO</w:t>
      </w:r>
      <w:r w:rsidR="008618D2" w:rsidRPr="008618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-N content </w:t>
      </w:r>
      <w:r w:rsidR="004E7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–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E7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there was 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increase in </w:t>
      </w:r>
      <w:r w:rsidR="004E7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available nitrate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increased bacterial activity</w:t>
      </w:r>
      <w:r w:rsidR="008618D2" w:rsidRP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ost </w:t>
      </w:r>
      <w:r w:rsidR="00B8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biochars</w:t>
      </w:r>
      <w:r w:rsidR="00C87D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exhibited significant 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decrease </w:t>
      </w:r>
      <w:r w:rsidR="00864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1314D6">
        <w:rPr>
          <w:rFonts w:asciiTheme="minorHAnsi" w:eastAsia="MS PGothic" w:hAnsiTheme="minorHAnsi"/>
          <w:color w:val="000000"/>
          <w:sz w:val="22"/>
          <w:szCs w:val="22"/>
          <w:lang w:val="en-US"/>
        </w:rPr>
        <w:t>~</w:t>
      </w:r>
      <w:r w:rsidR="00864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40–</w:t>
      </w:r>
      <w:r w:rsidR="001314D6">
        <w:rPr>
          <w:rFonts w:asciiTheme="minorHAnsi" w:eastAsia="MS PGothic" w:hAnsiTheme="minorHAnsi"/>
          <w:color w:val="000000"/>
          <w:sz w:val="22"/>
          <w:szCs w:val="22"/>
          <w:lang w:val="en-US"/>
        </w:rPr>
        <w:t>60%</w:t>
      </w:r>
      <w:r w:rsidR="00864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875C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pH,</w:t>
      </w:r>
      <w:r w:rsidR="002A6D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OM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permanganate oxidi</w:t>
      </w:r>
      <w:r w:rsidR="002A6DF0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able </w:t>
      </w:r>
      <w:r w:rsidR="00F73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(labile) 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</w:t>
      </w:r>
      <w:r w:rsid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3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content </w:t>
      </w:r>
      <w:r w:rsid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>(POXC)</w:t>
      </w:r>
      <w:r w:rsidR="00FE6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 in</w:t>
      </w:r>
      <w:r w:rsidR="003B0B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available</w:t>
      </w:r>
      <w:r w:rsidR="007C7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6DF0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2A6D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 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>upon aging</w:t>
      </w:r>
      <w:r w:rsidR="009C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A7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changes were accompanied by decreases in biochar CEC however previous studies reported </w:t>
      </w:r>
      <w:r w:rsidR="00452FDA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CEC of biochar 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aging. We </w:t>
      </w:r>
      <w:r w:rsidR="003011F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assume</w:t>
      </w:r>
      <w:r w:rsidR="00CB0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11F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4E7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11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enhanced 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bacterial activity</w:t>
      </w:r>
      <w:r w:rsidR="003011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triggers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52B0" w:rsidRP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microbial OM production 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C352B0" w:rsidRP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sorption of OM, resulting in a range of new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52B0" w:rsidRP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organic functional groups</w:t>
      </w:r>
      <w:r w:rsidR="008618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affecting CEC</w:t>
      </w:r>
      <w:r w:rsidR="00C35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C1289" w:rsidRPr="00A2264E" w:rsidRDefault="007C79DD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 xml:space="preserve">Based on our results 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452FDA">
        <w:rPr>
          <w:rFonts w:asciiTheme="minorHAnsi" w:eastAsia="MS PGothic" w:hAnsiTheme="minorHAnsi"/>
          <w:sz w:val="22"/>
          <w:szCs w:val="22"/>
          <w:lang w:val="en-US"/>
        </w:rPr>
        <w:t>pecific surface area of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>non-</w:t>
      </w:r>
      <w:r w:rsidR="00452FDA">
        <w:rPr>
          <w:rFonts w:asciiTheme="minorHAnsi" w:eastAsia="MS PGothic" w:hAnsiTheme="minorHAnsi"/>
          <w:sz w:val="22"/>
          <w:szCs w:val="22"/>
          <w:lang w:val="en-US"/>
        </w:rPr>
        <w:t xml:space="preserve">aged 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>biochar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highly affected the </w:t>
      </w:r>
      <w:r w:rsidR="009817E8">
        <w:rPr>
          <w:rFonts w:asciiTheme="minorHAnsi" w:eastAsia="MS PGothic" w:hAnsiTheme="minorHAnsi"/>
          <w:sz w:val="22"/>
          <w:szCs w:val="22"/>
          <w:lang w:val="en-US"/>
        </w:rPr>
        <w:t>aging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>-mediated changes</w:t>
      </w:r>
      <w:r w:rsidR="00A2264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024534">
        <w:rPr>
          <w:rFonts w:asciiTheme="minorHAnsi" w:eastAsia="MS PGothic" w:hAnsiTheme="minorHAnsi"/>
          <w:sz w:val="22"/>
          <w:szCs w:val="22"/>
          <w:lang w:val="en-US"/>
        </w:rPr>
        <w:t xml:space="preserve">Percentage decrease in available nutrients and labile carbon was the lowest </w:t>
      </w:r>
      <w:r w:rsidR="00452FDA">
        <w:rPr>
          <w:rFonts w:asciiTheme="minorHAnsi" w:eastAsia="MS PGothic" w:hAnsiTheme="minorHAnsi"/>
          <w:sz w:val="22"/>
          <w:szCs w:val="22"/>
          <w:lang w:val="en-US"/>
        </w:rPr>
        <w:t xml:space="preserve">while the decrease in CEC was the highest </w:t>
      </w:r>
      <w:r w:rsidR="00024534">
        <w:rPr>
          <w:rFonts w:asciiTheme="minorHAnsi" w:eastAsia="MS PGothic" w:hAnsiTheme="minorHAnsi"/>
          <w:sz w:val="22"/>
          <w:szCs w:val="22"/>
          <w:lang w:val="en-US"/>
        </w:rPr>
        <w:t>in the case of M2 biochar with the highest specific surface area</w:t>
      </w:r>
      <w:r w:rsidR="004270BE">
        <w:rPr>
          <w:rFonts w:asciiTheme="minorHAnsi" w:eastAsia="MS PGothic" w:hAnsiTheme="minorHAnsi"/>
          <w:sz w:val="22"/>
          <w:szCs w:val="22"/>
          <w:lang w:val="en-US"/>
        </w:rPr>
        <w:t xml:space="preserve"> suggesting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 xml:space="preserve"> that M2 would be the most</w:t>
      </w:r>
      <w:r w:rsidR="004270BE">
        <w:rPr>
          <w:rFonts w:asciiTheme="minorHAnsi" w:eastAsia="MS PGothic" w:hAnsiTheme="minorHAnsi"/>
          <w:sz w:val="22"/>
          <w:szCs w:val="22"/>
          <w:lang w:val="en-US"/>
        </w:rPr>
        <w:t xml:space="preserve">  efficien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4270BE">
        <w:rPr>
          <w:rFonts w:asciiTheme="minorHAnsi" w:eastAsia="MS PGothic" w:hAnsiTheme="minorHAnsi"/>
          <w:sz w:val="22"/>
          <w:szCs w:val="22"/>
          <w:lang w:val="en-US"/>
        </w:rPr>
        <w:t xml:space="preserve"> and stab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 xml:space="preserve">le </w:t>
      </w:r>
      <w:r w:rsidR="004270BE">
        <w:rPr>
          <w:rFonts w:asciiTheme="minorHAnsi" w:eastAsia="MS PGothic" w:hAnsiTheme="minorHAnsi"/>
          <w:sz w:val="22"/>
          <w:szCs w:val="22"/>
          <w:lang w:val="en-US"/>
        </w:rPr>
        <w:t xml:space="preserve"> charcoal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 xml:space="preserve">on the 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>long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011F3">
        <w:rPr>
          <w:rFonts w:asciiTheme="minorHAnsi" w:eastAsia="MS PGothic" w:hAnsiTheme="minorHAnsi"/>
          <w:sz w:val="22"/>
          <w:szCs w:val="22"/>
          <w:lang w:val="en-US"/>
        </w:rPr>
        <w:t>term</w:t>
      </w:r>
      <w:r w:rsidR="004270B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4508CA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Artificial biological </w:t>
      </w:r>
      <w:r w:rsidR="009817E8">
        <w:rPr>
          <w:rFonts w:asciiTheme="minorHAnsi" w:eastAsia="MS PGothic" w:hAnsiTheme="minorHAnsi"/>
          <w:sz w:val="22"/>
          <w:szCs w:val="22"/>
          <w:lang w:val="en-US"/>
        </w:rPr>
        <w:t>aging</w:t>
      </w:r>
      <w:r w:rsidR="004508CA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of b</w:t>
      </w:r>
      <w:r w:rsidR="005D1213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iochar 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>re</w:t>
      </w:r>
      <w:r w:rsidR="004508CA" w:rsidRPr="00A2264E">
        <w:rPr>
          <w:rFonts w:asciiTheme="minorHAnsi" w:eastAsia="MS PGothic" w:hAnsiTheme="minorHAnsi"/>
          <w:sz w:val="22"/>
          <w:szCs w:val="22"/>
          <w:lang w:val="en-US"/>
        </w:rPr>
        <w:t>presents a promising</w:t>
      </w:r>
      <w:r w:rsidR="005D1213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model for studying weathering effects</w:t>
      </w:r>
      <w:r w:rsidR="004508CA" w:rsidRPr="00A2264E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5D1213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Further comparative evaluation of 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>outcomes</w:t>
      </w:r>
      <w:r w:rsidR="00C4660A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 xml:space="preserve">of </w:t>
      </w:r>
      <w:r w:rsidR="00C4660A" w:rsidRPr="00A2264E">
        <w:rPr>
          <w:rFonts w:asciiTheme="minorHAnsi" w:eastAsia="MS PGothic" w:hAnsiTheme="minorHAnsi"/>
          <w:sz w:val="22"/>
          <w:szCs w:val="22"/>
          <w:lang w:val="en-US"/>
        </w:rPr>
        <w:t>biochar aging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4660A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in </w:t>
      </w:r>
      <w:r w:rsidR="004E7AF1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C4660A" w:rsidRPr="00A2264E">
        <w:rPr>
          <w:rFonts w:asciiTheme="minorHAnsi" w:eastAsia="MS PGothic" w:hAnsiTheme="minorHAnsi"/>
          <w:sz w:val="22"/>
          <w:szCs w:val="22"/>
          <w:lang w:val="en-US"/>
        </w:rPr>
        <w:t>soil matrix</w:t>
      </w:r>
      <w:r w:rsidR="00C4660A">
        <w:rPr>
          <w:rFonts w:asciiTheme="minorHAnsi" w:eastAsia="MS PGothic" w:hAnsiTheme="minorHAnsi"/>
          <w:sz w:val="22"/>
          <w:szCs w:val="22"/>
          <w:lang w:val="en-US"/>
        </w:rPr>
        <w:t xml:space="preserve"> under </w:t>
      </w:r>
      <w:r w:rsidR="005D1213" w:rsidRPr="00A2264E">
        <w:rPr>
          <w:rFonts w:asciiTheme="minorHAnsi" w:eastAsia="MS PGothic" w:hAnsiTheme="minorHAnsi"/>
          <w:sz w:val="22"/>
          <w:szCs w:val="22"/>
          <w:lang w:val="en-US"/>
        </w:rPr>
        <w:t>real</w:t>
      </w:r>
      <w:r w:rsidR="004508CA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 field </w:t>
      </w:r>
      <w:r w:rsidR="005D1213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conditions </w:t>
      </w:r>
      <w:r w:rsidR="00A2264E" w:rsidRPr="00A2264E">
        <w:rPr>
          <w:rFonts w:asciiTheme="minorHAnsi" w:eastAsia="MS PGothic" w:hAnsiTheme="minorHAnsi"/>
          <w:sz w:val="22"/>
          <w:szCs w:val="22"/>
          <w:lang w:val="en-US"/>
        </w:rPr>
        <w:t xml:space="preserve">is planned. </w:t>
      </w:r>
    </w:p>
    <w:p w:rsidR="00704BDF" w:rsidRPr="008D0BEB" w:rsidRDefault="00BC128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ED4A23" w:rsidRDefault="0080502D" w:rsidP="0080502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0502D">
        <w:rPr>
          <w:rFonts w:asciiTheme="minorHAnsi" w:hAnsiTheme="minorHAnsi"/>
          <w:color w:val="000000"/>
        </w:rPr>
        <w:t>J. Lehmann, A handful of carbon. Nature 447 (2007) (7141) 143–144.</w:t>
      </w:r>
    </w:p>
    <w:p w:rsidR="0080502D" w:rsidRDefault="00ED4A23" w:rsidP="0080502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D4A23">
        <w:rPr>
          <w:rFonts w:asciiTheme="minorHAnsi" w:hAnsiTheme="minorHAnsi"/>
          <w:color w:val="000000"/>
        </w:rPr>
        <w:t>J.</w:t>
      </w:r>
      <w:r>
        <w:rPr>
          <w:rFonts w:asciiTheme="minorHAnsi" w:hAnsiTheme="minorHAnsi"/>
          <w:color w:val="000000"/>
        </w:rPr>
        <w:t xml:space="preserve"> </w:t>
      </w:r>
      <w:r w:rsidRPr="00ED4A23">
        <w:rPr>
          <w:rFonts w:asciiTheme="minorHAnsi" w:hAnsiTheme="minorHAnsi"/>
          <w:color w:val="000000"/>
        </w:rPr>
        <w:t>Lehmann, J.</w:t>
      </w:r>
      <w:r>
        <w:rPr>
          <w:rFonts w:asciiTheme="minorHAnsi" w:hAnsiTheme="minorHAnsi"/>
          <w:color w:val="000000"/>
        </w:rPr>
        <w:t xml:space="preserve"> </w:t>
      </w:r>
      <w:r w:rsidRPr="00ED4A23">
        <w:rPr>
          <w:rFonts w:asciiTheme="minorHAnsi" w:hAnsiTheme="minorHAnsi"/>
          <w:color w:val="000000"/>
        </w:rPr>
        <w:t>Gaunt, M.</w:t>
      </w:r>
      <w:r>
        <w:rPr>
          <w:rFonts w:asciiTheme="minorHAnsi" w:hAnsiTheme="minorHAnsi"/>
          <w:color w:val="000000"/>
        </w:rPr>
        <w:t xml:space="preserve"> Rondon, </w:t>
      </w:r>
      <w:r w:rsidRPr="00ED4A23">
        <w:rPr>
          <w:rFonts w:asciiTheme="minorHAnsi" w:hAnsiTheme="minorHAnsi"/>
          <w:color w:val="000000"/>
        </w:rPr>
        <w:t>Bio-char sequ</w:t>
      </w:r>
      <w:r w:rsidR="00AF753C">
        <w:rPr>
          <w:rFonts w:asciiTheme="minorHAnsi" w:hAnsiTheme="minorHAnsi"/>
          <w:color w:val="000000"/>
        </w:rPr>
        <w:t>estration in terrestrial ecosys</w:t>
      </w:r>
      <w:r w:rsidRPr="00ED4A23">
        <w:rPr>
          <w:rFonts w:asciiTheme="minorHAnsi" w:hAnsiTheme="minorHAnsi"/>
          <w:color w:val="000000"/>
        </w:rPr>
        <w:t>tems – a review. Mitig. Adapt. Strateg. Glob. Change 11</w:t>
      </w:r>
      <w:r>
        <w:rPr>
          <w:rFonts w:asciiTheme="minorHAnsi" w:hAnsiTheme="minorHAnsi"/>
          <w:color w:val="000000"/>
        </w:rPr>
        <w:t xml:space="preserve"> (2006) 403–427.</w:t>
      </w:r>
      <w:r w:rsidRPr="00ED4A23">
        <w:rPr>
          <w:rFonts w:asciiTheme="minorHAnsi" w:hAnsiTheme="minorHAnsi"/>
          <w:color w:val="000000"/>
        </w:rPr>
        <w:t xml:space="preserve"> </w:t>
      </w:r>
    </w:p>
    <w:p w:rsidR="000E0D26" w:rsidRPr="000B660D" w:rsidRDefault="000E0D26" w:rsidP="000B660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B660D">
        <w:rPr>
          <w:rFonts w:asciiTheme="minorHAnsi" w:hAnsiTheme="minorHAnsi"/>
          <w:color w:val="000000"/>
        </w:rPr>
        <w:t>A.</w:t>
      </w:r>
      <w:r w:rsidR="0066755B" w:rsidRPr="000B660D">
        <w:rPr>
          <w:rFonts w:asciiTheme="minorHAnsi" w:hAnsiTheme="minorHAnsi"/>
          <w:color w:val="000000"/>
        </w:rPr>
        <w:t xml:space="preserve"> </w:t>
      </w:r>
      <w:r w:rsidRPr="000B660D">
        <w:rPr>
          <w:rFonts w:asciiTheme="minorHAnsi" w:hAnsiTheme="minorHAnsi"/>
          <w:color w:val="000000"/>
        </w:rPr>
        <w:t>Mukherjee, A.R.</w:t>
      </w:r>
      <w:r w:rsidR="0066755B" w:rsidRPr="000B660D">
        <w:rPr>
          <w:rFonts w:asciiTheme="minorHAnsi" w:hAnsiTheme="minorHAnsi"/>
          <w:color w:val="000000"/>
        </w:rPr>
        <w:t xml:space="preserve"> </w:t>
      </w:r>
      <w:r w:rsidRPr="000B660D">
        <w:rPr>
          <w:rFonts w:asciiTheme="minorHAnsi" w:hAnsiTheme="minorHAnsi"/>
          <w:color w:val="000000"/>
        </w:rPr>
        <w:t>Zimmerman, R. Hamdan, W.T. Cooper, Physicochemical changes in pyrogenic organic matter (biochar) after 15 months of field aging. Solid Earth Discuss. 5 (2014) 693</w:t>
      </w:r>
      <w:r w:rsidRPr="000B660D">
        <w:rPr>
          <w:rFonts w:asciiTheme="minorHAnsi" w:hAnsiTheme="minorHAnsi" w:hint="eastAsia"/>
          <w:color w:val="000000"/>
        </w:rPr>
        <w:t>–</w:t>
      </w:r>
      <w:r w:rsidRPr="000B660D">
        <w:rPr>
          <w:rFonts w:asciiTheme="minorHAnsi" w:hAnsiTheme="minorHAnsi"/>
          <w:color w:val="000000"/>
        </w:rPr>
        <w:t>704.</w:t>
      </w:r>
    </w:p>
    <w:p w:rsidR="0066755B" w:rsidRPr="0066755B" w:rsidRDefault="0066755B" w:rsidP="0066755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6755B">
        <w:rPr>
          <w:rFonts w:asciiTheme="minorHAnsi" w:hAnsiTheme="minorHAnsi"/>
          <w:color w:val="000000"/>
        </w:rPr>
        <w:t>B.</w:t>
      </w:r>
      <w:r>
        <w:rPr>
          <w:rFonts w:asciiTheme="minorHAnsi" w:hAnsiTheme="minorHAnsi"/>
          <w:color w:val="000000"/>
        </w:rPr>
        <w:t xml:space="preserve"> </w:t>
      </w:r>
      <w:r w:rsidRPr="0066755B">
        <w:rPr>
          <w:rFonts w:asciiTheme="minorHAnsi" w:hAnsiTheme="minorHAnsi"/>
          <w:color w:val="000000"/>
        </w:rPr>
        <w:t>Singh,</w:t>
      </w:r>
      <w:r>
        <w:rPr>
          <w:rFonts w:asciiTheme="minorHAnsi" w:hAnsiTheme="minorHAnsi"/>
          <w:color w:val="000000"/>
        </w:rPr>
        <w:t xml:space="preserve"> Y. Fang, </w:t>
      </w:r>
      <w:r w:rsidRPr="0066755B">
        <w:rPr>
          <w:rFonts w:asciiTheme="minorHAnsi" w:hAnsiTheme="minorHAnsi"/>
          <w:color w:val="000000"/>
        </w:rPr>
        <w:t>C.T.</w:t>
      </w:r>
      <w:r>
        <w:rPr>
          <w:rFonts w:asciiTheme="minorHAnsi" w:hAnsiTheme="minorHAnsi"/>
          <w:color w:val="000000"/>
        </w:rPr>
        <w:t xml:space="preserve"> </w:t>
      </w:r>
      <w:r w:rsidRPr="0066755B">
        <w:rPr>
          <w:rFonts w:asciiTheme="minorHAnsi" w:hAnsiTheme="minorHAnsi"/>
          <w:color w:val="000000"/>
        </w:rPr>
        <w:t>Johnston, Fourier-transform infrared study of biochar</w:t>
      </w:r>
      <w:r>
        <w:rPr>
          <w:rFonts w:asciiTheme="minorHAnsi" w:hAnsiTheme="minorHAnsi"/>
          <w:color w:val="000000"/>
        </w:rPr>
        <w:t xml:space="preserve"> </w:t>
      </w:r>
      <w:r w:rsidRPr="0066755B">
        <w:rPr>
          <w:rFonts w:asciiTheme="minorHAnsi" w:hAnsiTheme="minorHAnsi"/>
          <w:color w:val="000000"/>
        </w:rPr>
        <w:t>aging in soils. Soil Sci. Soc. Am. J. 80</w:t>
      </w:r>
      <w:r>
        <w:rPr>
          <w:rFonts w:asciiTheme="minorHAnsi" w:hAnsiTheme="minorHAnsi"/>
          <w:color w:val="000000"/>
        </w:rPr>
        <w:t xml:space="preserve"> (2016)</w:t>
      </w:r>
      <w:r w:rsidRPr="0066755B">
        <w:rPr>
          <w:rFonts w:asciiTheme="minorHAnsi" w:hAnsiTheme="minorHAnsi"/>
          <w:color w:val="000000"/>
        </w:rPr>
        <w:t xml:space="preserve"> 613</w:t>
      </w:r>
      <w:r w:rsidRPr="0066755B">
        <w:rPr>
          <w:rFonts w:asciiTheme="minorHAnsi" w:hAnsiTheme="minorHAnsi" w:hint="eastAsia"/>
          <w:color w:val="000000"/>
        </w:rPr>
        <w:t>–</w:t>
      </w:r>
      <w:r w:rsidRPr="0066755B">
        <w:rPr>
          <w:rFonts w:asciiTheme="minorHAnsi" w:hAnsiTheme="minorHAnsi"/>
          <w:color w:val="000000"/>
        </w:rPr>
        <w:t>622.</w:t>
      </w:r>
    </w:p>
    <w:sectPr w:rsidR="0066755B" w:rsidRPr="0066755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0B" w:rsidRDefault="00DF6D0B" w:rsidP="004F5E36">
      <w:r>
        <w:separator/>
      </w:r>
    </w:p>
  </w:endnote>
  <w:endnote w:type="continuationSeparator" w:id="1">
    <w:p w:rsidR="00DF6D0B" w:rsidRDefault="00DF6D0B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0B" w:rsidRDefault="00DF6D0B" w:rsidP="004F5E36">
      <w:r>
        <w:separator/>
      </w:r>
    </w:p>
  </w:footnote>
  <w:footnote w:type="continuationSeparator" w:id="1">
    <w:p w:rsidR="00DF6D0B" w:rsidRDefault="00DF6D0B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355D28">
    <w:pPr>
      <w:pStyle w:val="lfej"/>
    </w:pPr>
    <w:r w:rsidRPr="00355D28">
      <w:rPr>
        <w:noProof/>
        <w:lang w:eastAsia="en-GB"/>
      </w:rPr>
      <w:pict>
        <v:line id="Connettore 1 86" o:spid="_x0000_s18434" style="position:absolute;left:0;text-align:left;z-index:251666432;visibility:visible;mso-wrap-distance-top:-3e-5mm;mso-wrap-distance-bottom:-3e-5mm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<v:shadow on="t" color="black" opacity="24903f" origin=",.5" offset="0,.55556mm"/>
          <o:lock v:ext="edit" shapetype="f"/>
        </v:line>
      </w:pict>
    </w:r>
    <w:r w:rsidR="004D1162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lfej"/>
    </w:pPr>
  </w:p>
  <w:p w:rsidR="00704BDF" w:rsidRDefault="00355D28">
    <w:pPr>
      <w:pStyle w:val="lfej"/>
    </w:pPr>
    <w:r w:rsidRPr="00355D28">
      <w:rPr>
        <w:noProof/>
        <w:lang w:eastAsia="en-GB"/>
      </w:rPr>
      <w:pict>
        <v:line id="Connettore 1 12" o:spid="_x0000_s18433" style="position:absolute;left:0;text-align:left;z-index:251660288;visibility:visible;mso-wrap-distance-top:-3e-5mm;mso-wrap-distance-bottom:-3e-5mm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<v:shadow on="t" color="black" opacity="24903f" origin=",.5" offset="0,.55556mm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gyszertblzat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1001"/>
  <w:trackRevisions/>
  <w:documentProtection w:edit="forms" w:enforcement="0"/>
  <w:defaultTabStop w:val="708"/>
  <w:hyphenationZone w:val="283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0E414A"/>
    <w:rsid w:val="000027C0"/>
    <w:rsid w:val="00007A32"/>
    <w:rsid w:val="000117CB"/>
    <w:rsid w:val="00024534"/>
    <w:rsid w:val="00027C53"/>
    <w:rsid w:val="0003148D"/>
    <w:rsid w:val="00040967"/>
    <w:rsid w:val="00062A9A"/>
    <w:rsid w:val="000847C6"/>
    <w:rsid w:val="000A03B2"/>
    <w:rsid w:val="000B25BB"/>
    <w:rsid w:val="000B29E0"/>
    <w:rsid w:val="000B6519"/>
    <w:rsid w:val="000B660D"/>
    <w:rsid w:val="000C2FCE"/>
    <w:rsid w:val="000C3BD1"/>
    <w:rsid w:val="000D31CE"/>
    <w:rsid w:val="000D34BE"/>
    <w:rsid w:val="000E0D26"/>
    <w:rsid w:val="000E1873"/>
    <w:rsid w:val="000E36F1"/>
    <w:rsid w:val="000E3A73"/>
    <w:rsid w:val="000E414A"/>
    <w:rsid w:val="000F6D10"/>
    <w:rsid w:val="001131E9"/>
    <w:rsid w:val="0011796A"/>
    <w:rsid w:val="00121FEE"/>
    <w:rsid w:val="001301AC"/>
    <w:rsid w:val="0013121F"/>
    <w:rsid w:val="001314D6"/>
    <w:rsid w:val="00134DE4"/>
    <w:rsid w:val="00150E59"/>
    <w:rsid w:val="00184AD6"/>
    <w:rsid w:val="00186827"/>
    <w:rsid w:val="00187A88"/>
    <w:rsid w:val="00193A97"/>
    <w:rsid w:val="001B65C1"/>
    <w:rsid w:val="001C1397"/>
    <w:rsid w:val="001C684B"/>
    <w:rsid w:val="001D53FC"/>
    <w:rsid w:val="001F2EC7"/>
    <w:rsid w:val="00202D88"/>
    <w:rsid w:val="002065DB"/>
    <w:rsid w:val="002105A6"/>
    <w:rsid w:val="00224902"/>
    <w:rsid w:val="0024460D"/>
    <w:rsid w:val="002447EF"/>
    <w:rsid w:val="00251550"/>
    <w:rsid w:val="002555AF"/>
    <w:rsid w:val="0027221A"/>
    <w:rsid w:val="00275B61"/>
    <w:rsid w:val="00285CBF"/>
    <w:rsid w:val="00287AA5"/>
    <w:rsid w:val="002A6DF0"/>
    <w:rsid w:val="002C4FF5"/>
    <w:rsid w:val="002C5BB8"/>
    <w:rsid w:val="002D1F12"/>
    <w:rsid w:val="002E5A03"/>
    <w:rsid w:val="003009B7"/>
    <w:rsid w:val="003011F3"/>
    <w:rsid w:val="0030469C"/>
    <w:rsid w:val="00310508"/>
    <w:rsid w:val="00321216"/>
    <w:rsid w:val="00325428"/>
    <w:rsid w:val="00330DCE"/>
    <w:rsid w:val="00350726"/>
    <w:rsid w:val="00355D28"/>
    <w:rsid w:val="003723D4"/>
    <w:rsid w:val="00375147"/>
    <w:rsid w:val="00377038"/>
    <w:rsid w:val="003A0899"/>
    <w:rsid w:val="003A7D1C"/>
    <w:rsid w:val="003B0B3B"/>
    <w:rsid w:val="003B13A1"/>
    <w:rsid w:val="003E2137"/>
    <w:rsid w:val="003F2A90"/>
    <w:rsid w:val="0041351A"/>
    <w:rsid w:val="00417D22"/>
    <w:rsid w:val="004270BE"/>
    <w:rsid w:val="004508CA"/>
    <w:rsid w:val="00452FDA"/>
    <w:rsid w:val="00453573"/>
    <w:rsid w:val="00456082"/>
    <w:rsid w:val="0046164A"/>
    <w:rsid w:val="00462DCD"/>
    <w:rsid w:val="004B3F91"/>
    <w:rsid w:val="004D1162"/>
    <w:rsid w:val="004E4DD6"/>
    <w:rsid w:val="004E7AF1"/>
    <w:rsid w:val="004F5E36"/>
    <w:rsid w:val="005119A5"/>
    <w:rsid w:val="005278B7"/>
    <w:rsid w:val="005346C8"/>
    <w:rsid w:val="0055248C"/>
    <w:rsid w:val="00573BF1"/>
    <w:rsid w:val="00594E9F"/>
    <w:rsid w:val="005A01A1"/>
    <w:rsid w:val="005A756B"/>
    <w:rsid w:val="005B61E6"/>
    <w:rsid w:val="005C77E1"/>
    <w:rsid w:val="005D1213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64DF7"/>
    <w:rsid w:val="0066755B"/>
    <w:rsid w:val="006A13D3"/>
    <w:rsid w:val="006A58D2"/>
    <w:rsid w:val="006C5579"/>
    <w:rsid w:val="006F0565"/>
    <w:rsid w:val="006F3E7E"/>
    <w:rsid w:val="00704BDF"/>
    <w:rsid w:val="00710680"/>
    <w:rsid w:val="00736B13"/>
    <w:rsid w:val="00740B79"/>
    <w:rsid w:val="007447F3"/>
    <w:rsid w:val="007661C8"/>
    <w:rsid w:val="007B7AFC"/>
    <w:rsid w:val="007C5C86"/>
    <w:rsid w:val="007C79DD"/>
    <w:rsid w:val="007D05C0"/>
    <w:rsid w:val="007D52CD"/>
    <w:rsid w:val="007D63F4"/>
    <w:rsid w:val="0080502D"/>
    <w:rsid w:val="00813288"/>
    <w:rsid w:val="008168FC"/>
    <w:rsid w:val="008479A2"/>
    <w:rsid w:val="008618D2"/>
    <w:rsid w:val="0086416F"/>
    <w:rsid w:val="00875C23"/>
    <w:rsid w:val="0087637F"/>
    <w:rsid w:val="00880541"/>
    <w:rsid w:val="008A1512"/>
    <w:rsid w:val="008D0BEB"/>
    <w:rsid w:val="008E4870"/>
    <w:rsid w:val="008E566E"/>
    <w:rsid w:val="00901EB6"/>
    <w:rsid w:val="00911B61"/>
    <w:rsid w:val="009123CF"/>
    <w:rsid w:val="00917BD8"/>
    <w:rsid w:val="009450CE"/>
    <w:rsid w:val="0095164B"/>
    <w:rsid w:val="0098057B"/>
    <w:rsid w:val="009817E8"/>
    <w:rsid w:val="00996483"/>
    <w:rsid w:val="009A16C0"/>
    <w:rsid w:val="009C1E46"/>
    <w:rsid w:val="009D48D9"/>
    <w:rsid w:val="009E788A"/>
    <w:rsid w:val="009E7E92"/>
    <w:rsid w:val="00A1763D"/>
    <w:rsid w:val="00A17CEC"/>
    <w:rsid w:val="00A2264E"/>
    <w:rsid w:val="00A248D8"/>
    <w:rsid w:val="00A27EF0"/>
    <w:rsid w:val="00A31D3D"/>
    <w:rsid w:val="00A53F1E"/>
    <w:rsid w:val="00A75BC6"/>
    <w:rsid w:val="00A76EFC"/>
    <w:rsid w:val="00A92BF4"/>
    <w:rsid w:val="00A9626B"/>
    <w:rsid w:val="00A97F29"/>
    <w:rsid w:val="00AB0964"/>
    <w:rsid w:val="00AE377D"/>
    <w:rsid w:val="00AF753C"/>
    <w:rsid w:val="00B04AC8"/>
    <w:rsid w:val="00B13922"/>
    <w:rsid w:val="00B3133B"/>
    <w:rsid w:val="00B60168"/>
    <w:rsid w:val="00B61DBF"/>
    <w:rsid w:val="00B67C5E"/>
    <w:rsid w:val="00B712A4"/>
    <w:rsid w:val="00B83B2F"/>
    <w:rsid w:val="00BA1EA4"/>
    <w:rsid w:val="00BC1289"/>
    <w:rsid w:val="00BC2B8E"/>
    <w:rsid w:val="00BC30C9"/>
    <w:rsid w:val="00BE3E58"/>
    <w:rsid w:val="00BF6465"/>
    <w:rsid w:val="00C01616"/>
    <w:rsid w:val="00C0162B"/>
    <w:rsid w:val="00C0482B"/>
    <w:rsid w:val="00C17F58"/>
    <w:rsid w:val="00C345B1"/>
    <w:rsid w:val="00C352B0"/>
    <w:rsid w:val="00C40142"/>
    <w:rsid w:val="00C40386"/>
    <w:rsid w:val="00C4660A"/>
    <w:rsid w:val="00C57182"/>
    <w:rsid w:val="00C655FD"/>
    <w:rsid w:val="00C864DC"/>
    <w:rsid w:val="00C867B1"/>
    <w:rsid w:val="00C87D8D"/>
    <w:rsid w:val="00C94434"/>
    <w:rsid w:val="00CA1C95"/>
    <w:rsid w:val="00CA5A9C"/>
    <w:rsid w:val="00CB003D"/>
    <w:rsid w:val="00CD5FE2"/>
    <w:rsid w:val="00CD7014"/>
    <w:rsid w:val="00CE0558"/>
    <w:rsid w:val="00CE09F8"/>
    <w:rsid w:val="00D01B83"/>
    <w:rsid w:val="00D02B4C"/>
    <w:rsid w:val="00D1180D"/>
    <w:rsid w:val="00D15FE0"/>
    <w:rsid w:val="00D17892"/>
    <w:rsid w:val="00D51BAB"/>
    <w:rsid w:val="00D5596F"/>
    <w:rsid w:val="00D63BF7"/>
    <w:rsid w:val="00D7186B"/>
    <w:rsid w:val="00D73FDF"/>
    <w:rsid w:val="00D84576"/>
    <w:rsid w:val="00D918F9"/>
    <w:rsid w:val="00D96D26"/>
    <w:rsid w:val="00DA705E"/>
    <w:rsid w:val="00DE0019"/>
    <w:rsid w:val="00DE0DEA"/>
    <w:rsid w:val="00DE264A"/>
    <w:rsid w:val="00DF4E4D"/>
    <w:rsid w:val="00DF509A"/>
    <w:rsid w:val="00DF6D0B"/>
    <w:rsid w:val="00E041E7"/>
    <w:rsid w:val="00E23CA1"/>
    <w:rsid w:val="00E32DF8"/>
    <w:rsid w:val="00E409A8"/>
    <w:rsid w:val="00E45604"/>
    <w:rsid w:val="00E47911"/>
    <w:rsid w:val="00E57726"/>
    <w:rsid w:val="00E7209D"/>
    <w:rsid w:val="00E804A8"/>
    <w:rsid w:val="00EA50E1"/>
    <w:rsid w:val="00EC1F45"/>
    <w:rsid w:val="00ED4A23"/>
    <w:rsid w:val="00EE0131"/>
    <w:rsid w:val="00EF55CA"/>
    <w:rsid w:val="00F277B5"/>
    <w:rsid w:val="00F30C64"/>
    <w:rsid w:val="00F34958"/>
    <w:rsid w:val="00F37C71"/>
    <w:rsid w:val="00F73A66"/>
    <w:rsid w:val="00FB730C"/>
    <w:rsid w:val="00FC2695"/>
    <w:rsid w:val="00FC3E03"/>
    <w:rsid w:val="00FC66DE"/>
    <w:rsid w:val="00FE603D"/>
    <w:rsid w:val="00FE6A2D"/>
    <w:rsid w:val="00FF33A9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msor1">
    <w:name w:val="heading 1"/>
    <w:basedOn w:val="CETHeading1"/>
    <w:next w:val="Norml"/>
    <w:link w:val="Cmsor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gyszertblzat1">
    <w:name w:val="Table Simple 1"/>
    <w:basedOn w:val="Normltblzat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7"/>
    <w:semiHidden/>
    <w:unhideWhenUsed/>
    <w:rsid w:val="0003148D"/>
  </w:style>
  <w:style w:type="paragraph" w:styleId="Szvegtrzs2">
    <w:name w:val="Body Text 2"/>
    <w:basedOn w:val="Norml"/>
    <w:link w:val="Szvegtrzs2Char"/>
    <w:uiPriority w:val="99"/>
    <w:semiHidden/>
    <w:unhideWhenUsed/>
    <w:rsid w:val="000314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3148D"/>
  </w:style>
  <w:style w:type="paragraph" w:styleId="Szvegtrzs3">
    <w:name w:val="Body Text 3"/>
    <w:basedOn w:val="Norml"/>
    <w:link w:val="Szvegtrzs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3148D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14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148D"/>
  </w:style>
  <w:style w:type="paragraph" w:styleId="Dtum">
    <w:name w:val="Date"/>
    <w:basedOn w:val="Norml"/>
    <w:next w:val="Norml"/>
    <w:link w:val="DtumChar"/>
    <w:uiPriority w:val="99"/>
    <w:semiHidden/>
    <w:unhideWhenUsed/>
    <w:locked/>
    <w:rsid w:val="0003148D"/>
  </w:style>
  <w:style w:type="character" w:customStyle="1" w:styleId="DtumChar">
    <w:name w:val="Dátum Char"/>
    <w:basedOn w:val="Bekezdsalapbettpusa"/>
    <w:link w:val="Dtum"/>
    <w:uiPriority w:val="99"/>
    <w:semiHidden/>
    <w:rsid w:val="0003148D"/>
  </w:style>
  <w:style w:type="paragraph" w:styleId="Kpalrs">
    <w:name w:val="caption"/>
    <w:basedOn w:val="Norml"/>
    <w:next w:val="Norm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lrs">
    <w:name w:val="Signature"/>
    <w:basedOn w:val="Norml"/>
    <w:link w:val="Alr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03148D"/>
  </w:style>
  <w:style w:type="paragraph" w:styleId="E-mailalrsa">
    <w:name w:val="E-mail Signature"/>
    <w:basedOn w:val="Norml"/>
    <w:link w:val="E-mailalrsa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03148D"/>
  </w:style>
  <w:style w:type="paragraph" w:styleId="Megszlts">
    <w:name w:val="Salutation"/>
    <w:basedOn w:val="Norml"/>
    <w:next w:val="Norml"/>
    <w:link w:val="MegszltsChar"/>
    <w:uiPriority w:val="99"/>
    <w:semiHidden/>
    <w:unhideWhenUsed/>
    <w:locked/>
    <w:rsid w:val="0003148D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03148D"/>
  </w:style>
  <w:style w:type="paragraph" w:styleId="Befejezs">
    <w:name w:val="Closing"/>
    <w:basedOn w:val="Norml"/>
    <w:link w:val="Befejez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03148D"/>
  </w:style>
  <w:style w:type="paragraph" w:styleId="Trgymutat1">
    <w:name w:val="index 1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locked/>
    <w:rsid w:val="0003148D"/>
  </w:style>
  <w:style w:type="paragraph" w:styleId="Hivatkozsjegyzk">
    <w:name w:val="table of authorities"/>
    <w:basedOn w:val="Norml"/>
    <w:next w:val="Norml"/>
    <w:uiPriority w:val="99"/>
    <w:semiHidden/>
    <w:unhideWhenUsed/>
    <w:locked/>
    <w:rsid w:val="0003148D"/>
    <w:pPr>
      <w:ind w:left="220" w:hanging="220"/>
    </w:pPr>
  </w:style>
  <w:style w:type="paragraph" w:styleId="Bortkcm">
    <w:name w:val="envelope address"/>
    <w:basedOn w:val="Norm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03148D"/>
    <w:rPr>
      <w:i/>
      <w:iCs/>
    </w:rPr>
  </w:style>
  <w:style w:type="paragraph" w:styleId="Feladcmebortkon">
    <w:name w:val="envelope return"/>
    <w:basedOn w:val="Norm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enetfej">
    <w:name w:val="Message Header"/>
    <w:basedOn w:val="Norml"/>
    <w:link w:val="zenetfej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locked/>
    <w:rsid w:val="0003148D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03148D"/>
  </w:style>
  <w:style w:type="paragraph" w:styleId="Dokumentumtrkp">
    <w:name w:val="Document Map"/>
    <w:basedOn w:val="Norml"/>
    <w:link w:val="Dokumentumtrk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locked/>
    <w:rsid w:val="0003148D"/>
    <w:rPr>
      <w:sz w:val="24"/>
      <w:szCs w:val="24"/>
    </w:rPr>
  </w:style>
  <w:style w:type="paragraph" w:styleId="Szmozottlista">
    <w:name w:val="List Number"/>
    <w:basedOn w:val="Norm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03148D"/>
  </w:style>
  <w:style w:type="paragraph" w:styleId="Szvegtrzsbehzssal">
    <w:name w:val="Body Text Indent"/>
    <w:basedOn w:val="Norml"/>
    <w:link w:val="Szvegtrzsbehzssal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3148D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03148D"/>
  </w:style>
  <w:style w:type="paragraph" w:styleId="Felsorols">
    <w:name w:val="List Bullet"/>
    <w:basedOn w:val="Norm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Felsorols2">
    <w:name w:val="List Bullet 2"/>
    <w:basedOn w:val="Norm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Felsorols3">
    <w:name w:val="List Bullet 3"/>
    <w:basedOn w:val="Norm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Felsorols4">
    <w:name w:val="List Bullet 4"/>
    <w:basedOn w:val="Norm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Felsorols5">
    <w:name w:val="List Bullet 5"/>
    <w:basedOn w:val="Norm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3148D"/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3148D"/>
    <w:rPr>
      <w:sz w:val="16"/>
      <w:szCs w:val="16"/>
    </w:rPr>
  </w:style>
  <w:style w:type="paragraph" w:styleId="Normlbehzs">
    <w:name w:val="Normal Indent"/>
    <w:basedOn w:val="Norml"/>
    <w:uiPriority w:val="99"/>
    <w:semiHidden/>
    <w:unhideWhenUsed/>
    <w:locked/>
    <w:rsid w:val="0003148D"/>
    <w:pPr>
      <w:ind w:left="720"/>
    </w:p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14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0314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48D"/>
    <w:rPr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unhideWhenUsed/>
    <w:locked/>
    <w:rsid w:val="0003148D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Szvegblokk">
    <w:name w:val="Block Text"/>
    <w:basedOn w:val="Norm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szvege">
    <w:name w:val="macro"/>
    <w:link w:val="Makrszvege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148D"/>
    <w:rPr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locked/>
    <w:rsid w:val="0003148D"/>
    <w:pPr>
      <w:spacing w:line="240" w:lineRule="auto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3148D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rgymutatcm">
    <w:name w:val="index heading"/>
    <w:basedOn w:val="Norml"/>
    <w:next w:val="Trgymutat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Bekezdsalapbettpus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Rcsostblzat">
    <w:name w:val="Table Grid"/>
    <w:basedOn w:val="Normltblzat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Default">
    <w:name w:val="Default"/>
    <w:rsid w:val="00A3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locked/>
    <w:rsid w:val="0022490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3011F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molnar@mail.bme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3DF0-2E9C-4F8F-A4C7-AA73170B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Emese</cp:lastModifiedBy>
  <cp:revision>3</cp:revision>
  <cp:lastPrinted>2019-06-05T08:13:00Z</cp:lastPrinted>
  <dcterms:created xsi:type="dcterms:W3CDTF">2019-06-05T09:01:00Z</dcterms:created>
  <dcterms:modified xsi:type="dcterms:W3CDTF">2019-06-05T09:22:00Z</dcterms:modified>
</cp:coreProperties>
</file>