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113FF8" w:rsidP="00113FF8">
      <w:pPr>
        <w:snapToGrid w:val="0"/>
        <w:spacing w:after="360"/>
        <w:jc w:val="center"/>
        <w:rPr>
          <w:rFonts w:asciiTheme="minorHAnsi" w:eastAsia="MS PGothic" w:hAnsiTheme="minorHAnsi"/>
          <w:b/>
          <w:bCs/>
          <w:sz w:val="28"/>
          <w:szCs w:val="28"/>
          <w:lang w:val="en-US" w:eastAsia="ko-KR"/>
        </w:rPr>
      </w:pPr>
      <w:r w:rsidRPr="00113FF8">
        <w:rPr>
          <w:rFonts w:asciiTheme="minorHAnsi" w:eastAsia="MS PGothic" w:hAnsiTheme="minorHAnsi"/>
          <w:b/>
          <w:bCs/>
          <w:sz w:val="28"/>
          <w:szCs w:val="28"/>
          <w:lang w:val="en-US"/>
        </w:rPr>
        <w:t xml:space="preserve">STABILITY OF MICROEMULSIONS WATER IN OIL (W / O) TO CHANGES OF PH CHARGED WITH CANTOCYANINS OF </w:t>
      </w:r>
      <w:proofErr w:type="spellStart"/>
      <w:r>
        <w:rPr>
          <w:rFonts w:asciiTheme="minorHAnsi" w:eastAsia="MS PGothic" w:hAnsiTheme="minorHAnsi"/>
          <w:b/>
          <w:bCs/>
          <w:i/>
          <w:sz w:val="28"/>
          <w:szCs w:val="28"/>
          <w:lang w:val="en-US"/>
        </w:rPr>
        <w:t>A</w:t>
      </w:r>
      <w:r w:rsidRPr="00113FF8">
        <w:rPr>
          <w:rFonts w:asciiTheme="minorHAnsi" w:eastAsia="MS PGothic" w:hAnsiTheme="minorHAnsi"/>
          <w:b/>
          <w:bCs/>
          <w:i/>
          <w:sz w:val="28"/>
          <w:szCs w:val="28"/>
          <w:lang w:val="en-US"/>
        </w:rPr>
        <w:t>rdisia</w:t>
      </w:r>
      <w:proofErr w:type="spellEnd"/>
      <w:r w:rsidRPr="00113FF8">
        <w:rPr>
          <w:rFonts w:asciiTheme="minorHAnsi" w:eastAsia="MS PGothic" w:hAnsiTheme="minorHAnsi"/>
          <w:b/>
          <w:bCs/>
          <w:i/>
          <w:sz w:val="28"/>
          <w:szCs w:val="28"/>
          <w:lang w:val="en-US"/>
        </w:rPr>
        <w:t xml:space="preserve"> </w:t>
      </w:r>
      <w:proofErr w:type="spellStart"/>
      <w:r w:rsidRPr="00113FF8">
        <w:rPr>
          <w:rFonts w:asciiTheme="minorHAnsi" w:eastAsia="MS PGothic" w:hAnsiTheme="minorHAnsi"/>
          <w:b/>
          <w:bCs/>
          <w:i/>
          <w:sz w:val="28"/>
          <w:szCs w:val="28"/>
          <w:lang w:val="en-US"/>
        </w:rPr>
        <w:t>compressa</w:t>
      </w:r>
      <w:proofErr w:type="spellEnd"/>
      <w:r w:rsidRPr="00113FF8">
        <w:rPr>
          <w:rFonts w:asciiTheme="minorHAnsi" w:eastAsia="MS PGothic" w:hAnsiTheme="minorHAnsi"/>
          <w:b/>
          <w:bCs/>
          <w:i/>
          <w:sz w:val="28"/>
          <w:szCs w:val="28"/>
          <w:lang w:val="en-US"/>
        </w:rPr>
        <w:t xml:space="preserve"> </w:t>
      </w:r>
      <w:r w:rsidRPr="00113FF8">
        <w:rPr>
          <w:rFonts w:asciiTheme="minorHAnsi" w:eastAsia="MS PGothic" w:hAnsiTheme="minorHAnsi"/>
          <w:b/>
          <w:bCs/>
          <w:sz w:val="28"/>
          <w:szCs w:val="28"/>
          <w:lang w:val="en-US"/>
        </w:rPr>
        <w:t>K.</w:t>
      </w:r>
    </w:p>
    <w:p w:rsidR="00C54343" w:rsidRPr="0001422E" w:rsidRDefault="00C54343" w:rsidP="00C54343">
      <w:pPr>
        <w:jc w:val="center"/>
        <w:rPr>
          <w:rFonts w:asciiTheme="minorHAnsi" w:hAnsiTheme="minorHAnsi" w:cstheme="minorHAnsi"/>
          <w:iCs/>
          <w:sz w:val="24"/>
          <w:szCs w:val="24"/>
        </w:rPr>
      </w:pPr>
      <w:r w:rsidRPr="0001422E">
        <w:rPr>
          <w:rFonts w:asciiTheme="minorHAnsi" w:hAnsiTheme="minorHAnsi" w:cstheme="minorHAnsi"/>
          <w:iCs/>
          <w:sz w:val="24"/>
          <w:szCs w:val="24"/>
        </w:rPr>
        <w:t xml:space="preserve">Elvia Joaquín-Cruz </w:t>
      </w:r>
      <w:r w:rsidRPr="0001422E">
        <w:rPr>
          <w:rFonts w:asciiTheme="minorHAnsi" w:hAnsiTheme="minorHAnsi" w:cstheme="minorHAnsi"/>
          <w:iCs/>
          <w:sz w:val="24"/>
          <w:szCs w:val="24"/>
          <w:vertAlign w:val="superscript"/>
        </w:rPr>
        <w:t>1</w:t>
      </w:r>
      <w:r w:rsidRPr="0001422E">
        <w:rPr>
          <w:rFonts w:asciiTheme="minorHAnsi" w:hAnsiTheme="minorHAnsi" w:cstheme="minorHAnsi"/>
          <w:iCs/>
          <w:sz w:val="24"/>
          <w:szCs w:val="24"/>
        </w:rPr>
        <w:t>, Landy Hernández-Rodríguez</w:t>
      </w:r>
      <w:r w:rsidRPr="0001422E">
        <w:rPr>
          <w:rFonts w:asciiTheme="minorHAnsi" w:hAnsiTheme="minorHAnsi" w:cstheme="minorHAnsi"/>
          <w:iCs/>
          <w:sz w:val="24"/>
          <w:szCs w:val="24"/>
          <w:vertAlign w:val="superscript"/>
        </w:rPr>
        <w:t>2</w:t>
      </w:r>
      <w:r w:rsidRPr="0001422E">
        <w:rPr>
          <w:rFonts w:asciiTheme="minorHAnsi" w:hAnsiTheme="minorHAnsi" w:cstheme="minorHAnsi"/>
          <w:iCs/>
          <w:sz w:val="24"/>
          <w:szCs w:val="24"/>
        </w:rPr>
        <w:t>, Rubén Jiménez-Alvarado</w:t>
      </w:r>
      <w:r w:rsidRPr="0001422E">
        <w:rPr>
          <w:rFonts w:asciiTheme="minorHAnsi" w:hAnsiTheme="minorHAnsi" w:cstheme="minorHAnsi"/>
          <w:iCs/>
          <w:sz w:val="24"/>
          <w:szCs w:val="24"/>
          <w:vertAlign w:val="superscript"/>
        </w:rPr>
        <w:t>3</w:t>
      </w:r>
      <w:r w:rsidRPr="0001422E">
        <w:rPr>
          <w:rFonts w:asciiTheme="minorHAnsi" w:hAnsiTheme="minorHAnsi" w:cstheme="minorHAnsi"/>
          <w:iCs/>
          <w:sz w:val="24"/>
          <w:szCs w:val="24"/>
        </w:rPr>
        <w:t>, Jaime Vernon</w:t>
      </w:r>
      <w:r w:rsidR="0001422E" w:rsidRPr="0001422E">
        <w:rPr>
          <w:rFonts w:asciiTheme="minorHAnsi" w:hAnsiTheme="minorHAnsi" w:cstheme="minorHAnsi"/>
          <w:iCs/>
          <w:sz w:val="24"/>
          <w:szCs w:val="24"/>
        </w:rPr>
        <w:t>-</w:t>
      </w:r>
      <w:r w:rsidRPr="0001422E">
        <w:rPr>
          <w:rFonts w:asciiTheme="minorHAnsi" w:hAnsiTheme="minorHAnsi" w:cstheme="minorHAnsi"/>
          <w:iCs/>
          <w:sz w:val="24"/>
          <w:szCs w:val="24"/>
        </w:rPr>
        <w:t xml:space="preserve"> Carter</w:t>
      </w:r>
      <w:r w:rsidRPr="0001422E">
        <w:rPr>
          <w:rFonts w:asciiTheme="minorHAnsi" w:hAnsiTheme="minorHAnsi" w:cstheme="minorHAnsi"/>
          <w:iCs/>
          <w:sz w:val="24"/>
          <w:szCs w:val="24"/>
          <w:vertAlign w:val="superscript"/>
        </w:rPr>
        <w:t>1</w:t>
      </w:r>
      <w:r w:rsidRPr="0001422E">
        <w:rPr>
          <w:rFonts w:asciiTheme="minorHAnsi" w:hAnsiTheme="minorHAnsi" w:cstheme="minorHAnsi"/>
          <w:iCs/>
          <w:sz w:val="24"/>
          <w:szCs w:val="24"/>
        </w:rPr>
        <w:t xml:space="preserve">, </w:t>
      </w:r>
      <w:proofErr w:type="spellStart"/>
      <w:r w:rsidRPr="0001422E">
        <w:rPr>
          <w:rFonts w:asciiTheme="minorHAnsi" w:hAnsiTheme="minorHAnsi" w:cstheme="minorHAnsi"/>
          <w:iCs/>
          <w:sz w:val="24"/>
          <w:szCs w:val="24"/>
        </w:rPr>
        <w:t>Angélica</w:t>
      </w:r>
      <w:proofErr w:type="spellEnd"/>
      <w:r w:rsidRPr="0001422E">
        <w:rPr>
          <w:rFonts w:asciiTheme="minorHAnsi" w:hAnsiTheme="minorHAnsi" w:cstheme="minorHAnsi"/>
          <w:iCs/>
          <w:sz w:val="24"/>
          <w:szCs w:val="24"/>
        </w:rPr>
        <w:t xml:space="preserve"> Román-Guerrero </w:t>
      </w:r>
      <w:r w:rsidRPr="0001422E">
        <w:rPr>
          <w:rFonts w:asciiTheme="minorHAnsi" w:hAnsiTheme="minorHAnsi" w:cstheme="minorHAnsi"/>
          <w:iCs/>
          <w:sz w:val="24"/>
          <w:szCs w:val="24"/>
          <w:vertAlign w:val="superscript"/>
        </w:rPr>
        <w:t>1</w:t>
      </w:r>
      <w:r w:rsidRPr="0001422E">
        <w:rPr>
          <w:rFonts w:asciiTheme="minorHAnsi" w:hAnsiTheme="minorHAnsi" w:cstheme="minorHAnsi"/>
          <w:iCs/>
          <w:sz w:val="24"/>
          <w:szCs w:val="24"/>
        </w:rPr>
        <w:t>*</w:t>
      </w:r>
    </w:p>
    <w:p w:rsidR="00C54343" w:rsidRPr="00C54343" w:rsidRDefault="0001422E" w:rsidP="00C54343">
      <w:pPr>
        <w:tabs>
          <w:tab w:val="left" w:pos="1080"/>
          <w:tab w:val="right" w:pos="9000"/>
        </w:tabs>
        <w:jc w:val="center"/>
        <w:rPr>
          <w:rFonts w:asciiTheme="minorHAnsi" w:hAnsiTheme="minorHAnsi" w:cstheme="minorHAnsi"/>
          <w:i/>
          <w:color w:val="000000"/>
          <w:sz w:val="20"/>
        </w:rPr>
      </w:pPr>
      <w:r>
        <w:rPr>
          <w:rFonts w:asciiTheme="minorHAnsi" w:hAnsiTheme="minorHAnsi" w:cstheme="minorHAnsi"/>
          <w:i/>
          <w:color w:val="000000"/>
          <w:sz w:val="20"/>
          <w:vertAlign w:val="superscript"/>
        </w:rPr>
        <w:t>1</w:t>
      </w:r>
      <w:r w:rsidR="00AB3DBA" w:rsidRPr="00AB3DBA">
        <w:rPr>
          <w:rFonts w:asciiTheme="minorHAnsi" w:hAnsiTheme="minorHAnsi" w:cstheme="minorHAnsi"/>
          <w:i/>
          <w:color w:val="000000"/>
          <w:sz w:val="20"/>
        </w:rPr>
        <w:t>Departments of Biotechnology and Process Engineering and Hydraulics, Autonomous Metropolitan University</w:t>
      </w:r>
      <w:r w:rsidR="00C54343" w:rsidRPr="00C54343">
        <w:rPr>
          <w:rFonts w:asciiTheme="minorHAnsi" w:hAnsiTheme="minorHAnsi" w:cstheme="minorHAnsi"/>
          <w:i/>
          <w:color w:val="000000"/>
          <w:sz w:val="20"/>
        </w:rPr>
        <w:t xml:space="preserve">, San Rafael </w:t>
      </w:r>
      <w:proofErr w:type="spellStart"/>
      <w:r w:rsidR="00C54343" w:rsidRPr="00C54343">
        <w:rPr>
          <w:rFonts w:asciiTheme="minorHAnsi" w:hAnsiTheme="minorHAnsi" w:cstheme="minorHAnsi"/>
          <w:i/>
          <w:color w:val="000000"/>
          <w:sz w:val="20"/>
        </w:rPr>
        <w:t>Atlixco</w:t>
      </w:r>
      <w:proofErr w:type="spellEnd"/>
      <w:r w:rsidR="00C54343" w:rsidRPr="00C54343">
        <w:rPr>
          <w:rFonts w:asciiTheme="minorHAnsi" w:hAnsiTheme="minorHAnsi" w:cstheme="minorHAnsi"/>
          <w:i/>
          <w:color w:val="000000"/>
          <w:sz w:val="20"/>
        </w:rPr>
        <w:t xml:space="preserve"> 186, Col. </w:t>
      </w:r>
      <w:proofErr w:type="spellStart"/>
      <w:r w:rsidR="00C54343" w:rsidRPr="00C54343">
        <w:rPr>
          <w:rFonts w:asciiTheme="minorHAnsi" w:hAnsiTheme="minorHAnsi" w:cstheme="minorHAnsi"/>
          <w:i/>
          <w:color w:val="000000"/>
          <w:sz w:val="20"/>
        </w:rPr>
        <w:t>Vicentina</w:t>
      </w:r>
      <w:proofErr w:type="spellEnd"/>
      <w:r w:rsidR="00C54343" w:rsidRPr="00C54343">
        <w:rPr>
          <w:rFonts w:asciiTheme="minorHAnsi" w:hAnsiTheme="minorHAnsi" w:cstheme="minorHAnsi"/>
          <w:i/>
          <w:color w:val="000000"/>
          <w:sz w:val="20"/>
        </w:rPr>
        <w:t xml:space="preserve">, Cd. de México, 09340, México. </w:t>
      </w:r>
    </w:p>
    <w:p w:rsidR="0001422E" w:rsidRDefault="0001422E" w:rsidP="0001422E">
      <w:pPr>
        <w:tabs>
          <w:tab w:val="left" w:pos="1080"/>
          <w:tab w:val="right" w:pos="9000"/>
        </w:tabs>
        <w:jc w:val="center"/>
        <w:rPr>
          <w:rFonts w:asciiTheme="minorHAnsi" w:hAnsiTheme="minorHAnsi" w:cstheme="minorHAnsi"/>
          <w:i/>
          <w:color w:val="000000"/>
          <w:sz w:val="20"/>
        </w:rPr>
      </w:pPr>
      <w:r>
        <w:rPr>
          <w:rFonts w:asciiTheme="minorHAnsi" w:hAnsiTheme="minorHAnsi" w:cstheme="minorHAnsi"/>
          <w:i/>
          <w:color w:val="000000"/>
          <w:sz w:val="20"/>
          <w:vertAlign w:val="superscript"/>
        </w:rPr>
        <w:t>2</w:t>
      </w:r>
      <w:r w:rsidR="00C54343" w:rsidRPr="00C54343">
        <w:rPr>
          <w:rFonts w:asciiTheme="minorHAnsi" w:hAnsiTheme="minorHAnsi" w:cstheme="minorHAnsi"/>
          <w:i/>
          <w:color w:val="000000"/>
          <w:sz w:val="20"/>
          <w:vertAlign w:val="superscript"/>
        </w:rPr>
        <w:t xml:space="preserve"> </w:t>
      </w:r>
      <w:r w:rsidR="00AB3DBA" w:rsidRPr="00AB3DBA">
        <w:rPr>
          <w:rFonts w:asciiTheme="minorHAnsi" w:hAnsiTheme="minorHAnsi" w:cstheme="minorHAnsi"/>
          <w:i/>
          <w:color w:val="000000"/>
          <w:sz w:val="20"/>
        </w:rPr>
        <w:t xml:space="preserve">Agricultural High School, Autonomous University </w:t>
      </w:r>
      <w:proofErr w:type="spellStart"/>
      <w:r w:rsidR="00AB3DBA" w:rsidRPr="00AB3DBA">
        <w:rPr>
          <w:rFonts w:asciiTheme="minorHAnsi" w:hAnsiTheme="minorHAnsi" w:cstheme="minorHAnsi"/>
          <w:i/>
          <w:color w:val="000000"/>
          <w:sz w:val="20"/>
        </w:rPr>
        <w:t>Chapingo</w:t>
      </w:r>
      <w:proofErr w:type="spellEnd"/>
      <w:r w:rsidR="00C54343" w:rsidRPr="00C54343">
        <w:rPr>
          <w:rFonts w:asciiTheme="minorHAnsi" w:hAnsiTheme="minorHAnsi" w:cstheme="minorHAnsi"/>
          <w:i/>
          <w:color w:val="000000"/>
          <w:sz w:val="20"/>
        </w:rPr>
        <w:t>,</w:t>
      </w:r>
      <w:r w:rsidR="00C54343" w:rsidRPr="00C54343">
        <w:rPr>
          <w:rFonts w:asciiTheme="minorHAnsi" w:hAnsiTheme="minorHAnsi" w:cstheme="minorHAnsi"/>
          <w:i/>
        </w:rPr>
        <w:t xml:space="preserve"> </w:t>
      </w:r>
      <w:proofErr w:type="spellStart"/>
      <w:r w:rsidR="00C54343" w:rsidRPr="00C54343">
        <w:rPr>
          <w:rFonts w:asciiTheme="minorHAnsi" w:hAnsiTheme="minorHAnsi" w:cstheme="minorHAnsi"/>
          <w:i/>
          <w:color w:val="000000"/>
          <w:sz w:val="20"/>
        </w:rPr>
        <w:t>Chapingo</w:t>
      </w:r>
      <w:proofErr w:type="spellEnd"/>
      <w:r w:rsidR="00C54343" w:rsidRPr="00C54343">
        <w:rPr>
          <w:rFonts w:asciiTheme="minorHAnsi" w:hAnsiTheme="minorHAnsi" w:cstheme="minorHAnsi"/>
          <w:i/>
          <w:color w:val="000000"/>
          <w:sz w:val="20"/>
        </w:rPr>
        <w:t>, Estado de México. 56230, México.</w:t>
      </w:r>
    </w:p>
    <w:p w:rsidR="00C54343" w:rsidRPr="0001422E" w:rsidRDefault="0001422E" w:rsidP="0001422E">
      <w:pPr>
        <w:tabs>
          <w:tab w:val="left" w:pos="1080"/>
          <w:tab w:val="right" w:pos="9000"/>
        </w:tabs>
        <w:jc w:val="center"/>
        <w:rPr>
          <w:rFonts w:asciiTheme="minorHAnsi" w:hAnsiTheme="minorHAnsi" w:cstheme="minorHAnsi"/>
          <w:i/>
          <w:color w:val="000000"/>
          <w:sz w:val="20"/>
        </w:rPr>
      </w:pPr>
      <w:r>
        <w:rPr>
          <w:rFonts w:asciiTheme="minorHAnsi" w:hAnsiTheme="minorHAnsi" w:cstheme="minorHAnsi"/>
          <w:i/>
          <w:color w:val="000000"/>
          <w:sz w:val="20"/>
          <w:vertAlign w:val="superscript"/>
        </w:rPr>
        <w:t>3</w:t>
      </w:r>
      <w:r w:rsidR="00C54343" w:rsidRPr="00C54343">
        <w:rPr>
          <w:rFonts w:asciiTheme="minorHAnsi" w:hAnsiTheme="minorHAnsi" w:cstheme="minorHAnsi"/>
          <w:i/>
          <w:color w:val="000000"/>
          <w:sz w:val="20"/>
          <w:vertAlign w:val="superscript"/>
        </w:rPr>
        <w:t xml:space="preserve"> </w:t>
      </w:r>
      <w:r w:rsidR="00AB3DBA" w:rsidRPr="00AB3DBA">
        <w:rPr>
          <w:rFonts w:asciiTheme="minorHAnsi" w:hAnsiTheme="minorHAnsi" w:cstheme="minorHAnsi"/>
          <w:i/>
          <w:color w:val="000000"/>
          <w:sz w:val="20"/>
        </w:rPr>
        <w:t>Institute of Agricultural Sciences, Autonomous University of the State of Hidalgo</w:t>
      </w:r>
      <w:r w:rsidR="00C54343" w:rsidRPr="00C54343">
        <w:rPr>
          <w:rFonts w:asciiTheme="minorHAnsi" w:hAnsiTheme="minorHAnsi" w:cstheme="minorHAnsi"/>
          <w:i/>
          <w:color w:val="000000"/>
          <w:sz w:val="20"/>
        </w:rPr>
        <w:t xml:space="preserve">, </w:t>
      </w:r>
      <w:proofErr w:type="spellStart"/>
      <w:r w:rsidR="00C54343" w:rsidRPr="00C54343">
        <w:rPr>
          <w:rFonts w:asciiTheme="minorHAnsi" w:hAnsiTheme="minorHAnsi" w:cstheme="minorHAnsi"/>
          <w:i/>
          <w:color w:val="000000"/>
          <w:sz w:val="20"/>
        </w:rPr>
        <w:t>Tulancingo</w:t>
      </w:r>
      <w:proofErr w:type="spellEnd"/>
      <w:r w:rsidR="00C54343" w:rsidRPr="00C54343">
        <w:rPr>
          <w:rFonts w:asciiTheme="minorHAnsi" w:hAnsiTheme="minorHAnsi" w:cstheme="minorHAnsi"/>
          <w:i/>
          <w:color w:val="000000"/>
          <w:sz w:val="20"/>
        </w:rPr>
        <w:t>, Hidalgo, 43600, México</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AB3DBA">
        <w:rPr>
          <w:rFonts w:asciiTheme="minorHAnsi" w:eastAsia="MS PGothic" w:hAnsiTheme="minorHAnsi"/>
          <w:bCs/>
          <w:i/>
          <w:iCs/>
          <w:sz w:val="20"/>
          <w:lang w:val="en-US"/>
        </w:rPr>
        <w:t>elviajoce</w:t>
      </w:r>
      <w:r w:rsidRPr="00DE0019">
        <w:rPr>
          <w:rFonts w:asciiTheme="minorHAnsi" w:eastAsia="MS PGothic" w:hAnsiTheme="minorHAnsi"/>
          <w:bCs/>
          <w:i/>
          <w:iCs/>
          <w:sz w:val="20"/>
          <w:lang w:val="en-US"/>
        </w:rPr>
        <w:t>@</w:t>
      </w:r>
      <w:r w:rsidR="0001422E">
        <w:rPr>
          <w:rFonts w:asciiTheme="minorHAnsi" w:eastAsia="MS PGothic" w:hAnsiTheme="minorHAnsi"/>
          <w:bCs/>
          <w:i/>
          <w:iCs/>
          <w:sz w:val="20"/>
          <w:lang w:val="en-US"/>
        </w:rPr>
        <w:t>gmail.com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0062EA" w:rsidRPr="000062EA" w:rsidRDefault="000062EA" w:rsidP="000062EA">
      <w:pPr>
        <w:pStyle w:val="AbstractBody"/>
        <w:numPr>
          <w:ilvl w:val="0"/>
          <w:numId w:val="16"/>
        </w:numPr>
        <w:rPr>
          <w:rFonts w:asciiTheme="minorHAnsi" w:hAnsiTheme="minorHAnsi"/>
        </w:rPr>
      </w:pPr>
      <w:r w:rsidRPr="000062EA">
        <w:rPr>
          <w:rFonts w:asciiTheme="minorHAnsi" w:hAnsiTheme="minorHAnsi"/>
        </w:rPr>
        <w:t>It shows three formulations containing dispersed phase mass fractions of 10, 20 and 30% respectively.</w:t>
      </w:r>
    </w:p>
    <w:p w:rsidR="000062EA" w:rsidRPr="000062EA" w:rsidRDefault="000062EA" w:rsidP="000062EA">
      <w:pPr>
        <w:pStyle w:val="AbstractBody"/>
        <w:numPr>
          <w:ilvl w:val="0"/>
          <w:numId w:val="16"/>
        </w:numPr>
        <w:rPr>
          <w:rFonts w:asciiTheme="minorHAnsi" w:hAnsiTheme="minorHAnsi"/>
        </w:rPr>
      </w:pPr>
      <w:r w:rsidRPr="000062EA">
        <w:rPr>
          <w:rFonts w:asciiTheme="minorHAnsi" w:hAnsiTheme="minorHAnsi"/>
        </w:rPr>
        <w:t xml:space="preserve">Summarizes the stability presented by the </w:t>
      </w:r>
      <w:proofErr w:type="spellStart"/>
      <w:r w:rsidR="00F30696">
        <w:rPr>
          <w:rFonts w:asciiTheme="minorHAnsi" w:hAnsiTheme="minorHAnsi"/>
        </w:rPr>
        <w:t>m</w:t>
      </w:r>
      <w:r w:rsidRPr="000062EA">
        <w:rPr>
          <w:rFonts w:asciiTheme="minorHAnsi" w:hAnsiTheme="minorHAnsi"/>
        </w:rPr>
        <w:t>icroemulsions</w:t>
      </w:r>
      <w:proofErr w:type="spellEnd"/>
      <w:r w:rsidRPr="000062EA">
        <w:rPr>
          <w:rFonts w:asciiTheme="minorHAnsi" w:hAnsiTheme="minorHAnsi"/>
        </w:rPr>
        <w:t xml:space="preserve"> at pH changes</w:t>
      </w:r>
    </w:p>
    <w:p w:rsidR="000062EA" w:rsidRDefault="000062EA" w:rsidP="000062EA">
      <w:pPr>
        <w:pStyle w:val="AbstractBody"/>
        <w:numPr>
          <w:ilvl w:val="0"/>
          <w:numId w:val="16"/>
        </w:numPr>
        <w:rPr>
          <w:rFonts w:asciiTheme="minorHAnsi" w:hAnsiTheme="minorHAnsi"/>
        </w:rPr>
      </w:pPr>
      <w:r w:rsidRPr="000062EA">
        <w:rPr>
          <w:rFonts w:asciiTheme="minorHAnsi" w:hAnsiTheme="minorHAnsi"/>
        </w:rPr>
        <w:t xml:space="preserve">Provides </w:t>
      </w:r>
      <w:proofErr w:type="spellStart"/>
      <w:r w:rsidRPr="000062EA">
        <w:rPr>
          <w:rFonts w:asciiTheme="minorHAnsi" w:hAnsiTheme="minorHAnsi"/>
        </w:rPr>
        <w:t>detailedde</w:t>
      </w:r>
      <w:proofErr w:type="spellEnd"/>
      <w:r w:rsidRPr="000062EA">
        <w:rPr>
          <w:rFonts w:asciiTheme="minorHAnsi" w:hAnsiTheme="minorHAnsi"/>
        </w:rPr>
        <w:t xml:space="preserve"> accelerated stability profiles</w:t>
      </w:r>
    </w:p>
    <w:p w:rsidR="00704BDF" w:rsidRPr="00A15B93" w:rsidRDefault="00704BDF" w:rsidP="00704BDF">
      <w:pPr>
        <w:snapToGrid w:val="0"/>
        <w:spacing w:after="120"/>
        <w:jc w:val="center"/>
        <w:rPr>
          <w:rFonts w:eastAsia="SimSun"/>
          <w:bCs/>
          <w:i/>
          <w:iCs/>
          <w:color w:val="0000FF"/>
          <w:sz w:val="20"/>
          <w:lang w:val="en-US" w:eastAsia="zh-CN"/>
        </w:rPr>
      </w:pPr>
    </w:p>
    <w:p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C23DBD" w:rsidRDefault="00C23DBD" w:rsidP="00C23DBD">
      <w:pPr>
        <w:snapToGrid w:val="0"/>
        <w:spacing w:after="120"/>
        <w:rPr>
          <w:rFonts w:asciiTheme="minorHAnsi" w:eastAsia="MS PGothic" w:hAnsiTheme="minorHAnsi"/>
          <w:color w:val="000000"/>
          <w:sz w:val="22"/>
          <w:szCs w:val="22"/>
          <w:lang w:val="en-US"/>
        </w:rPr>
      </w:pPr>
      <w:r w:rsidRPr="00C23DBD">
        <w:rPr>
          <w:rFonts w:asciiTheme="minorHAnsi" w:eastAsia="MS PGothic" w:hAnsiTheme="minorHAnsi"/>
          <w:bCs/>
          <w:color w:val="000000"/>
          <w:sz w:val="22"/>
          <w:szCs w:val="22"/>
          <w:lang w:val="en-US" w:eastAsia="ko-KR"/>
        </w:rPr>
        <w:t>The fruit of ACK presents a high content of total phenolic compounds, mainly anthocyanins; These compounds have functional properties as antioxidant activity and with potential for their use as natural dyes. However, due to their high reactivity they are highly susceptible to degradation against environmental factors such as light, temperature, pH, among others. In this way, the incorporation of these compounds in encapsulation systems allows not only provide a means of transport, but also protection and release. EM</w:t>
      </w:r>
      <w:r w:rsidR="00F30696">
        <w:rPr>
          <w:rFonts w:asciiTheme="minorHAnsi" w:eastAsia="MS PGothic" w:hAnsiTheme="minorHAnsi"/>
          <w:bCs/>
          <w:color w:val="000000"/>
          <w:sz w:val="22"/>
          <w:szCs w:val="22"/>
          <w:lang w:val="en-US" w:eastAsia="ko-KR"/>
        </w:rPr>
        <w:t>´s</w:t>
      </w:r>
      <w:r w:rsidRPr="00C23DBD">
        <w:rPr>
          <w:rFonts w:asciiTheme="minorHAnsi" w:eastAsia="MS PGothic" w:hAnsiTheme="minorHAnsi"/>
          <w:bCs/>
          <w:color w:val="000000"/>
          <w:sz w:val="22"/>
          <w:szCs w:val="22"/>
          <w:lang w:val="en-US" w:eastAsia="ko-KR"/>
        </w:rPr>
        <w:t xml:space="preserve"> are translucent, optically isotropic and thermodynamically stable dispersions, which have a small droplet size (5-50 nm) and low surface tension, which can result in better permeation and high absorption of compounds. Scientifically, ME is a dispersion of oil, surfactant and water [1] and are found in such concentrations that they form spontaneously, and whose formation depends on the thermodynamic equilibrium between the aqueous, oily phases, and the surfactant. The </w:t>
      </w:r>
      <w:r w:rsidR="00F30696">
        <w:rPr>
          <w:rFonts w:asciiTheme="minorHAnsi" w:eastAsia="MS PGothic" w:hAnsiTheme="minorHAnsi"/>
          <w:bCs/>
          <w:color w:val="000000"/>
          <w:sz w:val="22"/>
          <w:szCs w:val="22"/>
          <w:lang w:val="en-US" w:eastAsia="ko-KR"/>
        </w:rPr>
        <w:t>ME</w:t>
      </w:r>
      <w:r w:rsidRPr="00C23DBD">
        <w:rPr>
          <w:rFonts w:asciiTheme="minorHAnsi" w:eastAsia="MS PGothic" w:hAnsiTheme="minorHAnsi"/>
          <w:bCs/>
          <w:color w:val="000000"/>
          <w:sz w:val="22"/>
          <w:szCs w:val="22"/>
          <w:lang w:val="en-US" w:eastAsia="ko-KR"/>
        </w:rPr>
        <w:t xml:space="preserve"> can be a good liquid membrane carrier for the transport of hydrophilic</w:t>
      </w:r>
      <w:r w:rsidR="00F30696">
        <w:rPr>
          <w:rFonts w:asciiTheme="minorHAnsi" w:eastAsia="MS PGothic" w:hAnsiTheme="minorHAnsi"/>
          <w:bCs/>
          <w:color w:val="000000"/>
          <w:sz w:val="22"/>
          <w:szCs w:val="22"/>
          <w:lang w:val="en-US" w:eastAsia="ko-KR"/>
        </w:rPr>
        <w:t xml:space="preserve"> </w:t>
      </w:r>
      <w:r w:rsidRPr="00C23DBD">
        <w:rPr>
          <w:rFonts w:asciiTheme="minorHAnsi" w:eastAsia="MS PGothic" w:hAnsiTheme="minorHAnsi"/>
          <w:bCs/>
          <w:color w:val="000000"/>
          <w:sz w:val="22"/>
          <w:szCs w:val="22"/>
          <w:lang w:val="en-US" w:eastAsia="ko-KR"/>
        </w:rPr>
        <w:t>substances through the lipoidal media and for transporting the hydrophobic substances through the aqueous medium [2]. In this sense, the pH of the aqueous phase has a significant effect both on the type of the emulsion and on its stability and functionality.</w:t>
      </w:r>
      <w:r w:rsidR="00AF40FE">
        <w:rPr>
          <w:rFonts w:asciiTheme="minorHAnsi" w:eastAsia="MS PGothic" w:hAnsiTheme="minorHAnsi"/>
          <w:bCs/>
          <w:color w:val="000000"/>
          <w:sz w:val="22"/>
          <w:szCs w:val="22"/>
          <w:lang w:val="en-US" w:eastAsia="ko-KR"/>
        </w:rPr>
        <w:t xml:space="preserve"> </w:t>
      </w:r>
      <w:proofErr w:type="gramStart"/>
      <w:r w:rsidRPr="00C23DBD">
        <w:rPr>
          <w:rFonts w:asciiTheme="minorHAnsi" w:eastAsia="MS PGothic" w:hAnsiTheme="minorHAnsi"/>
          <w:bCs/>
          <w:color w:val="000000"/>
          <w:sz w:val="22"/>
          <w:szCs w:val="22"/>
          <w:lang w:val="en-US" w:eastAsia="ko-KR"/>
        </w:rPr>
        <w:t>So</w:t>
      </w:r>
      <w:proofErr w:type="gramEnd"/>
      <w:r w:rsidRPr="00C23DBD">
        <w:rPr>
          <w:rFonts w:asciiTheme="minorHAnsi" w:eastAsia="MS PGothic" w:hAnsiTheme="minorHAnsi"/>
          <w:bCs/>
          <w:color w:val="000000"/>
          <w:sz w:val="22"/>
          <w:szCs w:val="22"/>
          <w:lang w:val="en-US" w:eastAsia="ko-KR"/>
        </w:rPr>
        <w:t xml:space="preserve"> the objective of this research is to evaluate the kinetic stability of ME</w:t>
      </w:r>
      <w:r w:rsidRPr="00C23DBD">
        <w:rPr>
          <w:rFonts w:asciiTheme="minorHAnsi" w:eastAsia="MS PGothic" w:hAnsiTheme="minorHAnsi"/>
          <w:bCs/>
          <w:color w:val="000000"/>
          <w:sz w:val="22"/>
          <w:szCs w:val="22"/>
          <w:vertAlign w:val="subscript"/>
          <w:lang w:val="en-US" w:eastAsia="ko-KR"/>
        </w:rPr>
        <w:t>W/O</w:t>
      </w:r>
      <w:r>
        <w:rPr>
          <w:rFonts w:asciiTheme="minorHAnsi" w:eastAsia="MS PGothic" w:hAnsiTheme="minorHAnsi"/>
          <w:bCs/>
          <w:color w:val="000000"/>
          <w:sz w:val="22"/>
          <w:szCs w:val="22"/>
          <w:vertAlign w:val="subscript"/>
          <w:lang w:val="en-US" w:eastAsia="ko-KR"/>
        </w:rPr>
        <w:t xml:space="preserve"> </w:t>
      </w:r>
      <w:r w:rsidRPr="00C23DBD">
        <w:rPr>
          <w:rFonts w:asciiTheme="minorHAnsi" w:eastAsia="MS PGothic" w:hAnsiTheme="minorHAnsi"/>
          <w:bCs/>
          <w:color w:val="000000"/>
          <w:sz w:val="22"/>
          <w:szCs w:val="22"/>
          <w:lang w:val="en-US" w:eastAsia="ko-KR"/>
        </w:rPr>
        <w:t xml:space="preserve">when subjected to pH changes by determining the change in </w:t>
      </w:r>
      <w:proofErr w:type="spellStart"/>
      <w:r w:rsidRPr="00C23DBD">
        <w:rPr>
          <w:rFonts w:asciiTheme="minorHAnsi" w:eastAsia="MS PGothic" w:hAnsiTheme="minorHAnsi"/>
          <w:bCs/>
          <w:color w:val="000000"/>
          <w:sz w:val="22"/>
          <w:szCs w:val="22"/>
          <w:lang w:val="en-US" w:eastAsia="ko-KR"/>
        </w:rPr>
        <w:t>D</w:t>
      </w:r>
      <w:r w:rsidRPr="00C23DBD">
        <w:rPr>
          <w:rFonts w:asciiTheme="minorHAnsi" w:eastAsia="MS PGothic" w:hAnsiTheme="minorHAnsi"/>
          <w:bCs/>
          <w:color w:val="000000"/>
          <w:sz w:val="22"/>
          <w:szCs w:val="22"/>
          <w:vertAlign w:val="subscript"/>
          <w:lang w:val="en-US" w:eastAsia="ko-KR"/>
        </w:rPr>
        <w:t>h</w:t>
      </w:r>
      <w:r w:rsidR="00F30696">
        <w:rPr>
          <w:rFonts w:asciiTheme="minorHAnsi" w:eastAsia="MS PGothic" w:hAnsiTheme="minorHAnsi"/>
          <w:bCs/>
          <w:color w:val="000000"/>
          <w:sz w:val="22"/>
          <w:szCs w:val="22"/>
          <w:vertAlign w:val="subscript"/>
          <w:lang w:val="en-US" w:eastAsia="ko-KR"/>
        </w:rPr>
        <w:t>d</w:t>
      </w:r>
      <w:proofErr w:type="spellEnd"/>
      <w:r w:rsidRPr="00C23DBD">
        <w:rPr>
          <w:rFonts w:asciiTheme="minorHAnsi" w:eastAsia="MS PGothic" w:hAnsiTheme="minorHAnsi"/>
          <w:bCs/>
          <w:color w:val="000000"/>
          <w:sz w:val="22"/>
          <w:szCs w:val="22"/>
          <w:vertAlign w:val="subscript"/>
          <w:lang w:val="en-US" w:eastAsia="ko-KR"/>
        </w:rPr>
        <w:t xml:space="preserve"> </w:t>
      </w:r>
      <w:r w:rsidRPr="00C23DBD">
        <w:rPr>
          <w:rFonts w:asciiTheme="minorHAnsi" w:eastAsia="MS PGothic" w:hAnsiTheme="minorHAnsi"/>
          <w:bCs/>
          <w:color w:val="000000"/>
          <w:sz w:val="22"/>
          <w:szCs w:val="22"/>
          <w:lang w:val="en-US" w:eastAsia="ko-KR"/>
        </w:rPr>
        <w:t>and its stability against sedimentation phenomena.</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AF40FE" w:rsidRPr="00AF40FE" w:rsidRDefault="00AF40FE" w:rsidP="00AF40FE">
      <w:pPr>
        <w:snapToGrid w:val="0"/>
        <w:spacing w:after="120"/>
        <w:rPr>
          <w:rFonts w:asciiTheme="minorHAnsi" w:eastAsia="MS PGothic" w:hAnsiTheme="minorHAnsi"/>
          <w:color w:val="000000"/>
          <w:sz w:val="22"/>
          <w:szCs w:val="22"/>
          <w:lang w:val="en-US"/>
        </w:rPr>
      </w:pPr>
      <w:r w:rsidRPr="00AF40FE">
        <w:rPr>
          <w:rFonts w:asciiTheme="minorHAnsi" w:eastAsia="MS PGothic" w:hAnsiTheme="minorHAnsi"/>
          <w:color w:val="000000"/>
          <w:sz w:val="22"/>
          <w:szCs w:val="22"/>
          <w:lang w:val="en-US"/>
        </w:rPr>
        <w:t xml:space="preserve">Ethanolic extracts of ACK (5 g of ACK in 50 mL of </w:t>
      </w:r>
      <w:proofErr w:type="spellStart"/>
      <w:r w:rsidRPr="00AF40FE">
        <w:rPr>
          <w:rFonts w:asciiTheme="minorHAnsi" w:eastAsia="MS PGothic" w:hAnsiTheme="minorHAnsi"/>
          <w:color w:val="000000"/>
          <w:sz w:val="22"/>
          <w:szCs w:val="22"/>
          <w:lang w:val="en-US"/>
        </w:rPr>
        <w:t>EtOH</w:t>
      </w:r>
      <w:proofErr w:type="spellEnd"/>
      <w:r w:rsidRPr="00AF40FE">
        <w:rPr>
          <w:rFonts w:asciiTheme="minorHAnsi" w:eastAsia="MS PGothic" w:hAnsiTheme="minorHAnsi"/>
          <w:color w:val="000000"/>
          <w:sz w:val="22"/>
          <w:szCs w:val="22"/>
          <w:lang w:val="en-US"/>
        </w:rPr>
        <w:t xml:space="preserve"> 75% v / v) were obtained. ME</w:t>
      </w:r>
      <w:r w:rsidRPr="00AF40FE">
        <w:rPr>
          <w:rFonts w:asciiTheme="minorHAnsi" w:eastAsia="MS PGothic" w:hAnsiTheme="minorHAnsi"/>
          <w:color w:val="000000"/>
          <w:sz w:val="22"/>
          <w:szCs w:val="22"/>
          <w:vertAlign w:val="subscript"/>
          <w:lang w:val="en-US"/>
        </w:rPr>
        <w:t>W/O</w:t>
      </w:r>
      <w:r w:rsidRPr="00AF40FE">
        <w:rPr>
          <w:rFonts w:asciiTheme="minorHAnsi" w:eastAsia="MS PGothic" w:hAnsiTheme="minorHAnsi"/>
          <w:color w:val="000000"/>
          <w:sz w:val="22"/>
          <w:szCs w:val="22"/>
          <w:lang w:val="en-US"/>
        </w:rPr>
        <w:t xml:space="preserve"> were obtained by means of a low energy method, where the ethanolic extract of ACK [10-30%] was dripped in the oil phase constituted by rosemary essential oil (due to its functional properties; AER) [40-80%], and Tween 80 (T80) and Span 80 (S80) [50:50, 10-30%] as surfactants. The obtained emulsions were adjusted in their initial pH (5.0) and characterized according to their </w:t>
      </w:r>
      <w:proofErr w:type="spellStart"/>
      <w:r w:rsidRPr="00AF40FE">
        <w:rPr>
          <w:rFonts w:asciiTheme="minorHAnsi" w:eastAsia="MS PGothic" w:hAnsiTheme="minorHAnsi"/>
          <w:color w:val="000000"/>
          <w:sz w:val="22"/>
          <w:szCs w:val="22"/>
          <w:lang w:val="en-US"/>
        </w:rPr>
        <w:t>D</w:t>
      </w:r>
      <w:r w:rsidR="00F30696">
        <w:rPr>
          <w:rFonts w:asciiTheme="minorHAnsi" w:eastAsia="MS PGothic" w:hAnsiTheme="minorHAnsi"/>
          <w:color w:val="000000"/>
          <w:sz w:val="22"/>
          <w:szCs w:val="22"/>
          <w:vertAlign w:val="subscript"/>
          <w:lang w:val="en-US"/>
        </w:rPr>
        <w:t>hd</w:t>
      </w:r>
      <w:proofErr w:type="spellEnd"/>
      <w:r w:rsidRPr="00AF40FE">
        <w:rPr>
          <w:rFonts w:asciiTheme="minorHAnsi" w:eastAsia="MS PGothic" w:hAnsiTheme="minorHAnsi"/>
          <w:color w:val="000000"/>
          <w:sz w:val="22"/>
          <w:szCs w:val="22"/>
          <w:lang w:val="en-US"/>
        </w:rPr>
        <w:t xml:space="preserve"> in a </w:t>
      </w:r>
      <w:r w:rsidRPr="00AF40FE">
        <w:rPr>
          <w:rFonts w:asciiTheme="minorHAnsi" w:eastAsia="MS PGothic" w:hAnsiTheme="minorHAnsi"/>
          <w:color w:val="000000"/>
          <w:sz w:val="22"/>
          <w:szCs w:val="22"/>
          <w:lang w:val="en-US"/>
        </w:rPr>
        <w:lastRenderedPageBreak/>
        <w:t>dynamic light scattering size analyzer (</w:t>
      </w:r>
      <w:proofErr w:type="spellStart"/>
      <w:r w:rsidRPr="00AF40FE">
        <w:rPr>
          <w:rFonts w:asciiTheme="minorHAnsi" w:eastAsia="MS PGothic" w:hAnsiTheme="minorHAnsi"/>
          <w:color w:val="000000"/>
          <w:sz w:val="22"/>
          <w:szCs w:val="22"/>
          <w:lang w:val="en-US"/>
        </w:rPr>
        <w:t>NanoSizer</w:t>
      </w:r>
      <w:proofErr w:type="spellEnd"/>
      <w:r w:rsidRPr="00AF40FE">
        <w:rPr>
          <w:rFonts w:asciiTheme="minorHAnsi" w:eastAsia="MS PGothic" w:hAnsiTheme="minorHAnsi"/>
          <w:color w:val="000000"/>
          <w:sz w:val="22"/>
          <w:szCs w:val="22"/>
          <w:lang w:val="en-US"/>
        </w:rPr>
        <w:t xml:space="preserve"> ZS) and accelerated stability in a </w:t>
      </w:r>
      <w:proofErr w:type="spellStart"/>
      <w:r w:rsidRPr="00AF40FE">
        <w:rPr>
          <w:rFonts w:asciiTheme="minorHAnsi" w:eastAsia="MS PGothic" w:hAnsiTheme="minorHAnsi"/>
          <w:color w:val="000000"/>
          <w:sz w:val="22"/>
          <w:szCs w:val="22"/>
          <w:lang w:val="en-US"/>
        </w:rPr>
        <w:t>Lumisizer</w:t>
      </w:r>
      <w:proofErr w:type="spellEnd"/>
      <w:r w:rsidRPr="00AF40FE">
        <w:rPr>
          <w:rFonts w:asciiTheme="minorHAnsi" w:eastAsia="MS PGothic" w:hAnsiTheme="minorHAnsi"/>
          <w:color w:val="000000"/>
          <w:sz w:val="22"/>
          <w:szCs w:val="22"/>
          <w:lang w:val="en-US"/>
        </w:rPr>
        <w:t xml:space="preserve"> dispersion analyzer, operated at 2000 rpm with 250 measurements every 30 s [3]. From these data the sedimentation velocities were obtained for</w:t>
      </w:r>
      <w:r>
        <w:rPr>
          <w:rFonts w:asciiTheme="minorHAnsi" w:eastAsia="MS PGothic" w:hAnsiTheme="minorHAnsi"/>
          <w:color w:val="000000"/>
          <w:sz w:val="22"/>
          <w:szCs w:val="22"/>
          <w:lang w:val="en-US"/>
        </w:rPr>
        <w:t xml:space="preserve"> </w:t>
      </w:r>
      <w:r w:rsidRPr="00AF40FE">
        <w:rPr>
          <w:rFonts w:asciiTheme="minorHAnsi" w:eastAsia="MS PGothic" w:hAnsiTheme="minorHAnsi"/>
          <w:color w:val="000000"/>
          <w:sz w:val="22"/>
          <w:szCs w:val="22"/>
          <w:lang w:val="en-US"/>
        </w:rPr>
        <w:t>each emulsion.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F40FE" w:rsidRDefault="00AF40FE" w:rsidP="00AF40FE">
      <w:pPr>
        <w:snapToGrid w:val="0"/>
        <w:spacing w:after="120"/>
        <w:rPr>
          <w:rFonts w:asciiTheme="minorHAnsi" w:eastAsia="MS PGothic" w:hAnsiTheme="minorHAnsi"/>
          <w:color w:val="000000"/>
          <w:sz w:val="22"/>
          <w:szCs w:val="22"/>
        </w:rPr>
      </w:pPr>
      <w:r w:rsidRPr="00AF40FE">
        <w:rPr>
          <w:rFonts w:asciiTheme="minorHAnsi" w:eastAsia="MS PGothic" w:hAnsiTheme="minorHAnsi"/>
          <w:color w:val="000000"/>
          <w:sz w:val="22"/>
          <w:szCs w:val="22"/>
        </w:rPr>
        <w:t>The fresh ME</w:t>
      </w:r>
      <w:r w:rsidRPr="00AF40FE">
        <w:rPr>
          <w:rFonts w:asciiTheme="minorHAnsi" w:eastAsia="MS PGothic" w:hAnsiTheme="minorHAnsi"/>
          <w:color w:val="000000"/>
          <w:sz w:val="22"/>
          <w:szCs w:val="22"/>
          <w:vertAlign w:val="subscript"/>
        </w:rPr>
        <w:t>W/O</w:t>
      </w:r>
      <w:r w:rsidRPr="00AF40FE">
        <w:rPr>
          <w:rFonts w:asciiTheme="minorHAnsi" w:eastAsia="MS PGothic" w:hAnsiTheme="minorHAnsi"/>
          <w:color w:val="000000"/>
          <w:sz w:val="22"/>
          <w:szCs w:val="22"/>
        </w:rPr>
        <w:t xml:space="preserve"> presented an initial pH of 5, with purple colorations. The </w:t>
      </w:r>
      <w:proofErr w:type="spellStart"/>
      <w:r w:rsidRPr="00AF40FE">
        <w:rPr>
          <w:rFonts w:asciiTheme="minorHAnsi" w:eastAsia="MS PGothic" w:hAnsiTheme="minorHAnsi"/>
          <w:color w:val="000000"/>
          <w:sz w:val="22"/>
          <w:szCs w:val="22"/>
        </w:rPr>
        <w:t>D</w:t>
      </w:r>
      <w:r w:rsidR="00F30696">
        <w:rPr>
          <w:rFonts w:asciiTheme="minorHAnsi" w:eastAsia="MS PGothic" w:hAnsiTheme="minorHAnsi"/>
          <w:color w:val="000000"/>
          <w:sz w:val="22"/>
          <w:szCs w:val="22"/>
          <w:vertAlign w:val="subscript"/>
        </w:rPr>
        <w:t>hd</w:t>
      </w:r>
      <w:proofErr w:type="spellEnd"/>
      <w:r w:rsidRPr="00AF40FE">
        <w:rPr>
          <w:rFonts w:asciiTheme="minorHAnsi" w:eastAsia="MS PGothic" w:hAnsiTheme="minorHAnsi"/>
          <w:color w:val="000000"/>
          <w:sz w:val="22"/>
          <w:szCs w:val="22"/>
        </w:rPr>
        <w:t xml:space="preserve"> ranged from 1.82 to 3.36 nm, where at a higher concentration of aqueous phase and surfactant showed a significant reduction in droplet size (P &lt;0.05). When carrying out the pH modification it was observed that in acidic conditions the </w:t>
      </w:r>
      <w:proofErr w:type="spellStart"/>
      <w:r w:rsidRPr="00AF40FE">
        <w:rPr>
          <w:rFonts w:asciiTheme="minorHAnsi" w:eastAsia="MS PGothic" w:hAnsiTheme="minorHAnsi"/>
          <w:color w:val="000000"/>
          <w:sz w:val="22"/>
          <w:szCs w:val="22"/>
        </w:rPr>
        <w:t>D</w:t>
      </w:r>
      <w:r w:rsidRPr="00AF40FE">
        <w:rPr>
          <w:rFonts w:asciiTheme="minorHAnsi" w:eastAsia="MS PGothic" w:hAnsiTheme="minorHAnsi"/>
          <w:color w:val="000000"/>
          <w:sz w:val="22"/>
          <w:szCs w:val="22"/>
          <w:vertAlign w:val="subscript"/>
        </w:rPr>
        <w:t>h</w:t>
      </w:r>
      <w:r w:rsidR="00F30696">
        <w:rPr>
          <w:rFonts w:asciiTheme="minorHAnsi" w:eastAsia="MS PGothic" w:hAnsiTheme="minorHAnsi"/>
          <w:color w:val="000000"/>
          <w:sz w:val="22"/>
          <w:szCs w:val="22"/>
          <w:vertAlign w:val="subscript"/>
        </w:rPr>
        <w:t>d</w:t>
      </w:r>
      <w:proofErr w:type="spellEnd"/>
      <w:r>
        <w:rPr>
          <w:rFonts w:asciiTheme="minorHAnsi" w:eastAsia="MS PGothic" w:hAnsiTheme="minorHAnsi"/>
          <w:color w:val="000000"/>
          <w:sz w:val="22"/>
          <w:szCs w:val="22"/>
          <w:vertAlign w:val="subscript"/>
        </w:rPr>
        <w:t xml:space="preserve"> </w:t>
      </w:r>
      <w:r w:rsidRPr="00AF40FE">
        <w:rPr>
          <w:rFonts w:asciiTheme="minorHAnsi" w:eastAsia="MS PGothic" w:hAnsiTheme="minorHAnsi"/>
          <w:color w:val="000000"/>
          <w:sz w:val="22"/>
          <w:szCs w:val="22"/>
        </w:rPr>
        <w:t xml:space="preserve">presented changes in all emulsions, observing significant difference for 10 and 20% concentrations of extract and surfactant. For the pH of 7 there was a significant increase in </w:t>
      </w:r>
      <w:proofErr w:type="spellStart"/>
      <w:r w:rsidRPr="00AF40FE">
        <w:rPr>
          <w:rFonts w:asciiTheme="minorHAnsi" w:eastAsia="MS PGothic" w:hAnsiTheme="minorHAnsi"/>
          <w:color w:val="000000"/>
          <w:sz w:val="22"/>
          <w:szCs w:val="22"/>
        </w:rPr>
        <w:t>D</w:t>
      </w:r>
      <w:r w:rsidRPr="00AF40FE">
        <w:rPr>
          <w:rFonts w:asciiTheme="minorHAnsi" w:eastAsia="MS PGothic" w:hAnsiTheme="minorHAnsi"/>
          <w:color w:val="000000"/>
          <w:sz w:val="22"/>
          <w:szCs w:val="22"/>
          <w:vertAlign w:val="subscript"/>
        </w:rPr>
        <w:t>h</w:t>
      </w:r>
      <w:r w:rsidR="00F30696">
        <w:rPr>
          <w:rFonts w:asciiTheme="minorHAnsi" w:eastAsia="MS PGothic" w:hAnsiTheme="minorHAnsi"/>
          <w:color w:val="000000"/>
          <w:sz w:val="22"/>
          <w:szCs w:val="22"/>
          <w:vertAlign w:val="subscript"/>
        </w:rPr>
        <w:t>d</w:t>
      </w:r>
      <w:proofErr w:type="spellEnd"/>
      <w:r w:rsidRPr="00AF40FE">
        <w:rPr>
          <w:rFonts w:asciiTheme="minorHAnsi" w:eastAsia="MS PGothic" w:hAnsiTheme="minorHAnsi"/>
          <w:color w:val="000000"/>
          <w:sz w:val="22"/>
          <w:szCs w:val="22"/>
        </w:rPr>
        <w:t xml:space="preserve">, of ME2, followed by ME1 (Figure 1). It is worth mentioning that ME3 was the system with the lowest pH effect. This may be due to the fact that the presence of the different counterions (OH -, H +) present in the medium, can induce the destabilization of the equilibrium reached during the formation of the ME and that, under a certain level of concentration of both extract and of surfactant, this effect is minimized. Table 1 shows the values ​​obtained for the sedimentation rate as an accelerated stability evaluation method derived from the transmission profiles of the ME, for the ME3 it was stable, while for the ME2 it increased in the two </w:t>
      </w:r>
      <w:proofErr w:type="spellStart"/>
      <w:r w:rsidRPr="00AF40FE">
        <w:rPr>
          <w:rFonts w:asciiTheme="minorHAnsi" w:eastAsia="MS PGothic" w:hAnsiTheme="minorHAnsi"/>
          <w:color w:val="000000"/>
          <w:sz w:val="22"/>
          <w:szCs w:val="22"/>
        </w:rPr>
        <w:t>pHs</w:t>
      </w:r>
      <w:proofErr w:type="spellEnd"/>
      <w:r w:rsidRPr="00AF40FE">
        <w:rPr>
          <w:rFonts w:asciiTheme="minorHAnsi" w:eastAsia="MS PGothic" w:hAnsiTheme="minorHAnsi"/>
          <w:color w:val="000000"/>
          <w:sz w:val="22"/>
          <w:szCs w:val="22"/>
        </w:rPr>
        <w:t xml:space="preserve"> (3 and 7).</w:t>
      </w:r>
    </w:p>
    <w:p w:rsidR="008D5F1F" w:rsidRPr="007254D9" w:rsidRDefault="008D5F1F" w:rsidP="008D5F1F">
      <w:pPr>
        <w:rPr>
          <w:rFonts w:asciiTheme="minorHAnsi" w:hAnsiTheme="minorHAnsi" w:cstheme="minorHAnsi"/>
          <w:szCs w:val="18"/>
        </w:rPr>
      </w:pPr>
      <w:r>
        <w:rPr>
          <w:rFonts w:ascii="Times New Roman" w:hAnsi="Times New Roman"/>
          <w:b/>
          <w:sz w:val="20"/>
        </w:rPr>
        <w:tab/>
      </w:r>
      <w:r w:rsidR="007254D9">
        <w:rPr>
          <w:rFonts w:ascii="Times New Roman" w:hAnsi="Times New Roman"/>
          <w:b/>
          <w:sz w:val="20"/>
        </w:rPr>
        <w:t xml:space="preserve">       </w:t>
      </w:r>
      <w:proofErr w:type="spellStart"/>
      <w:r w:rsidRPr="007254D9">
        <w:rPr>
          <w:rFonts w:asciiTheme="minorHAnsi" w:hAnsiTheme="minorHAnsi" w:cstheme="minorHAnsi"/>
          <w:b/>
          <w:szCs w:val="18"/>
        </w:rPr>
        <w:t>Tabla</w:t>
      </w:r>
      <w:proofErr w:type="spellEnd"/>
      <w:r w:rsidRPr="007254D9">
        <w:rPr>
          <w:rFonts w:asciiTheme="minorHAnsi" w:hAnsiTheme="minorHAnsi" w:cstheme="minorHAnsi"/>
          <w:b/>
          <w:szCs w:val="18"/>
        </w:rPr>
        <w:t xml:space="preserve"> 1</w:t>
      </w:r>
      <w:r w:rsidRPr="007254D9">
        <w:rPr>
          <w:rFonts w:asciiTheme="minorHAnsi" w:hAnsiTheme="minorHAnsi" w:cstheme="minorHAnsi"/>
          <w:szCs w:val="18"/>
        </w:rPr>
        <w:t>. Sedimentation rate of the ME</w:t>
      </w:r>
      <w:r w:rsidRPr="007254D9">
        <w:rPr>
          <w:rFonts w:asciiTheme="minorHAnsi" w:hAnsiTheme="minorHAnsi" w:cstheme="minorHAnsi"/>
          <w:szCs w:val="18"/>
          <w:vertAlign w:val="subscript"/>
        </w:rPr>
        <w:t>O/W</w:t>
      </w:r>
    </w:p>
    <w:tbl>
      <w:tblPr>
        <w:tblStyle w:val="Tabladelista7concolores"/>
        <w:tblpPr w:leftFromText="141" w:rightFromText="141" w:vertAnchor="text" w:horzAnchor="page" w:tblpX="5901" w:tblpY="197"/>
        <w:tblW w:w="3722" w:type="dxa"/>
        <w:tblLook w:val="04A0" w:firstRow="1" w:lastRow="0" w:firstColumn="1" w:lastColumn="0" w:noHBand="0" w:noVBand="1"/>
      </w:tblPr>
      <w:tblGrid>
        <w:gridCol w:w="536"/>
        <w:gridCol w:w="1065"/>
        <w:gridCol w:w="1024"/>
        <w:gridCol w:w="1097"/>
      </w:tblGrid>
      <w:tr w:rsidR="00A125E1" w:rsidRPr="005604D1" w:rsidTr="007254D9">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536" w:type="dxa"/>
            <w:tcBorders>
              <w:top w:val="single" w:sz="4" w:space="0" w:color="auto"/>
              <w:bottom w:val="none" w:sz="0" w:space="0" w:color="auto"/>
            </w:tcBorders>
            <w:noWrap/>
            <w:hideMark/>
          </w:tcPr>
          <w:p w:rsidR="00A125E1" w:rsidRPr="005604D1" w:rsidRDefault="00A125E1" w:rsidP="007254D9">
            <w:pPr>
              <w:jc w:val="center"/>
              <w:rPr>
                <w:rFonts w:ascii="Times New Roman" w:hAnsi="Times New Roman"/>
                <w:i w:val="0"/>
                <w:color w:val="000000"/>
                <w:sz w:val="16"/>
                <w:szCs w:val="16"/>
                <w:lang w:eastAsia="es-MX"/>
              </w:rPr>
            </w:pPr>
          </w:p>
        </w:tc>
        <w:tc>
          <w:tcPr>
            <w:tcW w:w="3186" w:type="dxa"/>
            <w:gridSpan w:val="3"/>
            <w:tcBorders>
              <w:top w:val="single" w:sz="4" w:space="0" w:color="auto"/>
              <w:bottom w:val="none" w:sz="0" w:space="0" w:color="auto"/>
            </w:tcBorders>
            <w:noWrap/>
          </w:tcPr>
          <w:p w:rsidR="00A125E1" w:rsidRPr="005604D1" w:rsidRDefault="00A125E1" w:rsidP="007254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000000"/>
                <w:sz w:val="16"/>
                <w:szCs w:val="16"/>
                <w:lang w:eastAsia="es-MX"/>
              </w:rPr>
            </w:pPr>
            <w:r>
              <w:rPr>
                <w:rFonts w:ascii="Times New Roman" w:hAnsi="Times New Roman"/>
                <w:i w:val="0"/>
                <w:iCs w:val="0"/>
                <w:sz w:val="16"/>
                <w:szCs w:val="16"/>
              </w:rPr>
              <w:t>S</w:t>
            </w:r>
            <w:r w:rsidRPr="0084401C">
              <w:rPr>
                <w:rFonts w:ascii="Times New Roman" w:hAnsi="Times New Roman"/>
                <w:i w:val="0"/>
                <w:iCs w:val="0"/>
                <w:sz w:val="16"/>
                <w:szCs w:val="16"/>
              </w:rPr>
              <w:t xml:space="preserve">edimentation rate </w:t>
            </w:r>
            <w:r w:rsidRPr="005604D1">
              <w:rPr>
                <w:rFonts w:ascii="Times New Roman" w:hAnsi="Times New Roman"/>
                <w:i w:val="0"/>
                <w:sz w:val="16"/>
                <w:szCs w:val="16"/>
              </w:rPr>
              <w:t>(s</w:t>
            </w:r>
            <w:r w:rsidRPr="005604D1">
              <w:rPr>
                <w:rFonts w:ascii="Times New Roman" w:hAnsi="Times New Roman"/>
                <w:i w:val="0"/>
                <w:sz w:val="16"/>
                <w:szCs w:val="16"/>
                <w:vertAlign w:val="superscript"/>
              </w:rPr>
              <w:t>-1</w:t>
            </w:r>
            <w:r w:rsidRPr="005604D1">
              <w:rPr>
                <w:rFonts w:ascii="Times New Roman" w:hAnsi="Times New Roman"/>
                <w:i w:val="0"/>
                <w:sz w:val="16"/>
                <w:szCs w:val="16"/>
              </w:rPr>
              <w:t>)</w:t>
            </w:r>
          </w:p>
        </w:tc>
      </w:tr>
      <w:tr w:rsidR="00A125E1" w:rsidRPr="005604D1" w:rsidTr="007254D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6" w:type="dxa"/>
            <w:tcBorders>
              <w:bottom w:val="single" w:sz="4" w:space="0" w:color="auto"/>
            </w:tcBorders>
            <w:noWrap/>
          </w:tcPr>
          <w:p w:rsidR="00A125E1" w:rsidRPr="005604D1" w:rsidRDefault="00A125E1" w:rsidP="007254D9">
            <w:pPr>
              <w:jc w:val="center"/>
              <w:rPr>
                <w:rFonts w:ascii="Times New Roman" w:hAnsi="Times New Roman"/>
                <w:color w:val="000000"/>
                <w:sz w:val="16"/>
                <w:szCs w:val="16"/>
                <w:lang w:eastAsia="es-MX"/>
              </w:rPr>
            </w:pPr>
          </w:p>
        </w:tc>
        <w:tc>
          <w:tcPr>
            <w:tcW w:w="1065" w:type="dxa"/>
            <w:tcBorders>
              <w:bottom w:val="single" w:sz="4" w:space="0" w:color="auto"/>
            </w:tcBorders>
            <w:noWrap/>
          </w:tcPr>
          <w:p w:rsidR="00A125E1" w:rsidRPr="005604D1" w:rsidRDefault="00A125E1" w:rsidP="007254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lang w:eastAsia="es-MX"/>
              </w:rPr>
            </w:pPr>
            <w:r w:rsidRPr="005604D1">
              <w:rPr>
                <w:rFonts w:ascii="Times New Roman" w:hAnsi="Times New Roman"/>
                <w:color w:val="000000"/>
                <w:sz w:val="16"/>
                <w:szCs w:val="16"/>
                <w:lang w:eastAsia="es-MX"/>
              </w:rPr>
              <w:t>pH 3</w:t>
            </w:r>
          </w:p>
        </w:tc>
        <w:tc>
          <w:tcPr>
            <w:tcW w:w="1024" w:type="dxa"/>
            <w:tcBorders>
              <w:bottom w:val="single" w:sz="4" w:space="0" w:color="auto"/>
            </w:tcBorders>
            <w:noWrap/>
          </w:tcPr>
          <w:p w:rsidR="00A125E1" w:rsidRPr="005604D1" w:rsidRDefault="00A125E1" w:rsidP="007254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lang w:eastAsia="es-MX"/>
              </w:rPr>
            </w:pPr>
            <w:r w:rsidRPr="005604D1">
              <w:rPr>
                <w:rFonts w:ascii="Times New Roman" w:hAnsi="Times New Roman"/>
                <w:color w:val="000000"/>
                <w:sz w:val="16"/>
                <w:szCs w:val="16"/>
                <w:lang w:eastAsia="es-MX"/>
              </w:rPr>
              <w:t>pH</w:t>
            </w:r>
            <w:r>
              <w:rPr>
                <w:rFonts w:ascii="Times New Roman" w:hAnsi="Times New Roman"/>
                <w:color w:val="000000"/>
                <w:sz w:val="16"/>
                <w:szCs w:val="16"/>
                <w:lang w:eastAsia="es-MX"/>
              </w:rPr>
              <w:t xml:space="preserve"> </w:t>
            </w:r>
            <w:r w:rsidRPr="005604D1">
              <w:rPr>
                <w:rFonts w:ascii="Times New Roman" w:hAnsi="Times New Roman"/>
                <w:color w:val="000000"/>
                <w:sz w:val="16"/>
                <w:szCs w:val="16"/>
                <w:lang w:eastAsia="es-MX"/>
              </w:rPr>
              <w:t>5</w:t>
            </w:r>
          </w:p>
        </w:tc>
        <w:tc>
          <w:tcPr>
            <w:tcW w:w="1097" w:type="dxa"/>
            <w:tcBorders>
              <w:bottom w:val="single" w:sz="4" w:space="0" w:color="auto"/>
            </w:tcBorders>
          </w:tcPr>
          <w:p w:rsidR="00A125E1" w:rsidRPr="005604D1" w:rsidRDefault="00A125E1" w:rsidP="007254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5604D1">
              <w:rPr>
                <w:rFonts w:ascii="Times New Roman" w:hAnsi="Times New Roman"/>
                <w:sz w:val="16"/>
                <w:szCs w:val="16"/>
              </w:rPr>
              <w:t>pH 7</w:t>
            </w:r>
          </w:p>
        </w:tc>
      </w:tr>
      <w:tr w:rsidR="008D5F1F" w:rsidRPr="005604D1" w:rsidTr="007254D9">
        <w:trPr>
          <w:trHeight w:val="255"/>
        </w:trPr>
        <w:tc>
          <w:tcPr>
            <w:cnfStyle w:val="001000000000" w:firstRow="0" w:lastRow="0" w:firstColumn="1" w:lastColumn="0" w:oddVBand="0" w:evenVBand="0" w:oddHBand="0" w:evenHBand="0" w:firstRowFirstColumn="0" w:firstRowLastColumn="0" w:lastRowFirstColumn="0" w:lastRowLastColumn="0"/>
            <w:tcW w:w="536" w:type="dxa"/>
            <w:tcBorders>
              <w:top w:val="single" w:sz="4" w:space="0" w:color="auto"/>
            </w:tcBorders>
            <w:noWrap/>
            <w:hideMark/>
          </w:tcPr>
          <w:p w:rsidR="00A125E1" w:rsidRPr="005604D1" w:rsidRDefault="00A125E1" w:rsidP="007254D9">
            <w:pPr>
              <w:jc w:val="center"/>
              <w:rPr>
                <w:rFonts w:ascii="Times New Roman" w:hAnsi="Times New Roman"/>
                <w:i w:val="0"/>
                <w:color w:val="000000"/>
                <w:sz w:val="16"/>
                <w:szCs w:val="16"/>
                <w:lang w:eastAsia="es-MX"/>
              </w:rPr>
            </w:pPr>
            <w:r w:rsidRPr="005604D1">
              <w:rPr>
                <w:rFonts w:ascii="Times New Roman" w:hAnsi="Times New Roman"/>
                <w:i w:val="0"/>
                <w:color w:val="000000"/>
                <w:sz w:val="16"/>
                <w:szCs w:val="16"/>
                <w:lang w:eastAsia="es-MX"/>
              </w:rPr>
              <w:t>ME1</w:t>
            </w:r>
          </w:p>
        </w:tc>
        <w:tc>
          <w:tcPr>
            <w:tcW w:w="1065" w:type="dxa"/>
            <w:tcBorders>
              <w:top w:val="single" w:sz="4" w:space="0" w:color="auto"/>
              <w:left w:val="nil"/>
            </w:tcBorders>
            <w:shd w:val="clear" w:color="auto" w:fill="FFFFFF" w:themeFill="background1"/>
            <w:noWrap/>
          </w:tcPr>
          <w:p w:rsidR="00A125E1" w:rsidRPr="00C76E6C" w:rsidRDefault="00A125E1" w:rsidP="007254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6"/>
                <w:szCs w:val="16"/>
                <w:lang w:eastAsia="es-MX"/>
              </w:rPr>
            </w:pPr>
            <w:r w:rsidRPr="00C76E6C">
              <w:rPr>
                <w:rFonts w:ascii="Times New Roman" w:hAnsi="Times New Roman"/>
                <w:color w:val="000000"/>
                <w:sz w:val="16"/>
                <w:szCs w:val="16"/>
                <w:lang w:eastAsia="es-MX"/>
              </w:rPr>
              <w:t xml:space="preserve">-0.1536 </w:t>
            </w:r>
            <w:r w:rsidRPr="005604D1">
              <w:rPr>
                <w:rFonts w:ascii="Times New Roman" w:hAnsi="Times New Roman"/>
                <w:color w:val="000000"/>
                <w:sz w:val="16"/>
                <w:szCs w:val="16"/>
                <w:lang w:eastAsia="es-MX"/>
              </w:rPr>
              <w:t>±</w:t>
            </w:r>
            <w:r>
              <w:rPr>
                <w:rFonts w:ascii="Times New Roman" w:hAnsi="Times New Roman"/>
                <w:color w:val="000000"/>
                <w:sz w:val="16"/>
                <w:szCs w:val="16"/>
                <w:lang w:eastAsia="es-MX"/>
              </w:rPr>
              <w:t>0.09</w:t>
            </w:r>
          </w:p>
        </w:tc>
        <w:tc>
          <w:tcPr>
            <w:tcW w:w="1024" w:type="dxa"/>
            <w:tcBorders>
              <w:top w:val="single" w:sz="4" w:space="0" w:color="auto"/>
            </w:tcBorders>
            <w:shd w:val="clear" w:color="auto" w:fill="FFFFFF" w:themeFill="background1"/>
            <w:noWrap/>
          </w:tcPr>
          <w:p w:rsidR="00A125E1" w:rsidRPr="005604D1" w:rsidRDefault="00A125E1" w:rsidP="007254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6"/>
                <w:szCs w:val="16"/>
                <w:vertAlign w:val="superscript"/>
                <w:lang w:eastAsia="es-MX"/>
              </w:rPr>
            </w:pPr>
            <w:r w:rsidRPr="005604D1">
              <w:rPr>
                <w:rFonts w:ascii="Times New Roman" w:hAnsi="Times New Roman"/>
                <w:color w:val="000000"/>
                <w:sz w:val="16"/>
                <w:szCs w:val="16"/>
                <w:lang w:eastAsia="es-MX"/>
              </w:rPr>
              <w:t>0.1156±0.04</w:t>
            </w:r>
          </w:p>
        </w:tc>
        <w:tc>
          <w:tcPr>
            <w:tcW w:w="1097" w:type="dxa"/>
            <w:tcBorders>
              <w:top w:val="single" w:sz="4" w:space="0" w:color="auto"/>
            </w:tcBorders>
            <w:shd w:val="clear" w:color="auto" w:fill="FFFFFF" w:themeFill="background1"/>
          </w:tcPr>
          <w:p w:rsidR="00A125E1" w:rsidRPr="005604D1" w:rsidRDefault="00A125E1" w:rsidP="007254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6"/>
                <w:szCs w:val="16"/>
                <w:lang w:eastAsia="es-MX"/>
              </w:rPr>
            </w:pPr>
            <w:r>
              <w:rPr>
                <w:rFonts w:ascii="Times New Roman" w:hAnsi="Times New Roman"/>
                <w:color w:val="000000"/>
                <w:sz w:val="16"/>
                <w:szCs w:val="16"/>
                <w:lang w:eastAsia="es-MX"/>
              </w:rPr>
              <w:t>-0.0731</w:t>
            </w:r>
            <w:r w:rsidRPr="005604D1">
              <w:rPr>
                <w:rFonts w:ascii="Times New Roman" w:hAnsi="Times New Roman"/>
                <w:color w:val="000000"/>
                <w:sz w:val="16"/>
                <w:szCs w:val="16"/>
                <w:lang w:eastAsia="es-MX"/>
              </w:rPr>
              <w:t>±</w:t>
            </w:r>
            <w:r>
              <w:rPr>
                <w:rFonts w:ascii="Times New Roman" w:hAnsi="Times New Roman"/>
                <w:color w:val="000000"/>
                <w:sz w:val="16"/>
                <w:szCs w:val="16"/>
                <w:lang w:eastAsia="es-MX"/>
              </w:rPr>
              <w:t>0.06</w:t>
            </w:r>
          </w:p>
        </w:tc>
      </w:tr>
      <w:tr w:rsidR="008D5F1F" w:rsidRPr="005604D1" w:rsidTr="007254D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6" w:type="dxa"/>
            <w:noWrap/>
            <w:hideMark/>
          </w:tcPr>
          <w:p w:rsidR="00A125E1" w:rsidRPr="005604D1" w:rsidRDefault="00A125E1" w:rsidP="007254D9">
            <w:pPr>
              <w:jc w:val="center"/>
              <w:rPr>
                <w:rFonts w:ascii="Times New Roman" w:hAnsi="Times New Roman"/>
                <w:i w:val="0"/>
                <w:color w:val="000000"/>
                <w:sz w:val="16"/>
                <w:szCs w:val="16"/>
                <w:lang w:eastAsia="es-MX"/>
              </w:rPr>
            </w:pPr>
            <w:r w:rsidRPr="005604D1">
              <w:rPr>
                <w:rFonts w:ascii="Times New Roman" w:hAnsi="Times New Roman"/>
                <w:i w:val="0"/>
                <w:color w:val="000000"/>
                <w:sz w:val="16"/>
                <w:szCs w:val="16"/>
                <w:lang w:eastAsia="es-MX"/>
              </w:rPr>
              <w:t>ME2</w:t>
            </w:r>
          </w:p>
        </w:tc>
        <w:tc>
          <w:tcPr>
            <w:tcW w:w="1065" w:type="dxa"/>
            <w:tcBorders>
              <w:left w:val="nil"/>
            </w:tcBorders>
            <w:shd w:val="clear" w:color="auto" w:fill="FFFFFF" w:themeFill="background1"/>
            <w:noWrap/>
          </w:tcPr>
          <w:p w:rsidR="00A125E1" w:rsidRPr="00C76E6C" w:rsidRDefault="00A125E1" w:rsidP="007254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lang w:eastAsia="es-MX"/>
              </w:rPr>
            </w:pPr>
            <w:r>
              <w:rPr>
                <w:rFonts w:ascii="Times New Roman" w:hAnsi="Times New Roman"/>
                <w:color w:val="000000"/>
                <w:sz w:val="16"/>
                <w:szCs w:val="16"/>
                <w:lang w:eastAsia="es-MX"/>
              </w:rPr>
              <w:t>0.3212</w:t>
            </w:r>
            <w:r w:rsidRPr="005604D1">
              <w:rPr>
                <w:rFonts w:ascii="Times New Roman" w:hAnsi="Times New Roman"/>
                <w:color w:val="000000"/>
                <w:sz w:val="16"/>
                <w:szCs w:val="16"/>
                <w:lang w:eastAsia="es-MX"/>
              </w:rPr>
              <w:t>±</w:t>
            </w:r>
            <w:r>
              <w:rPr>
                <w:rFonts w:ascii="Times New Roman" w:hAnsi="Times New Roman"/>
                <w:color w:val="000000"/>
                <w:sz w:val="16"/>
                <w:szCs w:val="16"/>
                <w:lang w:eastAsia="es-MX"/>
              </w:rPr>
              <w:t>0.10</w:t>
            </w:r>
          </w:p>
        </w:tc>
        <w:tc>
          <w:tcPr>
            <w:tcW w:w="1024" w:type="dxa"/>
            <w:shd w:val="clear" w:color="auto" w:fill="FFFFFF" w:themeFill="background1"/>
            <w:noWrap/>
          </w:tcPr>
          <w:p w:rsidR="00A125E1" w:rsidRPr="005604D1" w:rsidRDefault="00A125E1" w:rsidP="007254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vertAlign w:val="superscript"/>
                <w:lang w:eastAsia="es-MX"/>
              </w:rPr>
            </w:pPr>
            <w:r w:rsidRPr="005604D1">
              <w:rPr>
                <w:rFonts w:ascii="Times New Roman" w:hAnsi="Times New Roman"/>
                <w:color w:val="000000"/>
                <w:sz w:val="16"/>
                <w:szCs w:val="16"/>
                <w:lang w:eastAsia="es-MX"/>
              </w:rPr>
              <w:t>0.1707±0.02</w:t>
            </w:r>
          </w:p>
        </w:tc>
        <w:tc>
          <w:tcPr>
            <w:tcW w:w="1097" w:type="dxa"/>
            <w:shd w:val="clear" w:color="auto" w:fill="FFFFFF" w:themeFill="background1"/>
          </w:tcPr>
          <w:p w:rsidR="00A125E1" w:rsidRPr="005604D1" w:rsidRDefault="00A125E1" w:rsidP="007254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lang w:eastAsia="es-MX"/>
              </w:rPr>
            </w:pPr>
            <w:r>
              <w:rPr>
                <w:rFonts w:ascii="Times New Roman" w:hAnsi="Times New Roman"/>
                <w:color w:val="000000"/>
                <w:sz w:val="16"/>
                <w:szCs w:val="16"/>
                <w:lang w:eastAsia="es-MX"/>
              </w:rPr>
              <w:t>0.3142</w:t>
            </w:r>
            <w:r w:rsidRPr="005604D1">
              <w:rPr>
                <w:rFonts w:ascii="Times New Roman" w:hAnsi="Times New Roman"/>
                <w:color w:val="000000"/>
                <w:sz w:val="16"/>
                <w:szCs w:val="16"/>
                <w:lang w:eastAsia="es-MX"/>
              </w:rPr>
              <w:t>±</w:t>
            </w:r>
            <w:r>
              <w:rPr>
                <w:rFonts w:ascii="Times New Roman" w:hAnsi="Times New Roman"/>
                <w:color w:val="000000"/>
                <w:sz w:val="16"/>
                <w:szCs w:val="16"/>
                <w:lang w:eastAsia="es-MX"/>
              </w:rPr>
              <w:t>0.08</w:t>
            </w:r>
          </w:p>
        </w:tc>
      </w:tr>
      <w:tr w:rsidR="008D5F1F" w:rsidRPr="005604D1" w:rsidTr="007254D9">
        <w:trPr>
          <w:trHeight w:val="400"/>
        </w:trPr>
        <w:tc>
          <w:tcPr>
            <w:cnfStyle w:val="001000000000" w:firstRow="0" w:lastRow="0" w:firstColumn="1" w:lastColumn="0" w:oddVBand="0" w:evenVBand="0" w:oddHBand="0" w:evenHBand="0" w:firstRowFirstColumn="0" w:firstRowLastColumn="0" w:lastRowFirstColumn="0" w:lastRowLastColumn="0"/>
            <w:tcW w:w="536" w:type="dxa"/>
            <w:tcBorders>
              <w:bottom w:val="single" w:sz="12" w:space="0" w:color="auto"/>
            </w:tcBorders>
            <w:noWrap/>
            <w:hideMark/>
          </w:tcPr>
          <w:p w:rsidR="00A125E1" w:rsidRPr="005604D1" w:rsidRDefault="00A125E1" w:rsidP="007254D9">
            <w:pPr>
              <w:jc w:val="center"/>
              <w:rPr>
                <w:rFonts w:ascii="Times New Roman" w:hAnsi="Times New Roman"/>
                <w:i w:val="0"/>
                <w:color w:val="000000"/>
                <w:sz w:val="16"/>
                <w:szCs w:val="16"/>
                <w:lang w:eastAsia="es-MX"/>
              </w:rPr>
            </w:pPr>
            <w:r w:rsidRPr="005604D1">
              <w:rPr>
                <w:rFonts w:ascii="Times New Roman" w:hAnsi="Times New Roman"/>
                <w:i w:val="0"/>
                <w:color w:val="000000"/>
                <w:sz w:val="16"/>
                <w:szCs w:val="16"/>
                <w:lang w:eastAsia="es-MX"/>
              </w:rPr>
              <w:t>ME3</w:t>
            </w:r>
          </w:p>
        </w:tc>
        <w:tc>
          <w:tcPr>
            <w:tcW w:w="1065" w:type="dxa"/>
            <w:tcBorders>
              <w:left w:val="nil"/>
              <w:bottom w:val="single" w:sz="12" w:space="0" w:color="auto"/>
            </w:tcBorders>
            <w:shd w:val="clear" w:color="auto" w:fill="FFFFFF" w:themeFill="background1"/>
            <w:noWrap/>
          </w:tcPr>
          <w:p w:rsidR="00A125E1" w:rsidRPr="00C76E6C" w:rsidRDefault="00A125E1" w:rsidP="007254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6"/>
                <w:szCs w:val="16"/>
                <w:lang w:eastAsia="es-MX"/>
              </w:rPr>
            </w:pPr>
            <w:r>
              <w:rPr>
                <w:rFonts w:ascii="Times New Roman" w:hAnsi="Times New Roman"/>
                <w:color w:val="000000"/>
                <w:sz w:val="16"/>
                <w:szCs w:val="16"/>
                <w:lang w:eastAsia="es-MX"/>
              </w:rPr>
              <w:t>0.1148</w:t>
            </w:r>
            <w:r w:rsidRPr="005604D1">
              <w:rPr>
                <w:rFonts w:ascii="Times New Roman" w:hAnsi="Times New Roman"/>
                <w:color w:val="000000"/>
                <w:sz w:val="16"/>
                <w:szCs w:val="16"/>
                <w:lang w:eastAsia="es-MX"/>
              </w:rPr>
              <w:t>±</w:t>
            </w:r>
            <w:r>
              <w:rPr>
                <w:rFonts w:ascii="Times New Roman" w:hAnsi="Times New Roman"/>
                <w:color w:val="000000"/>
                <w:sz w:val="16"/>
                <w:szCs w:val="16"/>
                <w:lang w:eastAsia="es-MX"/>
              </w:rPr>
              <w:t>0.01</w:t>
            </w:r>
          </w:p>
        </w:tc>
        <w:tc>
          <w:tcPr>
            <w:tcW w:w="1024" w:type="dxa"/>
            <w:tcBorders>
              <w:bottom w:val="single" w:sz="12" w:space="0" w:color="auto"/>
            </w:tcBorders>
            <w:shd w:val="clear" w:color="auto" w:fill="FFFFFF" w:themeFill="background1"/>
            <w:noWrap/>
          </w:tcPr>
          <w:p w:rsidR="00A125E1" w:rsidRPr="005604D1" w:rsidRDefault="00A125E1" w:rsidP="007254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6"/>
                <w:szCs w:val="16"/>
                <w:vertAlign w:val="superscript"/>
                <w:lang w:eastAsia="es-MX"/>
              </w:rPr>
            </w:pPr>
            <w:r w:rsidRPr="005604D1">
              <w:rPr>
                <w:rFonts w:ascii="Times New Roman" w:hAnsi="Times New Roman"/>
                <w:color w:val="000000"/>
                <w:sz w:val="16"/>
                <w:szCs w:val="16"/>
                <w:lang w:eastAsia="es-MX"/>
              </w:rPr>
              <w:t>0.1651±0.02</w:t>
            </w:r>
          </w:p>
        </w:tc>
        <w:tc>
          <w:tcPr>
            <w:tcW w:w="1097" w:type="dxa"/>
            <w:tcBorders>
              <w:bottom w:val="single" w:sz="12" w:space="0" w:color="auto"/>
            </w:tcBorders>
            <w:shd w:val="clear" w:color="auto" w:fill="FFFFFF" w:themeFill="background1"/>
          </w:tcPr>
          <w:p w:rsidR="00A125E1" w:rsidRPr="005604D1" w:rsidRDefault="00A125E1" w:rsidP="007254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6"/>
                <w:szCs w:val="16"/>
                <w:lang w:eastAsia="es-MX"/>
              </w:rPr>
            </w:pPr>
            <w:r>
              <w:rPr>
                <w:rFonts w:ascii="Times New Roman" w:hAnsi="Times New Roman"/>
                <w:color w:val="000000"/>
                <w:sz w:val="16"/>
                <w:szCs w:val="16"/>
                <w:lang w:eastAsia="es-MX"/>
              </w:rPr>
              <w:t>0.1497</w:t>
            </w:r>
            <w:r w:rsidRPr="005604D1">
              <w:rPr>
                <w:rFonts w:ascii="Times New Roman" w:hAnsi="Times New Roman"/>
                <w:color w:val="000000"/>
                <w:sz w:val="16"/>
                <w:szCs w:val="16"/>
                <w:lang w:eastAsia="es-MX"/>
              </w:rPr>
              <w:t>±</w:t>
            </w:r>
            <w:r>
              <w:rPr>
                <w:rFonts w:ascii="Times New Roman" w:hAnsi="Times New Roman"/>
                <w:color w:val="000000"/>
                <w:sz w:val="16"/>
                <w:szCs w:val="16"/>
                <w:lang w:eastAsia="es-MX"/>
              </w:rPr>
              <w:t>0.09</w:t>
            </w:r>
          </w:p>
        </w:tc>
      </w:tr>
    </w:tbl>
    <w:p w:rsidR="00AF40FE" w:rsidRDefault="00AF40FE" w:rsidP="007254D9">
      <w:pPr>
        <w:snapToGrid w:val="0"/>
        <w:spacing w:after="120"/>
        <w:jc w:val="center"/>
        <w:rPr>
          <w:noProof/>
        </w:rPr>
      </w:pPr>
      <w:r w:rsidRPr="00AF40FE">
        <w:rPr>
          <w:rFonts w:asciiTheme="minorHAnsi" w:eastAsia="MS PGothic" w:hAnsiTheme="minorHAnsi"/>
          <w:noProof/>
          <w:color w:val="000000"/>
          <w:sz w:val="22"/>
          <w:szCs w:val="22"/>
        </w:rPr>
        <mc:AlternateContent>
          <mc:Choice Requires="wps">
            <w:drawing>
              <wp:anchor distT="0" distB="0" distL="114300" distR="114300" simplePos="0" relativeHeight="251659264" behindDoc="0" locked="0" layoutInCell="1" allowOverlap="1" wp14:anchorId="17439AEF" wp14:editId="179B8969">
                <wp:simplePos x="0" y="0"/>
                <wp:positionH relativeFrom="column">
                  <wp:posOffset>7417435</wp:posOffset>
                </wp:positionH>
                <wp:positionV relativeFrom="paragraph">
                  <wp:posOffset>-5139690</wp:posOffset>
                </wp:positionV>
                <wp:extent cx="8209004" cy="584775"/>
                <wp:effectExtent l="0" t="0" r="0" b="0"/>
                <wp:wrapNone/>
                <wp:docPr id="17" name="CuadroTexto 16">
                  <a:extLst xmlns:a="http://schemas.openxmlformats.org/drawingml/2006/main">
                    <a:ext uri="{FF2B5EF4-FFF2-40B4-BE49-F238E27FC236}">
                      <a16:creationId xmlns:a16="http://schemas.microsoft.com/office/drawing/2014/main" id="{D5B9E359-AFF8-4C9B-B355-886D0F96F91F}"/>
                    </a:ext>
                  </a:extLst>
                </wp:docPr>
                <wp:cNvGraphicFramePr/>
                <a:graphic xmlns:a="http://schemas.openxmlformats.org/drawingml/2006/main">
                  <a:graphicData uri="http://schemas.microsoft.com/office/word/2010/wordprocessingShape">
                    <wps:wsp>
                      <wps:cNvSpPr txBox="1"/>
                      <wps:spPr>
                        <a:xfrm>
                          <a:off x="0" y="0"/>
                          <a:ext cx="8209004" cy="584775"/>
                        </a:xfrm>
                        <a:prstGeom prst="rect">
                          <a:avLst/>
                        </a:prstGeom>
                        <a:noFill/>
                      </wps:spPr>
                      <wps:txbx>
                        <w:txbxContent>
                          <w:p w:rsidR="00AF40FE" w:rsidRDefault="00AF40FE" w:rsidP="00AF40FE">
                            <w:pPr>
                              <w:pStyle w:val="NormalWeb"/>
                            </w:pPr>
                            <w:r>
                              <w:rPr>
                                <w:rFonts w:asciiTheme="minorHAnsi" w:hAnsi="Calibri" w:cstheme="minorBidi"/>
                                <w:b/>
                                <w:bCs/>
                                <w:color w:val="000000" w:themeColor="text1"/>
                                <w:kern w:val="24"/>
                                <w:sz w:val="64"/>
                                <w:szCs w:val="64"/>
                                <w:lang w:val="es-ES"/>
                              </w:rPr>
                              <w:t>Tabla 1</w:t>
                            </w:r>
                            <w:r>
                              <w:rPr>
                                <w:rFonts w:asciiTheme="minorHAnsi" w:hAnsi="Calibri" w:cstheme="minorBidi"/>
                                <w:color w:val="000000" w:themeColor="text1"/>
                                <w:kern w:val="24"/>
                                <w:sz w:val="64"/>
                                <w:szCs w:val="64"/>
                                <w:lang w:val="es-ES"/>
                              </w:rPr>
                              <w:t>. Tasa de sedimentación de las ME</w:t>
                            </w:r>
                            <w:r>
                              <w:rPr>
                                <w:rFonts w:asciiTheme="minorHAnsi" w:hAnsi="Calibri" w:cstheme="minorBidi"/>
                                <w:color w:val="000000" w:themeColor="text1"/>
                                <w:kern w:val="24"/>
                                <w:position w:val="-16"/>
                                <w:sz w:val="64"/>
                                <w:szCs w:val="64"/>
                                <w:vertAlign w:val="subscript"/>
                                <w:lang w:val="es-ES"/>
                              </w:rPr>
                              <w:t>O/W</w:t>
                            </w:r>
                          </w:p>
                        </w:txbxContent>
                      </wps:txbx>
                      <wps:bodyPr wrap="square" rtlCol="0">
                        <a:spAutoFit/>
                      </wps:bodyPr>
                    </wps:wsp>
                  </a:graphicData>
                </a:graphic>
              </wp:anchor>
            </w:drawing>
          </mc:Choice>
          <mc:Fallback>
            <w:pict>
              <v:shapetype w14:anchorId="17439AEF" id="_x0000_t202" coordsize="21600,21600" o:spt="202" path="m,l,21600r21600,l21600,xe">
                <v:stroke joinstyle="miter"/>
                <v:path gradientshapeok="t" o:connecttype="rect"/>
              </v:shapetype>
              <v:shape id="CuadroTexto 16" o:spid="_x0000_s1026" type="#_x0000_t202" style="position:absolute;left:0;text-align:left;margin-left:584.05pt;margin-top:-404.7pt;width:646.4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" filled="f" stroked="f">
                <v:textbox style="mso-fit-shape-to-text:t">
                  <w:txbxContent>
                    <w:p w:rsidR="00AF40FE" w:rsidRDefault="00AF40FE" w:rsidP="00AF40FE">
                      <w:pPr>
                        <w:pStyle w:val="NormalWeb"/>
                      </w:pPr>
                      <w:r>
                        <w:rPr>
                          <w:rFonts w:asciiTheme="minorHAnsi" w:hAnsi="Calibri" w:cstheme="minorBidi"/>
                          <w:b/>
                          <w:bCs/>
                          <w:color w:val="000000" w:themeColor="text1"/>
                          <w:kern w:val="24"/>
                          <w:sz w:val="64"/>
                          <w:szCs w:val="64"/>
                          <w:lang w:val="es-ES"/>
                        </w:rPr>
                        <w:t>Tabla 1</w:t>
                      </w:r>
                      <w:r>
                        <w:rPr>
                          <w:rFonts w:asciiTheme="minorHAnsi" w:hAnsi="Calibri" w:cstheme="minorBidi"/>
                          <w:color w:val="000000" w:themeColor="text1"/>
                          <w:kern w:val="24"/>
                          <w:sz w:val="64"/>
                          <w:szCs w:val="64"/>
                          <w:lang w:val="es-ES"/>
                        </w:rPr>
                        <w:t>. Tasa de sedimentación de las ME</w:t>
                      </w:r>
                      <w:r>
                        <w:rPr>
                          <w:rFonts w:asciiTheme="minorHAnsi" w:hAnsi="Calibri" w:cstheme="minorBidi"/>
                          <w:color w:val="000000" w:themeColor="text1"/>
                          <w:kern w:val="24"/>
                          <w:position w:val="-16"/>
                          <w:sz w:val="64"/>
                          <w:szCs w:val="64"/>
                          <w:vertAlign w:val="subscript"/>
                          <w:lang w:val="es-ES"/>
                        </w:rPr>
                        <w:t>O/W</w:t>
                      </w:r>
                    </w:p>
                  </w:txbxContent>
                </v:textbox>
              </v:shape>
            </w:pict>
          </mc:Fallback>
        </mc:AlternateContent>
      </w:r>
      <w:r w:rsidR="00A125E1" w:rsidRPr="00A125E1">
        <w:rPr>
          <w:rFonts w:asciiTheme="minorHAnsi" w:eastAsia="MS PGothic" w:hAnsiTheme="minorHAnsi"/>
          <w:noProof/>
          <w:color w:val="000000"/>
          <w:sz w:val="22"/>
          <w:szCs w:val="22"/>
        </w:rPr>
        <mc:AlternateContent>
          <mc:Choice Requires="wps">
            <w:drawing>
              <wp:anchor distT="0" distB="0" distL="114300" distR="114300" simplePos="0" relativeHeight="251661312" behindDoc="0" locked="0" layoutInCell="1" allowOverlap="1" wp14:anchorId="5CCD6898" wp14:editId="4F32684F">
                <wp:simplePos x="0" y="0"/>
                <wp:positionH relativeFrom="column">
                  <wp:posOffset>7417435</wp:posOffset>
                </wp:positionH>
                <wp:positionV relativeFrom="paragraph">
                  <wp:posOffset>-5139690</wp:posOffset>
                </wp:positionV>
                <wp:extent cx="8209004" cy="230832"/>
                <wp:effectExtent l="0" t="0" r="0" b="0"/>
                <wp:wrapNone/>
                <wp:docPr id="2" name="CuadroTexto 1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8209004" cy="230832"/>
                        </a:xfrm>
                        <a:prstGeom prst="rect">
                          <a:avLst/>
                        </a:prstGeom>
                        <a:noFill/>
                      </wps:spPr>
                      <wps:txbx>
                        <w:txbxContent>
                          <w:p w:rsidR="00A125E1" w:rsidRDefault="00A125E1" w:rsidP="00A125E1">
                            <w:pPr>
                              <w:pStyle w:val="NormalWeb"/>
                            </w:pPr>
                            <w:r>
                              <w:rPr>
                                <w:rFonts w:asciiTheme="minorHAnsi" w:hAnsi="Calibri" w:cstheme="minorBidi"/>
                                <w:b/>
                                <w:bCs/>
                                <w:color w:val="000000" w:themeColor="text1"/>
                                <w:kern w:val="24"/>
                                <w:sz w:val="18"/>
                                <w:szCs w:val="18"/>
                                <w:lang w:val="es-ES"/>
                              </w:rPr>
                              <w:t>Tabla 1</w:t>
                            </w:r>
                            <w:r>
                              <w:rPr>
                                <w:rFonts w:asciiTheme="minorHAnsi" w:hAnsi="Calibri" w:cstheme="minorBidi"/>
                                <w:color w:val="000000" w:themeColor="text1"/>
                                <w:kern w:val="24"/>
                                <w:sz w:val="18"/>
                                <w:szCs w:val="18"/>
                                <w:lang w:val="es-ES"/>
                              </w:rPr>
                              <w:t>. Tasa de sedimentación de las ME</w:t>
                            </w:r>
                            <w:r>
                              <w:rPr>
                                <w:rFonts w:asciiTheme="minorHAnsi" w:hAnsi="Calibri" w:cstheme="minorBidi"/>
                                <w:color w:val="000000" w:themeColor="text1"/>
                                <w:kern w:val="24"/>
                                <w:position w:val="-5"/>
                                <w:sz w:val="18"/>
                                <w:szCs w:val="18"/>
                                <w:vertAlign w:val="subscript"/>
                                <w:lang w:val="es-ES"/>
                              </w:rPr>
                              <w:t>O/W</w:t>
                            </w:r>
                          </w:p>
                        </w:txbxContent>
                      </wps:txbx>
                      <wps:bodyPr wrap="square" rtlCol="0">
                        <a:spAutoFit/>
                      </wps:bodyPr>
                    </wps:wsp>
                  </a:graphicData>
                </a:graphic>
              </wp:anchor>
            </w:drawing>
          </mc:Choice>
          <mc:Fallback>
            <w:pict>
              <v:shape w14:anchorId="5CCD6898" id="_x0000_s1027" type="#_x0000_t202" style="position:absolute;left:0;text-align:left;margin-left:584.05pt;margin-top:-404.7pt;width:646.4pt;height:1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" filled="f" stroked="f">
                <v:textbox style="mso-fit-shape-to-text:t">
                  <w:txbxContent>
                    <w:p w:rsidR="00A125E1" w:rsidRDefault="00A125E1" w:rsidP="00A125E1">
                      <w:pPr>
                        <w:pStyle w:val="NormalWeb"/>
                      </w:pPr>
                      <w:r>
                        <w:rPr>
                          <w:rFonts w:asciiTheme="minorHAnsi" w:hAnsi="Calibri" w:cstheme="minorBidi"/>
                          <w:b/>
                          <w:bCs/>
                          <w:color w:val="000000" w:themeColor="text1"/>
                          <w:kern w:val="24"/>
                          <w:sz w:val="18"/>
                          <w:szCs w:val="18"/>
                          <w:lang w:val="es-ES"/>
                        </w:rPr>
                        <w:t>Tabla 1</w:t>
                      </w:r>
                      <w:r>
                        <w:rPr>
                          <w:rFonts w:asciiTheme="minorHAnsi" w:hAnsi="Calibri" w:cstheme="minorBidi"/>
                          <w:color w:val="000000" w:themeColor="text1"/>
                          <w:kern w:val="24"/>
                          <w:sz w:val="18"/>
                          <w:szCs w:val="18"/>
                          <w:lang w:val="es-ES"/>
                        </w:rPr>
                        <w:t>. Tasa de sedimentación de las ME</w:t>
                      </w:r>
                      <w:r>
                        <w:rPr>
                          <w:rFonts w:asciiTheme="minorHAnsi" w:hAnsi="Calibri" w:cstheme="minorBidi"/>
                          <w:color w:val="000000" w:themeColor="text1"/>
                          <w:kern w:val="24"/>
                          <w:position w:val="-5"/>
                          <w:sz w:val="18"/>
                          <w:szCs w:val="18"/>
                          <w:vertAlign w:val="subscript"/>
                          <w:lang w:val="es-ES"/>
                        </w:rPr>
                        <w:t>O/W</w:t>
                      </w:r>
                    </w:p>
                  </w:txbxContent>
                </v:textbox>
              </v:shape>
            </w:pict>
          </mc:Fallback>
        </mc:AlternateContent>
      </w:r>
      <w:r w:rsidR="00A125E1">
        <w:rPr>
          <w:noProof/>
        </w:rPr>
        <w:drawing>
          <wp:inline distT="0" distB="0" distL="0" distR="0" wp14:anchorId="44BD2D6A" wp14:editId="2884253C">
            <wp:extent cx="2120900" cy="1219200"/>
            <wp:effectExtent l="0" t="0" r="12700" b="0"/>
            <wp:docPr id="1" name="Gráfico 1">
              <a:extLst xmlns:a="http://schemas.openxmlformats.org/drawingml/2006/main">
                <a:ext uri="{FF2B5EF4-FFF2-40B4-BE49-F238E27FC236}">
                  <a16:creationId xmlns:a16="http://schemas.microsoft.com/office/drawing/2014/main" id="{AB2F4EEF-2633-BD47-9E65-147E43D2D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54D9" w:rsidRPr="007254D9" w:rsidRDefault="007254D9" w:rsidP="00704BDF">
      <w:pPr>
        <w:snapToGrid w:val="0"/>
        <w:spacing w:before="240" w:line="300" w:lineRule="auto"/>
        <w:rPr>
          <w:rFonts w:asciiTheme="minorHAnsi" w:eastAsia="MS PGothic" w:hAnsiTheme="minorHAnsi"/>
          <w:bCs/>
          <w:color w:val="000000"/>
          <w:sz w:val="22"/>
          <w:szCs w:val="22"/>
          <w:lang w:val="en-US"/>
        </w:rPr>
      </w:pPr>
      <w:r w:rsidRPr="007254D9">
        <w:rPr>
          <w:rFonts w:asciiTheme="minorHAnsi" w:eastAsia="MS PGothic" w:hAnsiTheme="minorHAnsi"/>
          <w:b/>
          <w:bCs/>
          <w:color w:val="000000"/>
          <w:szCs w:val="18"/>
          <w:lang w:val="en-US"/>
        </w:rPr>
        <w:t>Fig</w:t>
      </w:r>
      <w:bookmarkStart w:id="0" w:name="_GoBack"/>
      <w:bookmarkEnd w:id="0"/>
      <w:r w:rsidRPr="007254D9">
        <w:rPr>
          <w:rFonts w:asciiTheme="minorHAnsi" w:eastAsia="MS PGothic" w:hAnsiTheme="minorHAnsi"/>
          <w:b/>
          <w:bCs/>
          <w:color w:val="000000"/>
          <w:szCs w:val="18"/>
          <w:lang w:val="en-US"/>
        </w:rPr>
        <w:t xml:space="preserve">ure 1. </w:t>
      </w:r>
      <w:r w:rsidRPr="007254D9">
        <w:rPr>
          <w:rFonts w:asciiTheme="minorHAnsi" w:eastAsia="MS PGothic" w:hAnsiTheme="minorHAnsi"/>
          <w:bCs/>
          <w:color w:val="000000"/>
          <w:szCs w:val="18"/>
          <w:lang w:val="en-US"/>
        </w:rPr>
        <w:t xml:space="preserve">Effect of pH on the </w:t>
      </w:r>
      <w:proofErr w:type="spellStart"/>
      <w:r w:rsidRPr="007254D9">
        <w:rPr>
          <w:rFonts w:asciiTheme="minorHAnsi" w:eastAsia="MS PGothic" w:hAnsiTheme="minorHAnsi"/>
          <w:bCs/>
          <w:color w:val="000000"/>
          <w:szCs w:val="18"/>
          <w:lang w:val="en-US"/>
        </w:rPr>
        <w:t>D</w:t>
      </w:r>
      <w:r w:rsidRPr="007254D9">
        <w:rPr>
          <w:rFonts w:asciiTheme="minorHAnsi" w:eastAsia="MS PGothic" w:hAnsiTheme="minorHAnsi"/>
          <w:bCs/>
          <w:color w:val="000000"/>
          <w:szCs w:val="18"/>
          <w:vertAlign w:val="subscript"/>
          <w:lang w:val="en-US"/>
        </w:rPr>
        <w:t>hd</w:t>
      </w:r>
      <w:proofErr w:type="spellEnd"/>
      <w:r w:rsidRPr="007254D9">
        <w:rPr>
          <w:rFonts w:asciiTheme="minorHAnsi" w:eastAsia="MS PGothic" w:hAnsiTheme="minorHAnsi"/>
          <w:bCs/>
          <w:color w:val="000000"/>
          <w:szCs w:val="18"/>
          <w:lang w:val="en-US"/>
        </w:rPr>
        <w:t xml:space="preserve"> of the ME</w:t>
      </w:r>
      <w:r w:rsidRPr="007254D9">
        <w:rPr>
          <w:rFonts w:asciiTheme="minorHAnsi" w:eastAsia="MS PGothic" w:hAnsiTheme="minorHAnsi"/>
          <w:bCs/>
          <w:color w:val="000000"/>
          <w:szCs w:val="18"/>
          <w:vertAlign w:val="subscript"/>
          <w:lang w:val="en-US"/>
        </w:rPr>
        <w:t>O/W</w:t>
      </w:r>
      <w:r w:rsidRPr="007254D9">
        <w:rPr>
          <w:rFonts w:asciiTheme="minorHAnsi" w:eastAsia="MS PGothic" w:hAnsiTheme="minorHAnsi"/>
          <w:bCs/>
          <w:color w:val="000000"/>
          <w:sz w:val="22"/>
          <w:szCs w:val="22"/>
          <w:lang w:val="en-US"/>
        </w:rPr>
        <w:t>.</w:t>
      </w:r>
    </w:p>
    <w:p w:rsidR="00704BDF"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F30696" w:rsidP="00704BDF">
      <w:pPr>
        <w:snapToGrid w:val="0"/>
        <w:spacing w:after="120"/>
        <w:rPr>
          <w:rFonts w:asciiTheme="minorHAnsi" w:eastAsia="MS PGothic" w:hAnsiTheme="minorHAnsi"/>
          <w:color w:val="000000"/>
          <w:sz w:val="22"/>
          <w:szCs w:val="22"/>
          <w:lang w:val="en-US"/>
        </w:rPr>
      </w:pPr>
      <w:r w:rsidRPr="00F30696">
        <w:rPr>
          <w:rFonts w:asciiTheme="minorHAnsi" w:hAnsiTheme="minorHAnsi" w:cstheme="minorHAnsi"/>
          <w:sz w:val="22"/>
          <w:szCs w:val="22"/>
        </w:rPr>
        <w:t xml:space="preserve">The ME containing 30% ACK extract and 30% surfactant showed the best physical and kinetic stability with respect to pH change, while ME2 showed the highest change in its </w:t>
      </w:r>
      <w:proofErr w:type="spellStart"/>
      <w:r w:rsidRPr="00F30696">
        <w:rPr>
          <w:rFonts w:asciiTheme="minorHAnsi" w:hAnsiTheme="minorHAnsi" w:cstheme="minorHAnsi"/>
          <w:sz w:val="22"/>
          <w:szCs w:val="22"/>
        </w:rPr>
        <w:t>D</w:t>
      </w:r>
      <w:r w:rsidR="00F3457E">
        <w:rPr>
          <w:rFonts w:asciiTheme="minorHAnsi" w:hAnsiTheme="minorHAnsi" w:cstheme="minorHAnsi"/>
          <w:sz w:val="22"/>
          <w:szCs w:val="22"/>
          <w:vertAlign w:val="subscript"/>
        </w:rPr>
        <w:t>hd</w:t>
      </w:r>
      <w:proofErr w:type="spellEnd"/>
      <w:r w:rsidRPr="00F30696">
        <w:rPr>
          <w:rFonts w:asciiTheme="minorHAnsi" w:hAnsiTheme="minorHAnsi" w:cstheme="minorHAnsi"/>
          <w:sz w:val="22"/>
          <w:szCs w:val="22"/>
        </w:rPr>
        <w:t xml:space="preserve"> and higher sedimentation rates followed by ME</w:t>
      </w:r>
      <w:r w:rsidR="00F3457E">
        <w:rPr>
          <w:rFonts w:asciiTheme="minorHAnsi" w:hAnsiTheme="minorHAnsi" w:cstheme="minorHAnsi"/>
          <w:sz w:val="22"/>
          <w:szCs w:val="22"/>
        </w:rPr>
        <w:t>1</w:t>
      </w:r>
      <w:r w:rsidRPr="00F30696">
        <w:rPr>
          <w:rFonts w:asciiTheme="minorHAnsi" w:hAnsiTheme="minorHAnsi" w:cstheme="minorHAnsi"/>
          <w:sz w:val="22"/>
          <w:szCs w:val="22"/>
        </w:rPr>
        <w:t>. The above can be attributed to the fact that the stability of these dispersed systems depends on the equilibrium achieved between the different phases involved, so that the modification of the ionic strength in the medium promotes the generation of new equilibriums that impact stability and potentially functionality of these systems. The above opens the guideline to the evaluation of the chemical stability of the materials trapped in the ME</w:t>
      </w:r>
      <w:r w:rsidR="00F3457E">
        <w:rPr>
          <w:rFonts w:asciiTheme="minorHAnsi" w:hAnsiTheme="minorHAnsi" w:cstheme="minorHAnsi"/>
          <w:sz w:val="22"/>
          <w:szCs w:val="22"/>
        </w:rPr>
        <w:t>´s</w:t>
      </w:r>
      <w:r w:rsidRPr="00F30696">
        <w:rPr>
          <w:rFonts w:asciiTheme="minorHAnsi" w:hAnsiTheme="minorHAnsi" w:cstheme="minorHAnsi"/>
          <w:sz w:val="22"/>
          <w:szCs w:val="22"/>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8D5F1F" w:rsidRPr="00A74EA9" w:rsidRDefault="00F3457E" w:rsidP="00F3457E">
      <w:pPr>
        <w:pStyle w:val="Prrafodelista"/>
        <w:numPr>
          <w:ilvl w:val="0"/>
          <w:numId w:val="17"/>
        </w:numPr>
        <w:tabs>
          <w:tab w:val="clear" w:pos="7100"/>
        </w:tabs>
        <w:spacing w:line="240" w:lineRule="auto"/>
        <w:rPr>
          <w:rFonts w:asciiTheme="minorHAnsi" w:hAnsiTheme="minorHAnsi" w:cstheme="minorHAnsi"/>
          <w:sz w:val="20"/>
          <w:lang w:val="en-US"/>
        </w:rPr>
      </w:pPr>
      <w:r w:rsidRPr="00A74EA9">
        <w:rPr>
          <w:rFonts w:asciiTheme="minorHAnsi" w:hAnsiTheme="minorHAnsi" w:cstheme="minorHAnsi"/>
          <w:sz w:val="20"/>
          <w:lang w:val="en-US"/>
        </w:rPr>
        <w:t xml:space="preserve">G. </w:t>
      </w:r>
      <w:r w:rsidR="008D5F1F" w:rsidRPr="00A74EA9">
        <w:rPr>
          <w:rFonts w:asciiTheme="minorHAnsi" w:hAnsiTheme="minorHAnsi" w:cstheme="minorHAnsi"/>
          <w:sz w:val="20"/>
          <w:lang w:val="en-US"/>
        </w:rPr>
        <w:t>Dixit,</w:t>
      </w:r>
      <w:r w:rsidRPr="00A74EA9">
        <w:rPr>
          <w:rFonts w:asciiTheme="minorHAnsi" w:hAnsiTheme="minorHAnsi" w:cstheme="minorHAnsi"/>
          <w:sz w:val="20"/>
          <w:lang w:val="en-US"/>
        </w:rPr>
        <w:t xml:space="preserve"> V. B. </w:t>
      </w:r>
      <w:r w:rsidR="008D5F1F" w:rsidRPr="00A74EA9">
        <w:rPr>
          <w:rFonts w:asciiTheme="minorHAnsi" w:hAnsiTheme="minorHAnsi" w:cstheme="minorHAnsi"/>
          <w:sz w:val="20"/>
          <w:lang w:val="en-US"/>
        </w:rPr>
        <w:t>Mathur</w:t>
      </w:r>
      <w:r w:rsidRPr="00A74EA9">
        <w:rPr>
          <w:rFonts w:asciiTheme="minorHAnsi" w:hAnsiTheme="minorHAnsi" w:cstheme="minorHAnsi"/>
          <w:sz w:val="20"/>
          <w:lang w:val="en-US"/>
        </w:rPr>
        <w:t xml:space="preserve">, Asian J. Pharm. </w:t>
      </w:r>
      <w:proofErr w:type="spellStart"/>
      <w:r w:rsidRPr="00A74EA9">
        <w:rPr>
          <w:rFonts w:asciiTheme="minorHAnsi" w:hAnsiTheme="minorHAnsi" w:cstheme="minorHAnsi"/>
          <w:sz w:val="20"/>
          <w:lang w:val="en-US"/>
        </w:rPr>
        <w:t>Clin</w:t>
      </w:r>
      <w:proofErr w:type="spellEnd"/>
      <w:r w:rsidRPr="00A74EA9">
        <w:rPr>
          <w:rFonts w:asciiTheme="minorHAnsi" w:hAnsiTheme="minorHAnsi" w:cstheme="minorHAnsi"/>
          <w:sz w:val="20"/>
          <w:lang w:val="en-US"/>
        </w:rPr>
        <w:t xml:space="preserve">. Res. </w:t>
      </w:r>
      <w:r w:rsidR="008D5F1F" w:rsidRPr="00A74EA9">
        <w:rPr>
          <w:rFonts w:asciiTheme="minorHAnsi" w:hAnsiTheme="minorHAnsi" w:cstheme="minorHAnsi"/>
          <w:sz w:val="20"/>
          <w:lang w:val="en-US"/>
        </w:rPr>
        <w:t>8 (2015) 7-17.</w:t>
      </w:r>
    </w:p>
    <w:p w:rsidR="008D5F1F" w:rsidRPr="00A74EA9" w:rsidRDefault="00A74EA9" w:rsidP="00A74EA9">
      <w:pPr>
        <w:pStyle w:val="Prrafodelista"/>
        <w:numPr>
          <w:ilvl w:val="0"/>
          <w:numId w:val="17"/>
        </w:numPr>
        <w:tabs>
          <w:tab w:val="clear" w:pos="7100"/>
        </w:tabs>
        <w:spacing w:line="240" w:lineRule="auto"/>
        <w:rPr>
          <w:rFonts w:asciiTheme="minorHAnsi" w:hAnsiTheme="minorHAnsi" w:cstheme="minorHAnsi"/>
          <w:sz w:val="20"/>
          <w:lang w:val="en-US"/>
        </w:rPr>
      </w:pPr>
      <w:r w:rsidRPr="00A74EA9">
        <w:rPr>
          <w:rFonts w:asciiTheme="minorHAnsi" w:hAnsiTheme="minorHAnsi" w:cstheme="minorHAnsi"/>
          <w:sz w:val="20"/>
          <w:lang w:val="en-US"/>
        </w:rPr>
        <w:t xml:space="preserve">A. </w:t>
      </w:r>
      <w:r w:rsidR="008D5F1F" w:rsidRPr="00A74EA9">
        <w:rPr>
          <w:rFonts w:asciiTheme="minorHAnsi" w:hAnsiTheme="minorHAnsi" w:cstheme="minorHAnsi"/>
          <w:sz w:val="20"/>
          <w:lang w:val="en-US"/>
        </w:rPr>
        <w:t xml:space="preserve">Muhammad, </w:t>
      </w:r>
      <w:r w:rsidRPr="00A74EA9">
        <w:rPr>
          <w:rFonts w:asciiTheme="minorHAnsi" w:hAnsiTheme="minorHAnsi" w:cstheme="minorHAnsi"/>
          <w:sz w:val="20"/>
          <w:lang w:val="en-US"/>
        </w:rPr>
        <w:t xml:space="preserve">N. </w:t>
      </w:r>
      <w:proofErr w:type="spellStart"/>
      <w:r w:rsidR="008D5F1F" w:rsidRPr="00A74EA9">
        <w:rPr>
          <w:rFonts w:asciiTheme="minorHAnsi" w:hAnsiTheme="minorHAnsi" w:cstheme="minorHAnsi"/>
          <w:sz w:val="20"/>
          <w:lang w:val="en-US"/>
        </w:rPr>
        <w:t>Tehreem</w:t>
      </w:r>
      <w:proofErr w:type="spellEnd"/>
      <w:r w:rsidR="008D5F1F" w:rsidRPr="00A74EA9">
        <w:rPr>
          <w:rFonts w:asciiTheme="minorHAnsi" w:hAnsiTheme="minorHAnsi" w:cstheme="minorHAnsi"/>
          <w:sz w:val="20"/>
          <w:lang w:val="en-US"/>
        </w:rPr>
        <w:t xml:space="preserve">, </w:t>
      </w:r>
      <w:r w:rsidRPr="00A74EA9">
        <w:rPr>
          <w:rFonts w:asciiTheme="minorHAnsi" w:hAnsiTheme="minorHAnsi" w:cstheme="minorHAnsi"/>
          <w:sz w:val="20"/>
          <w:lang w:val="en-US"/>
        </w:rPr>
        <w:t xml:space="preserve">M. </w:t>
      </w:r>
      <w:r w:rsidR="008D5F1F" w:rsidRPr="00A74EA9">
        <w:rPr>
          <w:rFonts w:asciiTheme="minorHAnsi" w:hAnsiTheme="minorHAnsi" w:cstheme="minorHAnsi"/>
          <w:sz w:val="20"/>
          <w:lang w:val="en-US"/>
        </w:rPr>
        <w:t xml:space="preserve">Abbas, </w:t>
      </w:r>
      <w:r w:rsidRPr="00A74EA9">
        <w:rPr>
          <w:rFonts w:asciiTheme="minorHAnsi" w:hAnsiTheme="minorHAnsi" w:cstheme="minorHAnsi"/>
          <w:sz w:val="20"/>
          <w:lang w:val="en-US"/>
        </w:rPr>
        <w:t xml:space="preserve">S. </w:t>
      </w:r>
      <w:r w:rsidR="008D5F1F" w:rsidRPr="00A74EA9">
        <w:rPr>
          <w:rFonts w:asciiTheme="minorHAnsi" w:hAnsiTheme="minorHAnsi" w:cstheme="minorHAnsi"/>
          <w:sz w:val="20"/>
          <w:lang w:val="en-US"/>
        </w:rPr>
        <w:t>Nazir,</w:t>
      </w:r>
      <w:r w:rsidRPr="00A74EA9">
        <w:rPr>
          <w:rFonts w:asciiTheme="minorHAnsi" w:hAnsiTheme="minorHAnsi" w:cstheme="minorHAnsi"/>
          <w:sz w:val="20"/>
          <w:lang w:val="en-US"/>
        </w:rPr>
        <w:t xml:space="preserve"> N.</w:t>
      </w:r>
      <w:r w:rsidR="008D5F1F" w:rsidRPr="00A74EA9">
        <w:rPr>
          <w:rFonts w:asciiTheme="minorHAnsi" w:hAnsiTheme="minorHAnsi" w:cstheme="minorHAnsi"/>
          <w:sz w:val="20"/>
          <w:lang w:val="en-US"/>
        </w:rPr>
        <w:t xml:space="preserve"> </w:t>
      </w:r>
      <w:proofErr w:type="spellStart"/>
      <w:r w:rsidR="008D5F1F" w:rsidRPr="00A74EA9">
        <w:rPr>
          <w:rFonts w:asciiTheme="minorHAnsi" w:hAnsiTheme="minorHAnsi" w:cstheme="minorHAnsi"/>
          <w:sz w:val="20"/>
          <w:lang w:val="en-US"/>
        </w:rPr>
        <w:t>Younas</w:t>
      </w:r>
      <w:proofErr w:type="spellEnd"/>
      <w:r w:rsidR="008D5F1F" w:rsidRPr="00A74EA9">
        <w:rPr>
          <w:rFonts w:asciiTheme="minorHAnsi" w:hAnsiTheme="minorHAnsi" w:cstheme="minorHAnsi"/>
          <w:sz w:val="20"/>
          <w:lang w:val="en-US"/>
        </w:rPr>
        <w:t xml:space="preserve">, </w:t>
      </w:r>
      <w:r w:rsidRPr="00A74EA9">
        <w:rPr>
          <w:rFonts w:asciiTheme="minorHAnsi" w:hAnsiTheme="minorHAnsi" w:cstheme="minorHAnsi"/>
          <w:sz w:val="20"/>
          <w:lang w:val="en-US"/>
        </w:rPr>
        <w:t xml:space="preserve">S. </w:t>
      </w:r>
      <w:r w:rsidR="008D5F1F" w:rsidRPr="00A74EA9">
        <w:rPr>
          <w:rFonts w:asciiTheme="minorHAnsi" w:hAnsiTheme="minorHAnsi" w:cstheme="minorHAnsi"/>
          <w:sz w:val="20"/>
          <w:lang w:val="en-US"/>
        </w:rPr>
        <w:t xml:space="preserve">Majeed, </w:t>
      </w:r>
      <w:r w:rsidRPr="00A74EA9">
        <w:rPr>
          <w:rFonts w:asciiTheme="minorHAnsi" w:hAnsiTheme="minorHAnsi" w:cstheme="minorHAnsi"/>
          <w:sz w:val="20"/>
          <w:lang w:val="en-US"/>
        </w:rPr>
        <w:t xml:space="preserve">N. </w:t>
      </w:r>
      <w:r w:rsidR="008D5F1F" w:rsidRPr="00A74EA9">
        <w:rPr>
          <w:rFonts w:asciiTheme="minorHAnsi" w:hAnsiTheme="minorHAnsi" w:cstheme="minorHAnsi"/>
          <w:sz w:val="20"/>
          <w:lang w:val="en-US"/>
        </w:rPr>
        <w:t xml:space="preserve">Qureshi, </w:t>
      </w:r>
      <w:r w:rsidRPr="00A74EA9">
        <w:rPr>
          <w:rFonts w:asciiTheme="minorHAnsi" w:hAnsiTheme="minorHAnsi" w:cstheme="minorHAnsi"/>
          <w:sz w:val="20"/>
          <w:lang w:val="en-US"/>
        </w:rPr>
        <w:t xml:space="preserve">N.A. </w:t>
      </w:r>
      <w:r w:rsidR="008D5F1F" w:rsidRPr="00A74EA9">
        <w:rPr>
          <w:rFonts w:asciiTheme="minorHAnsi" w:hAnsiTheme="minorHAnsi" w:cstheme="minorHAnsi"/>
          <w:sz w:val="20"/>
          <w:lang w:val="en-US"/>
        </w:rPr>
        <w:t>Muhammad</w:t>
      </w:r>
      <w:r w:rsidR="007254D9">
        <w:rPr>
          <w:rFonts w:asciiTheme="minorHAnsi" w:hAnsiTheme="minorHAnsi" w:cstheme="minorHAnsi"/>
          <w:sz w:val="20"/>
          <w:lang w:val="en-US"/>
        </w:rPr>
        <w:t>,</w:t>
      </w:r>
      <w:r w:rsidR="008D5F1F" w:rsidRPr="00A74EA9">
        <w:rPr>
          <w:rFonts w:asciiTheme="minorHAnsi" w:hAnsiTheme="minorHAnsi" w:cstheme="minorHAnsi"/>
          <w:sz w:val="20"/>
          <w:lang w:val="en-US"/>
        </w:rPr>
        <w:t xml:space="preserve"> Colloid and Interface Science Communications 28 (2019), 41-48</w:t>
      </w:r>
    </w:p>
    <w:p w:rsidR="008D5F1F" w:rsidRPr="00A74EA9" w:rsidRDefault="00A74EA9" w:rsidP="007254D9">
      <w:pPr>
        <w:pStyle w:val="Prrafodelista"/>
        <w:widowControl w:val="0"/>
        <w:numPr>
          <w:ilvl w:val="0"/>
          <w:numId w:val="17"/>
        </w:numPr>
        <w:tabs>
          <w:tab w:val="clear" w:pos="7100"/>
          <w:tab w:val="left" w:pos="426"/>
        </w:tabs>
        <w:autoSpaceDE w:val="0"/>
        <w:autoSpaceDN w:val="0"/>
        <w:adjustRightInd w:val="0"/>
        <w:spacing w:line="240" w:lineRule="auto"/>
        <w:rPr>
          <w:rFonts w:asciiTheme="minorHAnsi" w:hAnsiTheme="minorHAnsi" w:cstheme="minorHAnsi"/>
          <w:sz w:val="20"/>
          <w:lang w:val="en-US"/>
        </w:rPr>
      </w:pPr>
      <w:r w:rsidRPr="007254D9">
        <w:rPr>
          <w:rFonts w:asciiTheme="minorHAnsi" w:hAnsiTheme="minorHAnsi" w:cstheme="minorHAnsi"/>
          <w:sz w:val="20"/>
          <w:lang w:val="en-US"/>
        </w:rPr>
        <w:t xml:space="preserve">A. </w:t>
      </w:r>
      <w:proofErr w:type="spellStart"/>
      <w:r w:rsidR="008D5F1F" w:rsidRPr="007254D9">
        <w:rPr>
          <w:rFonts w:asciiTheme="minorHAnsi" w:hAnsiTheme="minorHAnsi" w:cstheme="minorHAnsi"/>
          <w:sz w:val="20"/>
          <w:lang w:val="en-US"/>
        </w:rPr>
        <w:t>Zielińska</w:t>
      </w:r>
      <w:proofErr w:type="spellEnd"/>
      <w:r w:rsidR="008D5F1F" w:rsidRPr="007254D9">
        <w:rPr>
          <w:rFonts w:asciiTheme="minorHAnsi" w:hAnsiTheme="minorHAnsi" w:cstheme="minorHAnsi"/>
          <w:sz w:val="20"/>
          <w:lang w:val="en-US"/>
        </w:rPr>
        <w:t xml:space="preserve">, </w:t>
      </w:r>
      <w:r w:rsidRPr="007254D9">
        <w:rPr>
          <w:rFonts w:asciiTheme="minorHAnsi" w:hAnsiTheme="minorHAnsi" w:cstheme="minorHAnsi"/>
          <w:sz w:val="20"/>
          <w:lang w:val="en-US"/>
        </w:rPr>
        <w:t xml:space="preserve">C. </w:t>
      </w:r>
      <w:r w:rsidR="008D5F1F" w:rsidRPr="007254D9">
        <w:rPr>
          <w:rFonts w:asciiTheme="minorHAnsi" w:hAnsiTheme="minorHAnsi" w:cstheme="minorHAnsi"/>
          <w:sz w:val="20"/>
          <w:lang w:val="en-US"/>
        </w:rPr>
        <w:t>Martins-Gomes,</w:t>
      </w:r>
      <w:r w:rsidRPr="007254D9">
        <w:rPr>
          <w:rFonts w:asciiTheme="minorHAnsi" w:hAnsiTheme="minorHAnsi" w:cstheme="minorHAnsi"/>
          <w:sz w:val="20"/>
          <w:lang w:val="en-US"/>
        </w:rPr>
        <w:t xml:space="preserve"> N.R.</w:t>
      </w:r>
      <w:r w:rsidR="008D5F1F" w:rsidRPr="007254D9">
        <w:rPr>
          <w:rFonts w:asciiTheme="minorHAnsi" w:hAnsiTheme="minorHAnsi" w:cstheme="minorHAnsi"/>
          <w:sz w:val="20"/>
          <w:lang w:val="en-US"/>
        </w:rPr>
        <w:t xml:space="preserve"> </w:t>
      </w:r>
      <w:proofErr w:type="spellStart"/>
      <w:r w:rsidR="008D5F1F" w:rsidRPr="007254D9">
        <w:rPr>
          <w:rFonts w:asciiTheme="minorHAnsi" w:hAnsiTheme="minorHAnsi" w:cstheme="minorHAnsi"/>
          <w:sz w:val="20"/>
          <w:lang w:val="en-US"/>
        </w:rPr>
        <w:t>Ferreiraa</w:t>
      </w:r>
      <w:proofErr w:type="spellEnd"/>
      <w:r w:rsidR="008D5F1F" w:rsidRPr="007254D9">
        <w:rPr>
          <w:rFonts w:asciiTheme="minorHAnsi" w:hAnsiTheme="minorHAnsi" w:cstheme="minorHAnsi"/>
          <w:sz w:val="20"/>
          <w:lang w:val="en-US"/>
        </w:rPr>
        <w:t>,</w:t>
      </w:r>
      <w:r w:rsidRPr="007254D9">
        <w:rPr>
          <w:rFonts w:asciiTheme="minorHAnsi" w:hAnsiTheme="minorHAnsi" w:cstheme="minorHAnsi"/>
          <w:sz w:val="20"/>
          <w:lang w:val="en-US"/>
        </w:rPr>
        <w:t xml:space="preserve"> A.M.</w:t>
      </w:r>
      <w:r w:rsidR="008D5F1F" w:rsidRPr="007254D9">
        <w:rPr>
          <w:rFonts w:asciiTheme="minorHAnsi" w:hAnsiTheme="minorHAnsi" w:cstheme="minorHAnsi"/>
          <w:sz w:val="20"/>
          <w:lang w:val="en-US"/>
        </w:rPr>
        <w:t xml:space="preserve"> </w:t>
      </w:r>
      <w:proofErr w:type="spellStart"/>
      <w:r w:rsidR="008D5F1F" w:rsidRPr="007254D9">
        <w:rPr>
          <w:rFonts w:asciiTheme="minorHAnsi" w:hAnsiTheme="minorHAnsi" w:cstheme="minorHAnsi"/>
          <w:sz w:val="20"/>
          <w:lang w:val="en-US"/>
        </w:rPr>
        <w:t>Silvac</w:t>
      </w:r>
      <w:proofErr w:type="spellEnd"/>
      <w:r w:rsidR="008D5F1F" w:rsidRPr="007254D9">
        <w:rPr>
          <w:rFonts w:asciiTheme="minorHAnsi" w:hAnsiTheme="minorHAnsi" w:cstheme="minorHAnsi"/>
          <w:sz w:val="20"/>
          <w:lang w:val="en-US"/>
        </w:rPr>
        <w:t>,</w:t>
      </w:r>
      <w:r w:rsidRPr="007254D9">
        <w:rPr>
          <w:rFonts w:asciiTheme="minorHAnsi" w:hAnsiTheme="minorHAnsi" w:cstheme="minorHAnsi"/>
          <w:sz w:val="20"/>
          <w:lang w:val="en-US"/>
        </w:rPr>
        <w:t xml:space="preserve"> I.</w:t>
      </w:r>
      <w:r w:rsidR="008D5F1F" w:rsidRPr="007254D9">
        <w:rPr>
          <w:rFonts w:asciiTheme="minorHAnsi" w:hAnsiTheme="minorHAnsi" w:cstheme="minorHAnsi"/>
          <w:sz w:val="20"/>
          <w:lang w:val="en-US"/>
        </w:rPr>
        <w:t xml:space="preserve"> Nowak, </w:t>
      </w:r>
      <w:r w:rsidRPr="007254D9">
        <w:rPr>
          <w:rFonts w:asciiTheme="minorHAnsi" w:hAnsiTheme="minorHAnsi" w:cstheme="minorHAnsi"/>
          <w:sz w:val="20"/>
          <w:lang w:val="en-US"/>
        </w:rPr>
        <w:t xml:space="preserve">E.B. </w:t>
      </w:r>
      <w:proofErr w:type="spellStart"/>
      <w:r w:rsidR="008D5F1F" w:rsidRPr="007254D9">
        <w:rPr>
          <w:rFonts w:asciiTheme="minorHAnsi" w:hAnsiTheme="minorHAnsi" w:cstheme="minorHAnsi"/>
          <w:sz w:val="20"/>
          <w:lang w:val="en-US"/>
        </w:rPr>
        <w:t>Souto</w:t>
      </w:r>
      <w:proofErr w:type="spellEnd"/>
      <w:r w:rsidRPr="007254D9">
        <w:rPr>
          <w:rFonts w:asciiTheme="minorHAnsi" w:hAnsiTheme="minorHAnsi" w:cstheme="minorHAnsi"/>
          <w:sz w:val="20"/>
          <w:lang w:val="en-US"/>
        </w:rPr>
        <w:t>,</w:t>
      </w:r>
      <w:r w:rsidR="008D5F1F" w:rsidRPr="007254D9">
        <w:rPr>
          <w:rFonts w:asciiTheme="minorHAnsi" w:hAnsiTheme="minorHAnsi" w:cstheme="minorHAnsi"/>
          <w:sz w:val="20"/>
          <w:lang w:val="en-US"/>
        </w:rPr>
        <w:t xml:space="preserve"> Int</w:t>
      </w:r>
      <w:r w:rsidR="007254D9" w:rsidRPr="007254D9">
        <w:rPr>
          <w:rFonts w:asciiTheme="minorHAnsi" w:hAnsiTheme="minorHAnsi" w:cstheme="minorHAnsi"/>
          <w:sz w:val="20"/>
          <w:lang w:val="en-US"/>
        </w:rPr>
        <w:t>.</w:t>
      </w:r>
      <w:r w:rsidR="008D5F1F" w:rsidRPr="007254D9">
        <w:rPr>
          <w:rFonts w:asciiTheme="minorHAnsi" w:hAnsiTheme="minorHAnsi" w:cstheme="minorHAnsi"/>
          <w:sz w:val="20"/>
          <w:lang w:val="en-US"/>
        </w:rPr>
        <w:t xml:space="preserve"> J</w:t>
      </w:r>
      <w:r w:rsidR="007254D9" w:rsidRPr="007254D9">
        <w:rPr>
          <w:rFonts w:asciiTheme="minorHAnsi" w:hAnsiTheme="minorHAnsi" w:cstheme="minorHAnsi"/>
          <w:sz w:val="20"/>
          <w:lang w:val="en-US"/>
        </w:rPr>
        <w:t>.</w:t>
      </w:r>
      <w:r w:rsidR="008D5F1F" w:rsidRPr="007254D9">
        <w:rPr>
          <w:rFonts w:asciiTheme="minorHAnsi" w:hAnsiTheme="minorHAnsi" w:cstheme="minorHAnsi"/>
          <w:sz w:val="20"/>
          <w:lang w:val="en-US"/>
        </w:rPr>
        <w:t xml:space="preserve"> of Pharmaceutics 553 (2018) 428–440.</w:t>
      </w:r>
    </w:p>
    <w:sectPr w:rsidR="008D5F1F" w:rsidRPr="00A74EA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3FF" w:rsidRDefault="008F53FF" w:rsidP="004F5E36">
      <w:r>
        <w:separator/>
      </w:r>
    </w:p>
  </w:endnote>
  <w:endnote w:type="continuationSeparator" w:id="0">
    <w:p w:rsidR="008F53FF" w:rsidRDefault="008F53F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3FF" w:rsidRDefault="008F53FF" w:rsidP="004F5E36">
      <w:r>
        <w:separator/>
      </w:r>
    </w:p>
  </w:footnote>
  <w:footnote w:type="continuationSeparator" w:id="0">
    <w:p w:rsidR="008F53FF" w:rsidRDefault="008F53F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4009D4"/>
    <w:multiLevelType w:val="hybridMultilevel"/>
    <w:tmpl w:val="07022F70"/>
    <w:lvl w:ilvl="0" w:tplc="3CC49442">
      <w:start w:val="1"/>
      <w:numFmt w:val="decimal"/>
      <w:lvlText w:val="%1."/>
      <w:lvlJc w:val="left"/>
      <w:pPr>
        <w:ind w:left="720" w:hanging="36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62EA"/>
    <w:rsid w:val="000117CB"/>
    <w:rsid w:val="0001422E"/>
    <w:rsid w:val="0003148D"/>
    <w:rsid w:val="00062A9A"/>
    <w:rsid w:val="000A03B2"/>
    <w:rsid w:val="000D34BE"/>
    <w:rsid w:val="000E36F1"/>
    <w:rsid w:val="000E3A73"/>
    <w:rsid w:val="000E414A"/>
    <w:rsid w:val="00113FF8"/>
    <w:rsid w:val="0013121F"/>
    <w:rsid w:val="00134DE4"/>
    <w:rsid w:val="00150E59"/>
    <w:rsid w:val="00184AD6"/>
    <w:rsid w:val="0019335C"/>
    <w:rsid w:val="001B65C1"/>
    <w:rsid w:val="001C684B"/>
    <w:rsid w:val="001D53FC"/>
    <w:rsid w:val="001F2EC7"/>
    <w:rsid w:val="002065DB"/>
    <w:rsid w:val="002447EF"/>
    <w:rsid w:val="00251550"/>
    <w:rsid w:val="0027221A"/>
    <w:rsid w:val="00275B61"/>
    <w:rsid w:val="002D1F12"/>
    <w:rsid w:val="003009B7"/>
    <w:rsid w:val="0030469C"/>
    <w:rsid w:val="003446DE"/>
    <w:rsid w:val="003723D4"/>
    <w:rsid w:val="00393F72"/>
    <w:rsid w:val="003A4EC1"/>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254D9"/>
    <w:rsid w:val="00736B13"/>
    <w:rsid w:val="007447F3"/>
    <w:rsid w:val="007661C8"/>
    <w:rsid w:val="00775DEB"/>
    <w:rsid w:val="007D52CD"/>
    <w:rsid w:val="00813288"/>
    <w:rsid w:val="008168FC"/>
    <w:rsid w:val="0082370E"/>
    <w:rsid w:val="00836906"/>
    <w:rsid w:val="008479A2"/>
    <w:rsid w:val="0087637F"/>
    <w:rsid w:val="00877306"/>
    <w:rsid w:val="0089184D"/>
    <w:rsid w:val="008A1512"/>
    <w:rsid w:val="008D0BEB"/>
    <w:rsid w:val="008D5F1F"/>
    <w:rsid w:val="008E566E"/>
    <w:rsid w:val="008F53FF"/>
    <w:rsid w:val="00901EB6"/>
    <w:rsid w:val="009450CE"/>
    <w:rsid w:val="009504CB"/>
    <w:rsid w:val="0095164B"/>
    <w:rsid w:val="00996483"/>
    <w:rsid w:val="009E788A"/>
    <w:rsid w:val="00A125E1"/>
    <w:rsid w:val="00A1763D"/>
    <w:rsid w:val="00A17CEC"/>
    <w:rsid w:val="00A27EF0"/>
    <w:rsid w:val="00A74EA9"/>
    <w:rsid w:val="00A76EFC"/>
    <w:rsid w:val="00A97F29"/>
    <w:rsid w:val="00AB0964"/>
    <w:rsid w:val="00AB3DBA"/>
    <w:rsid w:val="00AE377D"/>
    <w:rsid w:val="00AF40FE"/>
    <w:rsid w:val="00B61DBF"/>
    <w:rsid w:val="00BC30C9"/>
    <w:rsid w:val="00BE3E58"/>
    <w:rsid w:val="00C01616"/>
    <w:rsid w:val="00C0162B"/>
    <w:rsid w:val="00C23DBD"/>
    <w:rsid w:val="00C345B1"/>
    <w:rsid w:val="00C40142"/>
    <w:rsid w:val="00C54343"/>
    <w:rsid w:val="00C57182"/>
    <w:rsid w:val="00C655FD"/>
    <w:rsid w:val="00C94434"/>
    <w:rsid w:val="00CA1C95"/>
    <w:rsid w:val="00CA5A9C"/>
    <w:rsid w:val="00CC3F4B"/>
    <w:rsid w:val="00CD5FE2"/>
    <w:rsid w:val="00D02B4C"/>
    <w:rsid w:val="00D84576"/>
    <w:rsid w:val="00DE0019"/>
    <w:rsid w:val="00DE264A"/>
    <w:rsid w:val="00DE67E4"/>
    <w:rsid w:val="00E041E7"/>
    <w:rsid w:val="00E23CA1"/>
    <w:rsid w:val="00E36007"/>
    <w:rsid w:val="00E409A8"/>
    <w:rsid w:val="00E47211"/>
    <w:rsid w:val="00E61E8F"/>
    <w:rsid w:val="00E7209D"/>
    <w:rsid w:val="00EA50E1"/>
    <w:rsid w:val="00EE0131"/>
    <w:rsid w:val="00F30696"/>
    <w:rsid w:val="00F30C64"/>
    <w:rsid w:val="00F3457E"/>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8237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82370E"/>
    <w:pPr>
      <w:ind w:left="720"/>
      <w:contextualSpacing/>
    </w:pPr>
  </w:style>
  <w:style w:type="table" w:styleId="Tabladelista7concolores">
    <w:name w:val="List Table 7 Colorful"/>
    <w:basedOn w:val="Tablanormal"/>
    <w:uiPriority w:val="52"/>
    <w:rsid w:val="00A125E1"/>
    <w:pPr>
      <w:spacing w:after="0" w:line="240" w:lineRule="auto"/>
    </w:pPr>
    <w:rPr>
      <w:color w:val="000000" w:themeColor="text1"/>
      <w:lang w:val="es-MX"/>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58366">
      <w:bodyDiv w:val="1"/>
      <w:marLeft w:val="0"/>
      <w:marRight w:val="0"/>
      <w:marTop w:val="0"/>
      <w:marBottom w:val="0"/>
      <w:divBdr>
        <w:top w:val="none" w:sz="0" w:space="0" w:color="auto"/>
        <w:left w:val="none" w:sz="0" w:space="0" w:color="auto"/>
        <w:bottom w:val="none" w:sz="0" w:space="0" w:color="auto"/>
        <w:right w:val="none" w:sz="0" w:space="0" w:color="auto"/>
      </w:divBdr>
      <w:divsChild>
        <w:div w:id="147406285">
          <w:marLeft w:val="0"/>
          <w:marRight w:val="0"/>
          <w:marTop w:val="0"/>
          <w:marBottom w:val="0"/>
          <w:divBdr>
            <w:top w:val="none" w:sz="0" w:space="0" w:color="auto"/>
            <w:left w:val="none" w:sz="0" w:space="0" w:color="auto"/>
            <w:bottom w:val="none" w:sz="0" w:space="0" w:color="auto"/>
            <w:right w:val="none" w:sz="0" w:space="0" w:color="auto"/>
          </w:divBdr>
          <w:divsChild>
            <w:div w:id="280456500">
              <w:marLeft w:val="0"/>
              <w:marRight w:val="0"/>
              <w:marTop w:val="0"/>
              <w:marBottom w:val="0"/>
              <w:divBdr>
                <w:top w:val="none" w:sz="0" w:space="0" w:color="auto"/>
                <w:left w:val="none" w:sz="0" w:space="0" w:color="auto"/>
                <w:bottom w:val="none" w:sz="0" w:space="0" w:color="auto"/>
                <w:right w:val="none" w:sz="0" w:space="0" w:color="auto"/>
              </w:divBdr>
              <w:divsChild>
                <w:div w:id="1424641724">
                  <w:marLeft w:val="0"/>
                  <w:marRight w:val="0"/>
                  <w:marTop w:val="0"/>
                  <w:marBottom w:val="0"/>
                  <w:divBdr>
                    <w:top w:val="none" w:sz="0" w:space="0" w:color="auto"/>
                    <w:left w:val="none" w:sz="0" w:space="0" w:color="auto"/>
                    <w:bottom w:val="none" w:sz="0" w:space="0" w:color="auto"/>
                    <w:right w:val="none" w:sz="0" w:space="0" w:color="auto"/>
                  </w:divBdr>
                  <w:divsChild>
                    <w:div w:id="1237863822">
                      <w:marLeft w:val="0"/>
                      <w:marRight w:val="0"/>
                      <w:marTop w:val="0"/>
                      <w:marBottom w:val="0"/>
                      <w:divBdr>
                        <w:top w:val="none" w:sz="0" w:space="0" w:color="auto"/>
                        <w:left w:val="none" w:sz="0" w:space="0" w:color="auto"/>
                        <w:bottom w:val="none" w:sz="0" w:space="0" w:color="auto"/>
                        <w:right w:val="none" w:sz="0" w:space="0" w:color="auto"/>
                      </w:divBdr>
                      <w:divsChild>
                        <w:div w:id="843322438">
                          <w:marLeft w:val="0"/>
                          <w:marRight w:val="0"/>
                          <w:marTop w:val="0"/>
                          <w:marBottom w:val="0"/>
                          <w:divBdr>
                            <w:top w:val="none" w:sz="0" w:space="0" w:color="auto"/>
                            <w:left w:val="none" w:sz="0" w:space="0" w:color="auto"/>
                            <w:bottom w:val="none" w:sz="0" w:space="0" w:color="auto"/>
                            <w:right w:val="none" w:sz="0" w:space="0" w:color="auto"/>
                          </w:divBdr>
                          <w:divsChild>
                            <w:div w:id="1923296307">
                              <w:marLeft w:val="0"/>
                              <w:marRight w:val="300"/>
                              <w:marTop w:val="180"/>
                              <w:marBottom w:val="0"/>
                              <w:divBdr>
                                <w:top w:val="none" w:sz="0" w:space="0" w:color="auto"/>
                                <w:left w:val="none" w:sz="0" w:space="0" w:color="auto"/>
                                <w:bottom w:val="none" w:sz="0" w:space="0" w:color="auto"/>
                                <w:right w:val="none" w:sz="0" w:space="0" w:color="auto"/>
                              </w:divBdr>
                              <w:divsChild>
                                <w:div w:id="3206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98821">
          <w:marLeft w:val="0"/>
          <w:marRight w:val="0"/>
          <w:marTop w:val="0"/>
          <w:marBottom w:val="0"/>
          <w:divBdr>
            <w:top w:val="none" w:sz="0" w:space="0" w:color="auto"/>
            <w:left w:val="none" w:sz="0" w:space="0" w:color="auto"/>
            <w:bottom w:val="none" w:sz="0" w:space="0" w:color="auto"/>
            <w:right w:val="none" w:sz="0" w:space="0" w:color="auto"/>
          </w:divBdr>
          <w:divsChild>
            <w:div w:id="1622569935">
              <w:marLeft w:val="0"/>
              <w:marRight w:val="0"/>
              <w:marTop w:val="0"/>
              <w:marBottom w:val="0"/>
              <w:divBdr>
                <w:top w:val="none" w:sz="0" w:space="0" w:color="auto"/>
                <w:left w:val="none" w:sz="0" w:space="0" w:color="auto"/>
                <w:bottom w:val="none" w:sz="0" w:space="0" w:color="auto"/>
                <w:right w:val="none" w:sz="0" w:space="0" w:color="auto"/>
              </w:divBdr>
              <w:divsChild>
                <w:div w:id="545605426">
                  <w:marLeft w:val="0"/>
                  <w:marRight w:val="0"/>
                  <w:marTop w:val="0"/>
                  <w:marBottom w:val="0"/>
                  <w:divBdr>
                    <w:top w:val="none" w:sz="0" w:space="0" w:color="auto"/>
                    <w:left w:val="none" w:sz="0" w:space="0" w:color="auto"/>
                    <w:bottom w:val="none" w:sz="0" w:space="0" w:color="auto"/>
                    <w:right w:val="none" w:sz="0" w:space="0" w:color="auto"/>
                  </w:divBdr>
                  <w:divsChild>
                    <w:div w:id="869145669">
                      <w:marLeft w:val="0"/>
                      <w:marRight w:val="0"/>
                      <w:marTop w:val="0"/>
                      <w:marBottom w:val="0"/>
                      <w:divBdr>
                        <w:top w:val="none" w:sz="0" w:space="0" w:color="auto"/>
                        <w:left w:val="none" w:sz="0" w:space="0" w:color="auto"/>
                        <w:bottom w:val="none" w:sz="0" w:space="0" w:color="auto"/>
                        <w:right w:val="none" w:sz="0" w:space="0" w:color="auto"/>
                      </w:divBdr>
                      <w:divsChild>
                        <w:div w:id="1716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658412">
      <w:bodyDiv w:val="1"/>
      <w:marLeft w:val="0"/>
      <w:marRight w:val="0"/>
      <w:marTop w:val="0"/>
      <w:marBottom w:val="0"/>
      <w:divBdr>
        <w:top w:val="none" w:sz="0" w:space="0" w:color="auto"/>
        <w:left w:val="none" w:sz="0" w:space="0" w:color="auto"/>
        <w:bottom w:val="none" w:sz="0" w:space="0" w:color="auto"/>
        <w:right w:val="none" w:sz="0" w:space="0" w:color="auto"/>
      </w:divBdr>
      <w:divsChild>
        <w:div w:id="1743023822">
          <w:marLeft w:val="0"/>
          <w:marRight w:val="0"/>
          <w:marTop w:val="0"/>
          <w:marBottom w:val="0"/>
          <w:divBdr>
            <w:top w:val="none" w:sz="0" w:space="0" w:color="auto"/>
            <w:left w:val="none" w:sz="0" w:space="0" w:color="auto"/>
            <w:bottom w:val="none" w:sz="0" w:space="0" w:color="auto"/>
            <w:right w:val="none" w:sz="0" w:space="0" w:color="auto"/>
          </w:divBdr>
          <w:divsChild>
            <w:div w:id="101075769">
              <w:marLeft w:val="0"/>
              <w:marRight w:val="0"/>
              <w:marTop w:val="0"/>
              <w:marBottom w:val="0"/>
              <w:divBdr>
                <w:top w:val="none" w:sz="0" w:space="0" w:color="auto"/>
                <w:left w:val="none" w:sz="0" w:space="0" w:color="auto"/>
                <w:bottom w:val="none" w:sz="0" w:space="0" w:color="auto"/>
                <w:right w:val="none" w:sz="0" w:space="0" w:color="auto"/>
              </w:divBdr>
              <w:divsChild>
                <w:div w:id="732848852">
                  <w:marLeft w:val="0"/>
                  <w:marRight w:val="0"/>
                  <w:marTop w:val="0"/>
                  <w:marBottom w:val="0"/>
                  <w:divBdr>
                    <w:top w:val="none" w:sz="0" w:space="0" w:color="auto"/>
                    <w:left w:val="none" w:sz="0" w:space="0" w:color="auto"/>
                    <w:bottom w:val="none" w:sz="0" w:space="0" w:color="auto"/>
                    <w:right w:val="none" w:sz="0" w:space="0" w:color="auto"/>
                  </w:divBdr>
                  <w:divsChild>
                    <w:div w:id="1335761329">
                      <w:marLeft w:val="0"/>
                      <w:marRight w:val="0"/>
                      <w:marTop w:val="0"/>
                      <w:marBottom w:val="0"/>
                      <w:divBdr>
                        <w:top w:val="none" w:sz="0" w:space="0" w:color="auto"/>
                        <w:left w:val="none" w:sz="0" w:space="0" w:color="auto"/>
                        <w:bottom w:val="none" w:sz="0" w:space="0" w:color="auto"/>
                        <w:right w:val="none" w:sz="0" w:space="0" w:color="auto"/>
                      </w:divBdr>
                      <w:divsChild>
                        <w:div w:id="2140754975">
                          <w:marLeft w:val="0"/>
                          <w:marRight w:val="0"/>
                          <w:marTop w:val="0"/>
                          <w:marBottom w:val="0"/>
                          <w:divBdr>
                            <w:top w:val="none" w:sz="0" w:space="0" w:color="auto"/>
                            <w:left w:val="none" w:sz="0" w:space="0" w:color="auto"/>
                            <w:bottom w:val="none" w:sz="0" w:space="0" w:color="auto"/>
                            <w:right w:val="none" w:sz="0" w:space="0" w:color="auto"/>
                          </w:divBdr>
                          <w:divsChild>
                            <w:div w:id="182865061">
                              <w:marLeft w:val="0"/>
                              <w:marRight w:val="300"/>
                              <w:marTop w:val="180"/>
                              <w:marBottom w:val="0"/>
                              <w:divBdr>
                                <w:top w:val="none" w:sz="0" w:space="0" w:color="auto"/>
                                <w:left w:val="none" w:sz="0" w:space="0" w:color="auto"/>
                                <w:bottom w:val="none" w:sz="0" w:space="0" w:color="auto"/>
                                <w:right w:val="none" w:sz="0" w:space="0" w:color="auto"/>
                              </w:divBdr>
                              <w:divsChild>
                                <w:div w:id="2832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231816">
          <w:marLeft w:val="0"/>
          <w:marRight w:val="0"/>
          <w:marTop w:val="0"/>
          <w:marBottom w:val="0"/>
          <w:divBdr>
            <w:top w:val="none" w:sz="0" w:space="0" w:color="auto"/>
            <w:left w:val="none" w:sz="0" w:space="0" w:color="auto"/>
            <w:bottom w:val="none" w:sz="0" w:space="0" w:color="auto"/>
            <w:right w:val="none" w:sz="0" w:space="0" w:color="auto"/>
          </w:divBdr>
          <w:divsChild>
            <w:div w:id="2073889695">
              <w:marLeft w:val="0"/>
              <w:marRight w:val="0"/>
              <w:marTop w:val="0"/>
              <w:marBottom w:val="0"/>
              <w:divBdr>
                <w:top w:val="none" w:sz="0" w:space="0" w:color="auto"/>
                <w:left w:val="none" w:sz="0" w:space="0" w:color="auto"/>
                <w:bottom w:val="none" w:sz="0" w:space="0" w:color="auto"/>
                <w:right w:val="none" w:sz="0" w:space="0" w:color="auto"/>
              </w:divBdr>
              <w:divsChild>
                <w:div w:id="1977366849">
                  <w:marLeft w:val="0"/>
                  <w:marRight w:val="0"/>
                  <w:marTop w:val="0"/>
                  <w:marBottom w:val="0"/>
                  <w:divBdr>
                    <w:top w:val="none" w:sz="0" w:space="0" w:color="auto"/>
                    <w:left w:val="none" w:sz="0" w:space="0" w:color="auto"/>
                    <w:bottom w:val="none" w:sz="0" w:space="0" w:color="auto"/>
                    <w:right w:val="none" w:sz="0" w:space="0" w:color="auto"/>
                  </w:divBdr>
                  <w:divsChild>
                    <w:div w:id="2087415332">
                      <w:marLeft w:val="0"/>
                      <w:marRight w:val="0"/>
                      <w:marTop w:val="0"/>
                      <w:marBottom w:val="0"/>
                      <w:divBdr>
                        <w:top w:val="none" w:sz="0" w:space="0" w:color="auto"/>
                        <w:left w:val="none" w:sz="0" w:space="0" w:color="auto"/>
                        <w:bottom w:val="none" w:sz="0" w:space="0" w:color="auto"/>
                        <w:right w:val="none" w:sz="0" w:space="0" w:color="auto"/>
                      </w:divBdr>
                      <w:divsChild>
                        <w:div w:id="20885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17638798334921"/>
          <c:y val="8.6833346862570007E-2"/>
          <c:w val="0.77872561312001598"/>
          <c:h val="0.74458478772627645"/>
        </c:manualLayout>
      </c:layout>
      <c:barChart>
        <c:barDir val="col"/>
        <c:grouping val="clustered"/>
        <c:varyColors val="0"/>
        <c:ser>
          <c:idx val="0"/>
          <c:order val="0"/>
          <c:tx>
            <c:v>EM1</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Hoja1!$G$2:$G$4</c:f>
              <c:numCache>
                <c:formatCode>General</c:formatCode>
                <c:ptCount val="3"/>
                <c:pt idx="0">
                  <c:v>3</c:v>
                </c:pt>
                <c:pt idx="1">
                  <c:v>5</c:v>
                </c:pt>
                <c:pt idx="2">
                  <c:v>7</c:v>
                </c:pt>
              </c:numCache>
            </c:numRef>
          </c:cat>
          <c:val>
            <c:numRef>
              <c:f>Hoja1!$B$2:$B$4</c:f>
              <c:numCache>
                <c:formatCode>General</c:formatCode>
                <c:ptCount val="3"/>
                <c:pt idx="0">
                  <c:v>20.3</c:v>
                </c:pt>
                <c:pt idx="1">
                  <c:v>3.36</c:v>
                </c:pt>
                <c:pt idx="2">
                  <c:v>5.0650000000000004</c:v>
                </c:pt>
              </c:numCache>
            </c:numRef>
          </c:val>
          <c:extLst>
            <c:ext xmlns:c16="http://schemas.microsoft.com/office/drawing/2014/chart" uri="{C3380CC4-5D6E-409C-BE32-E72D297353CC}">
              <c16:uniqueId val="{00000000-4985-4324-ACAA-EFDCF3BE75CA}"/>
            </c:ext>
          </c:extLst>
        </c:ser>
        <c:ser>
          <c:idx val="1"/>
          <c:order val="1"/>
          <c:tx>
            <c:v>EM2</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numRef>
              <c:f>Hoja1!$G$2:$G$4</c:f>
              <c:numCache>
                <c:formatCode>General</c:formatCode>
                <c:ptCount val="3"/>
                <c:pt idx="0">
                  <c:v>3</c:v>
                </c:pt>
                <c:pt idx="1">
                  <c:v>5</c:v>
                </c:pt>
                <c:pt idx="2">
                  <c:v>7</c:v>
                </c:pt>
              </c:numCache>
            </c:numRef>
          </c:cat>
          <c:val>
            <c:numRef>
              <c:f>Hoja1!$E$2:$E$4</c:f>
              <c:numCache>
                <c:formatCode>General</c:formatCode>
                <c:ptCount val="3"/>
                <c:pt idx="0">
                  <c:v>22.279</c:v>
                </c:pt>
                <c:pt idx="1">
                  <c:v>2.3180000000000001</c:v>
                </c:pt>
                <c:pt idx="2">
                  <c:v>12.569000000000001</c:v>
                </c:pt>
              </c:numCache>
            </c:numRef>
          </c:val>
          <c:extLst>
            <c:ext xmlns:c16="http://schemas.microsoft.com/office/drawing/2014/chart" uri="{C3380CC4-5D6E-409C-BE32-E72D297353CC}">
              <c16:uniqueId val="{00000001-4985-4324-ACAA-EFDCF3BE75CA}"/>
            </c:ext>
          </c:extLst>
        </c:ser>
        <c:ser>
          <c:idx val="2"/>
          <c:order val="2"/>
          <c:tx>
            <c:v>EM3</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numRef>
              <c:f>Hoja1!$G$2:$G$4</c:f>
              <c:numCache>
                <c:formatCode>General</c:formatCode>
                <c:ptCount val="3"/>
                <c:pt idx="0">
                  <c:v>3</c:v>
                </c:pt>
                <c:pt idx="1">
                  <c:v>5</c:v>
                </c:pt>
                <c:pt idx="2">
                  <c:v>7</c:v>
                </c:pt>
              </c:numCache>
            </c:numRef>
          </c:cat>
          <c:val>
            <c:numRef>
              <c:f>Hoja1!$H$2:$H$4</c:f>
              <c:numCache>
                <c:formatCode>General</c:formatCode>
                <c:ptCount val="3"/>
                <c:pt idx="0">
                  <c:v>3.91</c:v>
                </c:pt>
                <c:pt idx="1">
                  <c:v>1.821</c:v>
                </c:pt>
                <c:pt idx="2">
                  <c:v>4.2389999999999999</c:v>
                </c:pt>
              </c:numCache>
            </c:numRef>
          </c:val>
          <c:extLst>
            <c:ext xmlns:c16="http://schemas.microsoft.com/office/drawing/2014/chart" uri="{C3380CC4-5D6E-409C-BE32-E72D297353CC}">
              <c16:uniqueId val="{00000002-4985-4324-ACAA-EFDCF3BE75CA}"/>
            </c:ext>
          </c:extLst>
        </c:ser>
        <c:dLbls>
          <c:showLegendKey val="0"/>
          <c:showVal val="0"/>
          <c:showCatName val="0"/>
          <c:showSerName val="0"/>
          <c:showPercent val="0"/>
          <c:showBubbleSize val="0"/>
        </c:dLbls>
        <c:gapWidth val="100"/>
        <c:overlap val="-24"/>
        <c:axId val="1848586208"/>
        <c:axId val="1937867616"/>
      </c:barChart>
      <c:catAx>
        <c:axId val="184858620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s-ES_tradnl">
                    <a:solidFill>
                      <a:schemeClr val="tx1"/>
                    </a:solidFill>
                  </a:rPr>
                  <a:t>pH</a:t>
                </a:r>
              </a:p>
            </c:rich>
          </c:tx>
          <c:layout>
            <c:manualLayout>
              <c:xMode val="edge"/>
              <c:yMode val="edge"/>
              <c:x val="0.46671248194567394"/>
              <c:y val="0.8749102024143224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baseline="0">
                <a:solidFill>
                  <a:schemeClr val="tx1"/>
                </a:solidFill>
                <a:latin typeface="+mn-lt"/>
                <a:ea typeface="+mn-ea"/>
                <a:cs typeface="+mn-cs"/>
              </a:defRPr>
            </a:pPr>
            <a:endParaRPr lang="es-MX"/>
          </a:p>
        </c:txPr>
        <c:crossAx val="1937867616"/>
        <c:crosses val="autoZero"/>
        <c:auto val="1"/>
        <c:lblAlgn val="ctr"/>
        <c:lblOffset val="100"/>
        <c:noMultiLvlLbl val="0"/>
      </c:catAx>
      <c:valAx>
        <c:axId val="193786761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tx2"/>
                    </a:solidFill>
                    <a:latin typeface="+mn-lt"/>
                    <a:ea typeface="+mn-ea"/>
                    <a:cs typeface="+mn-cs"/>
                  </a:defRPr>
                </a:pPr>
                <a:r>
                  <a:rPr lang="es-ES_tradnl" sz="600">
                    <a:solidFill>
                      <a:schemeClr val="tx1"/>
                    </a:solidFill>
                  </a:rPr>
                  <a:t>Hydrodynamic diameter(nm)</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tx2"/>
                  </a:solidFill>
                  <a:latin typeface="+mn-lt"/>
                  <a:ea typeface="+mn-ea"/>
                  <a:cs typeface="+mn-cs"/>
                </a:defRPr>
              </a:pPr>
              <a:endParaRPr lang="es-MX"/>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1848586208"/>
        <c:crosses val="autoZero"/>
        <c:crossBetween val="between"/>
      </c:valAx>
      <c:spPr>
        <a:noFill/>
        <a:ln>
          <a:solidFill>
            <a:schemeClr val="tx1"/>
          </a:solidFill>
        </a:ln>
        <a:effectLst/>
      </c:spPr>
    </c:plotArea>
    <c:legend>
      <c:legendPos val="t"/>
      <c:layout>
        <c:manualLayout>
          <c:xMode val="edge"/>
          <c:yMode val="edge"/>
          <c:x val="0.25276560701055717"/>
          <c:y val="7.6235220671950446E-2"/>
          <c:w val="0.29608049360742844"/>
          <c:h val="8.5740412070376512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2"/>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4E7AE-49E6-4A73-99F8-00C2448D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877</Words>
  <Characters>4827</Characters>
  <Application>Microsoft Office Word</Application>
  <DocSecurity>0</DocSecurity>
  <Lines>40</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ELVIA JOAQUÍN</cp:lastModifiedBy>
  <cp:revision>11</cp:revision>
  <cp:lastPrinted>2015-05-12T18:31:00Z</cp:lastPrinted>
  <dcterms:created xsi:type="dcterms:W3CDTF">2019-05-30T16:51:00Z</dcterms:created>
  <dcterms:modified xsi:type="dcterms:W3CDTF">2019-05-31T15:01:00Z</dcterms:modified>
</cp:coreProperties>
</file>