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3CE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A78A9CB" w14:textId="77777777" w:rsidR="00756C9B" w:rsidRPr="00DE0019" w:rsidRDefault="00756C9B" w:rsidP="00756C9B">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 comparison of different amino acid solutions for CO</w:t>
      </w:r>
      <w:r w:rsidRPr="002961BB">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capture using a membrane contactor </w:t>
      </w:r>
    </w:p>
    <w:p w14:paraId="6216BD77" w14:textId="77777777" w:rsidR="00756C9B" w:rsidRPr="00D0322C" w:rsidRDefault="00756C9B" w:rsidP="00756C9B">
      <w:pPr>
        <w:snapToGrid w:val="0"/>
        <w:spacing w:after="120"/>
        <w:jc w:val="center"/>
        <w:rPr>
          <w:rFonts w:eastAsia="SimSun"/>
          <w:color w:val="000000"/>
          <w:lang w:val="fr-FR" w:eastAsia="zh-CN"/>
        </w:rPr>
      </w:pPr>
      <w:r w:rsidRPr="00D0322C">
        <w:rPr>
          <w:rFonts w:asciiTheme="minorHAnsi" w:eastAsia="SimSun" w:hAnsiTheme="minorHAnsi"/>
          <w:color w:val="000000"/>
          <w:sz w:val="24"/>
          <w:szCs w:val="24"/>
          <w:u w:val="single"/>
          <w:lang w:val="fr-FR" w:eastAsia="zh-CN"/>
        </w:rPr>
        <w:t>Vida Sang Sefidi</w:t>
      </w:r>
      <w:r w:rsidRPr="00D0322C">
        <w:rPr>
          <w:rFonts w:asciiTheme="minorHAnsi" w:eastAsia="SimSun" w:hAnsiTheme="minorHAnsi"/>
          <w:color w:val="000000"/>
          <w:sz w:val="24"/>
          <w:szCs w:val="24"/>
          <w:u w:val="single"/>
          <w:vertAlign w:val="superscript"/>
          <w:lang w:val="fr-FR" w:eastAsia="zh-CN"/>
        </w:rPr>
        <w:t>1</w:t>
      </w:r>
      <w:r w:rsidRPr="00D0322C">
        <w:rPr>
          <w:rFonts w:asciiTheme="minorHAnsi" w:eastAsia="SimSun" w:hAnsiTheme="minorHAnsi"/>
          <w:color w:val="000000"/>
          <w:sz w:val="24"/>
          <w:szCs w:val="24"/>
          <w:lang w:val="fr-FR" w:eastAsia="zh-CN"/>
        </w:rPr>
        <w:t>,</w:t>
      </w:r>
      <w:r>
        <w:rPr>
          <w:rFonts w:asciiTheme="minorHAnsi" w:eastAsia="SimSun" w:hAnsiTheme="minorHAnsi"/>
          <w:color w:val="000000"/>
          <w:sz w:val="24"/>
          <w:szCs w:val="24"/>
          <w:lang w:val="fr-FR" w:eastAsia="zh-CN"/>
        </w:rPr>
        <w:t xml:space="preserve"> </w:t>
      </w:r>
      <w:r w:rsidRPr="00D0322C">
        <w:rPr>
          <w:rFonts w:asciiTheme="minorHAnsi" w:eastAsia="SimSun" w:hAnsiTheme="minorHAnsi"/>
          <w:color w:val="000000"/>
          <w:sz w:val="24"/>
          <w:szCs w:val="24"/>
          <w:lang w:val="fr-FR" w:eastAsia="zh-CN"/>
        </w:rPr>
        <w:t>In</w:t>
      </w:r>
      <w:r>
        <w:rPr>
          <w:rFonts w:asciiTheme="minorHAnsi" w:eastAsia="SimSun" w:hAnsiTheme="minorHAnsi" w:cstheme="minorHAnsi"/>
          <w:color w:val="000000"/>
          <w:sz w:val="24"/>
          <w:szCs w:val="24"/>
          <w:lang w:val="fr-FR" w:eastAsia="zh-CN"/>
        </w:rPr>
        <w:t>è</w:t>
      </w:r>
      <w:r>
        <w:rPr>
          <w:rFonts w:asciiTheme="minorHAnsi" w:eastAsia="SimSun" w:hAnsiTheme="minorHAnsi"/>
          <w:color w:val="000000"/>
          <w:sz w:val="24"/>
          <w:szCs w:val="24"/>
          <w:lang w:val="fr-FR" w:eastAsia="zh-CN"/>
        </w:rPr>
        <w:t>s Winand</w:t>
      </w:r>
      <w:r w:rsidRPr="00C90C7D">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w:t>
      </w:r>
      <w:r w:rsidRPr="00D0322C">
        <w:rPr>
          <w:rFonts w:asciiTheme="minorHAnsi" w:eastAsia="SimSun" w:hAnsiTheme="minorHAnsi"/>
          <w:color w:val="000000"/>
          <w:sz w:val="24"/>
          <w:szCs w:val="24"/>
          <w:lang w:val="fr-FR" w:eastAsia="zh-CN"/>
        </w:rPr>
        <w:t xml:space="preserve"> Patricia Luis</w:t>
      </w:r>
      <w:r w:rsidRPr="00D0322C">
        <w:rPr>
          <w:rFonts w:eastAsia="SimSun"/>
          <w:color w:val="000000"/>
          <w:vertAlign w:val="superscript"/>
          <w:lang w:val="fr-FR" w:eastAsia="zh-CN"/>
        </w:rPr>
        <w:t>1</w:t>
      </w:r>
    </w:p>
    <w:p w14:paraId="1D6F6D94" w14:textId="77777777" w:rsidR="00756C9B" w:rsidRPr="00DE0019" w:rsidRDefault="00756C9B" w:rsidP="00756C9B">
      <w:pPr>
        <w:snapToGrid w:val="0"/>
        <w:spacing w:after="120"/>
        <w:jc w:val="center"/>
        <w:rPr>
          <w:rFonts w:asciiTheme="minorHAnsi" w:eastAsia="MS PGothic" w:hAnsiTheme="minorHAnsi"/>
          <w:i/>
          <w:iCs/>
          <w:color w:val="000000"/>
          <w:sz w:val="20"/>
          <w:lang w:val="en-US"/>
        </w:rPr>
      </w:pPr>
      <w:proofErr w:type="gramStart"/>
      <w:r w:rsidRPr="00D407A3">
        <w:rPr>
          <w:rFonts w:eastAsia="MS PGothic"/>
          <w:i/>
          <w:iCs/>
          <w:color w:val="000000"/>
          <w:sz w:val="20"/>
          <w:vertAlign w:val="superscript"/>
          <w:lang w:val="en-US"/>
        </w:rPr>
        <w:t>1</w:t>
      </w:r>
      <w:proofErr w:type="gramEnd"/>
      <w:r w:rsidRPr="00DE0019">
        <w:rPr>
          <w:rFonts w:asciiTheme="minorHAnsi" w:eastAsia="MS PGothic" w:hAnsiTheme="minorHAnsi"/>
          <w:i/>
          <w:iCs/>
          <w:color w:val="000000"/>
          <w:sz w:val="20"/>
          <w:lang w:val="en-US"/>
        </w:rPr>
        <w:t xml:space="preserve"> </w:t>
      </w:r>
      <w:r w:rsidRPr="00B74A1E">
        <w:rPr>
          <w:rFonts w:asciiTheme="minorHAnsi" w:eastAsia="MS PGothic" w:hAnsiTheme="minorHAnsi"/>
          <w:i/>
          <w:iCs/>
          <w:color w:val="000000"/>
          <w:sz w:val="20"/>
          <w:lang w:val="en-US"/>
        </w:rPr>
        <w:t>Materials &amp; Process Engineering (</w:t>
      </w:r>
      <w:r>
        <w:rPr>
          <w:rFonts w:asciiTheme="minorHAnsi" w:eastAsia="MS PGothic" w:hAnsiTheme="minorHAnsi"/>
          <w:i/>
          <w:iCs/>
          <w:color w:val="000000"/>
          <w:sz w:val="20"/>
          <w:lang w:val="en-US"/>
        </w:rPr>
        <w:t>I</w:t>
      </w:r>
      <w:r w:rsidRPr="00B74A1E">
        <w:rPr>
          <w:rFonts w:asciiTheme="minorHAnsi" w:eastAsia="MS PGothic" w:hAnsiTheme="minorHAnsi"/>
          <w:i/>
          <w:iCs/>
          <w:color w:val="000000"/>
          <w:sz w:val="20"/>
          <w:lang w:val="en-US"/>
        </w:rPr>
        <w:t xml:space="preserve">MMC-IMAP), </w:t>
      </w:r>
      <w:proofErr w:type="spellStart"/>
      <w:r w:rsidRPr="00B74A1E">
        <w:rPr>
          <w:rFonts w:asciiTheme="minorHAnsi" w:eastAsia="MS PGothic" w:hAnsiTheme="minorHAnsi"/>
          <w:i/>
          <w:iCs/>
          <w:color w:val="000000"/>
          <w:sz w:val="20"/>
          <w:lang w:val="en-US"/>
        </w:rPr>
        <w:t>UCLouvain</w:t>
      </w:r>
      <w:proofErr w:type="spellEnd"/>
      <w:r w:rsidRPr="00B74A1E">
        <w:rPr>
          <w:rFonts w:asciiTheme="minorHAnsi" w:eastAsia="MS PGothic" w:hAnsiTheme="minorHAnsi"/>
          <w:i/>
          <w:iCs/>
          <w:color w:val="000000"/>
          <w:sz w:val="20"/>
          <w:lang w:val="en-US"/>
        </w:rPr>
        <w:t xml:space="preserve">, Place Sainte </w:t>
      </w:r>
      <w:proofErr w:type="spellStart"/>
      <w:r w:rsidRPr="00B74A1E">
        <w:rPr>
          <w:rFonts w:asciiTheme="minorHAnsi" w:eastAsia="MS PGothic" w:hAnsiTheme="minorHAnsi"/>
          <w:i/>
          <w:iCs/>
          <w:color w:val="000000"/>
          <w:sz w:val="20"/>
          <w:lang w:val="en-US"/>
        </w:rPr>
        <w:t>Barbe</w:t>
      </w:r>
      <w:proofErr w:type="spellEnd"/>
      <w:r w:rsidRPr="00B74A1E">
        <w:rPr>
          <w:rFonts w:asciiTheme="minorHAnsi" w:eastAsia="MS PGothic" w:hAnsiTheme="minorHAnsi"/>
          <w:i/>
          <w:iCs/>
          <w:color w:val="000000"/>
          <w:sz w:val="20"/>
          <w:lang w:val="en-US"/>
        </w:rPr>
        <w:t xml:space="preserve"> 2, 1348 Louvain-la-</w:t>
      </w:r>
      <w:proofErr w:type="spellStart"/>
      <w:r w:rsidRPr="00B74A1E">
        <w:rPr>
          <w:rFonts w:asciiTheme="minorHAnsi" w:eastAsia="MS PGothic" w:hAnsiTheme="minorHAnsi"/>
          <w:i/>
          <w:iCs/>
          <w:color w:val="000000"/>
          <w:sz w:val="20"/>
          <w:lang w:val="en-US"/>
        </w:rPr>
        <w:t>Neuve</w:t>
      </w:r>
      <w:proofErr w:type="spellEnd"/>
      <w:r w:rsidRPr="00B74A1E">
        <w:rPr>
          <w:rFonts w:asciiTheme="minorHAnsi" w:eastAsia="MS PGothic" w:hAnsiTheme="minorHAnsi"/>
          <w:i/>
          <w:iCs/>
          <w:color w:val="000000"/>
          <w:sz w:val="20"/>
          <w:lang w:val="en-US"/>
        </w:rPr>
        <w:t xml:space="preserve">, Belgium </w:t>
      </w:r>
    </w:p>
    <w:p w14:paraId="56CB7718" w14:textId="77777777" w:rsidR="00756C9B" w:rsidRPr="00DE0019" w:rsidRDefault="00756C9B" w:rsidP="00756C9B">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vida.sangsefidi@uclouvain.be</w:t>
      </w:r>
    </w:p>
    <w:p w14:paraId="56A4B3A0" w14:textId="77777777" w:rsidR="00756C9B" w:rsidRPr="00EC66CC" w:rsidRDefault="00756C9B" w:rsidP="00756C9B">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78BEE26" w14:textId="77777777" w:rsidR="00756C9B" w:rsidRPr="00EC66CC" w:rsidRDefault="00756C9B" w:rsidP="00756C9B">
      <w:pPr>
        <w:pStyle w:val="AbstractBody"/>
        <w:numPr>
          <w:ilvl w:val="0"/>
          <w:numId w:val="16"/>
        </w:numPr>
        <w:rPr>
          <w:rFonts w:asciiTheme="minorHAnsi" w:hAnsiTheme="minorHAnsi"/>
        </w:rPr>
      </w:pPr>
      <w:r>
        <w:rPr>
          <w:rFonts w:asciiTheme="minorHAnsi" w:hAnsiTheme="minorHAnsi"/>
        </w:rPr>
        <w:t>Comparison of performance of five different amino acids with membrane contactor.</w:t>
      </w:r>
    </w:p>
    <w:p w14:paraId="1E3BE64C" w14:textId="77777777" w:rsidR="00756C9B" w:rsidRPr="00EC66CC" w:rsidRDefault="00756C9B" w:rsidP="00756C9B">
      <w:pPr>
        <w:pStyle w:val="AbstractBody"/>
        <w:numPr>
          <w:ilvl w:val="0"/>
          <w:numId w:val="16"/>
        </w:numPr>
        <w:rPr>
          <w:rFonts w:asciiTheme="minorHAnsi" w:hAnsiTheme="minorHAnsi"/>
        </w:rPr>
      </w:pPr>
      <w:r>
        <w:rPr>
          <w:rFonts w:asciiTheme="minorHAnsi" w:hAnsiTheme="minorHAnsi"/>
        </w:rPr>
        <w:t xml:space="preserve">Similar performance between arginine and </w:t>
      </w:r>
      <w:proofErr w:type="spellStart"/>
      <w:r>
        <w:rPr>
          <w:rFonts w:asciiTheme="minorHAnsi" w:hAnsiTheme="minorHAnsi"/>
        </w:rPr>
        <w:t>NaOH</w:t>
      </w:r>
      <w:proofErr w:type="spellEnd"/>
      <w:r>
        <w:rPr>
          <w:rFonts w:asciiTheme="minorHAnsi" w:hAnsiTheme="minorHAnsi"/>
        </w:rPr>
        <w:t xml:space="preserve"> solvents.</w:t>
      </w:r>
      <w:r w:rsidRPr="00EC66CC">
        <w:rPr>
          <w:rFonts w:asciiTheme="minorHAnsi" w:hAnsiTheme="minorHAnsi"/>
        </w:rPr>
        <w:t xml:space="preserve"> </w:t>
      </w:r>
    </w:p>
    <w:p w14:paraId="7AFEB7D0" w14:textId="77777777" w:rsidR="00756C9B" w:rsidRPr="0015622E" w:rsidRDefault="00756C9B" w:rsidP="00756C9B">
      <w:pPr>
        <w:pStyle w:val="AbstractBody"/>
        <w:numPr>
          <w:ilvl w:val="0"/>
          <w:numId w:val="16"/>
        </w:numPr>
        <w:rPr>
          <w:rFonts w:asciiTheme="minorHAnsi" w:hAnsiTheme="minorHAnsi"/>
        </w:rPr>
      </w:pPr>
      <w:r>
        <w:rPr>
          <w:rFonts w:asciiTheme="minorHAnsi" w:hAnsiTheme="minorHAnsi"/>
        </w:rPr>
        <w:t>Better performance of amino acid salts than amino acids alone</w:t>
      </w:r>
      <w:r w:rsidRPr="00EC66CC">
        <w:rPr>
          <w:rFonts w:asciiTheme="minorHAnsi" w:hAnsiTheme="minorHAnsi"/>
        </w:rPr>
        <w:t>.</w:t>
      </w:r>
    </w:p>
    <w:p w14:paraId="18DEAE56" w14:textId="77777777" w:rsidR="00756C9B" w:rsidRPr="00A15B93" w:rsidRDefault="00756C9B" w:rsidP="00756C9B">
      <w:pPr>
        <w:snapToGrid w:val="0"/>
        <w:spacing w:after="120"/>
        <w:jc w:val="center"/>
        <w:rPr>
          <w:rFonts w:eastAsia="SimSun"/>
          <w:bCs/>
          <w:i/>
          <w:iCs/>
          <w:color w:val="0000FF"/>
          <w:sz w:val="20"/>
          <w:lang w:val="en-US" w:eastAsia="zh-CN"/>
        </w:rPr>
      </w:pPr>
    </w:p>
    <w:p w14:paraId="31D2D1D0" w14:textId="77777777" w:rsidR="00756C9B" w:rsidRPr="008D0BEB" w:rsidRDefault="00756C9B" w:rsidP="00756C9B">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FC7F7B8" w14:textId="77777777" w:rsidR="00756C9B" w:rsidRPr="00C33353" w:rsidRDefault="00756C9B" w:rsidP="00756C9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growing concern about the global warming has triggered the public attention to the main greenhouse gas contributor namely carbon dioxide (CO</w:t>
      </w:r>
      <w:r w:rsidRPr="00217636">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{"citationItems":[{"id":"ITEM-1","itemData":{"DOI":"10.1016/j.cub.2009.05.046","ISBN":"0960-9822","ISSN":"09609822","PMID":"19640499","abstract":"Human activities are releasing gigatonnes of carbon to the Earth's atmosphere annually. Direct consequences of cumulative post-industrial emissions include increasing global temperature, perturbed regional weather patterns, rising sea levels, acidifying oceans, changed nutrient loads and altered ocean circulation. These and other physical consequences are affecting marine biological processes from genes to ecosystems, over scales from rock pools to ocean basins, impacting ecosystem services and threatening human food security. The rates of physical change are unprecedented in some cases. Biological change is likely to be commensurately quick, although the resistance and resilience of organisms and ecosystems is highly variable. Biological changes founded in physiological response manifest as species range-changes, invasions and extinctions, and ecosystem regime shifts. Given the essential roles that oceans play in planetary function and provision of human sustenance, the grand challenge is to intervene before more tipping points are passed and marine ecosystems follow less-buffered terrestrial systems further down a spiral of decline. Although ocean bioengineering may alleviate change, this is not without risk. The principal brake to climate change remains reduced CO2 emissions that marine scientists and custodians of the marine environment can lobby for and contribute to. This review describes present-day climate change, setting it in context with historical change, considers consequences of climate change for marine biological processes now and in to the future, and discusses contributions that marine systems could play in mitigating the impacts of global climate change. © 2009 Elsevier Ltd. All rights reserved.","author":[{"dropping-particle":"","family":"Brierley","given":"Andrew S.","non-dropping-particle":"","parse-names":false,"suffix":""},{"dropping-particle":"","family":"Kingsford","given":"Michael J.","non-dropping-particle":"","parse-names":false,"suffix":""}],"container-title":"Current Biology","id":"ITEM-1","issued":{"date-parts":[["2009"]]},"title":"Impacts of Climate Change on Marine Organisms and Ecosystems","type":"article"},"uris":["http://www.mendeley.com/documents/?uuid=869031ad-16ff-4271-88d6-c90a01ace94b"]}],"mendeley":{"formattedCitation":"[1]","plainTextFormattedCitation":"[1]","previouslyFormattedCitation":"[1]"},"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2C7394">
        <w:rPr>
          <w:rFonts w:asciiTheme="minorHAnsi" w:eastAsia="MS PGothic" w:hAnsiTheme="minorHAnsi"/>
          <w:noProof/>
          <w:color w:val="000000"/>
          <w:sz w:val="22"/>
          <w:szCs w:val="22"/>
          <w:lang w:val="en-US"/>
        </w:rPr>
        <w:t>[1]</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The most extended post combustion CO</w:t>
      </w:r>
      <w:r w:rsidRPr="00217636">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technologies rely on absorption columns. </w:t>
      </w:r>
      <w:proofErr w:type="spellStart"/>
      <w:r>
        <w:rPr>
          <w:rFonts w:asciiTheme="minorHAnsi" w:eastAsia="MS PGothic" w:hAnsiTheme="minorHAnsi"/>
          <w:color w:val="000000"/>
          <w:sz w:val="22"/>
          <w:szCs w:val="22"/>
          <w:lang w:val="en-US"/>
        </w:rPr>
        <w:t>Alkanolamines</w:t>
      </w:r>
      <w:proofErr w:type="spellEnd"/>
      <w:r>
        <w:rPr>
          <w:rFonts w:asciiTheme="minorHAnsi" w:eastAsia="MS PGothic" w:hAnsiTheme="minorHAnsi"/>
          <w:color w:val="000000"/>
          <w:sz w:val="22"/>
          <w:szCs w:val="22"/>
          <w:lang w:val="en-US"/>
        </w:rPr>
        <w:t xml:space="preserve"> are typical solvents due to low cost and high absorption rates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{"citationItems":[{"id":"ITEM-1","itemData":{"DOI":"10.1016/j.desal.2015.08.004","ISBN":"0011-9164","ISSN":"00119164","abstract":"Recent research on CO2capture is focusing on the optimization of CO2absorption using amines (mainly monoethanolamine-MEA) in order to minimize the energy consumption of this very energy-intensive process and improve the absorption efficiency. Process optimization is always required and this research is worth and necessary. However, the main concern arises when thinking of the overall process: solvent production, solvent use and regeneration, and environmental effects related to its use/emissions. The production of MEA from ammonia involves important CO2emissions during the Haber-Bosch process. The regeneration of the solvent after the absorption is also an indirect source of CO2related to the use of fuels (i.e., combustion processes for energy supply). Thus, the evaluation of the overall balance of CO2emitted and captured is essential to determine the efficiency of the process. In addition, other environmental impacts associated to the toxicity and environmental fate of the solvent have to be considered. The use of MEA and other amines in CO2capture is a point of concern and a global application does not seem to be the best strategy.This review aims at giving an overview of the main implications of using MEA as absorption solvent for CO2capture together with the last advances in research to improve the conventional absorption process. Furthermore, alternatives of using other solvents and/or using other technology and their advantages and weak points will be briefly provided. An approach oriented to produce CO2-based products with economic value that can be re-integrated in a closed carbon loop, reducing the use of fresh materials and decreasing the production cost, should be the final objective of current research on CO2capture.","author":[{"dropping-particle":"","family":"Luis","given":"Patricia","non-dropping-particle":"","parse-names":false,"suffix":""}],"container-title":"Desalination","id":"ITEM-1","issued":{"date-parts":[["2016"]]},"title":"Use of monoethanolamine (MEA) for CO2capture in a global scenario: Consequences and alternatives","type":"article"},"uris":["http://www.mendeley.com/documents/?uuid=cab5bf83-f209-4c9b-8cd8-9a9d037e04ac"]}],"mendeley":{"formattedCitation":"[2]","plainTextFormattedCitation":"[2]","previouslyFormattedCitation":"[2]"},"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2C7394">
        <w:rPr>
          <w:rFonts w:asciiTheme="minorHAnsi" w:eastAsia="MS PGothic" w:hAnsiTheme="minorHAnsi"/>
          <w:noProof/>
          <w:color w:val="000000"/>
          <w:sz w:val="22"/>
          <w:szCs w:val="22"/>
          <w:lang w:val="en-US"/>
        </w:rPr>
        <w:t>[2]</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However, amine-based systems have high energy requirements for solvent regeneration and large solvent losses due to amine vaporization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{"citationItems":[{"id":"ITEM-1","itemData":{"DOI":"10.1016/J.SUPFLU.2017.07.029","ISSN":"0896-8446","abstract":"The continuously increasing share of Renewable Energy Sources (RES) and EU targets for CO2 reduction and energy efficiency necessitate significant changes both on technical and regulatory level. Environmental challenges of CO2 emissions are assessed in a review of CO2 capture and utilisation technologies, offering new opportunities in CO2 economy. Commercial applications in the thermal power and industrial sector for pre and post combustion capture as well as the potential of direct air CO2 capture are reviewed. The potential of Carbon Capture and Utilisation (CCU) is assessed focusing on the use of CO2 for fuel as well as for combined heat and power production. Combining CCU with energy storage as an evolutionary measure for balancing RES with thermal power under the power to fuel concept presents high market potentials for fuel and chemical production. Moreover, the recent progress in supercritical CO2 cycles for combined heat and power production is reported.","author":[{"dropping-particle":"","family":"Koytsoumpa","given":"Efthymia Ioanna","non-dropping-particle":"","parse-names":false,"suffix":""},{"dropping-particle":"","family":"Bergins","given":"Christian","non-dropping-particle":"","parse-names":false,"suffix":""},{"dropping-particle":"","family":"Kakaras","given":"Emmanouil","non-dropping-particle":"","parse-names":false,"suffix":""}],"container-title":"The Journal of Supercritical Fluids","id":"ITEM-1","issued":{"date-parts":[["2018","2","1"]]},"page":"3-16","publisher":"Elsevier","title":"The CO2 economy: Review of CO2 capture and reuse technologies","type":"article-journal","volume":"132"},"uris":["http://www.mendeley.com/documents/?uuid=db9e1834-d6d1-3f20-a9bd-3963c07e699d"]}],"mendeley":{"formattedCitation":"[3]","plainTextFormattedCitation":"[3]","previouslyFormattedCitation":"[3]"},"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2C7394">
        <w:rPr>
          <w:rFonts w:asciiTheme="minorHAnsi" w:eastAsia="MS PGothic" w:hAnsiTheme="minorHAnsi"/>
          <w:noProof/>
          <w:color w:val="000000"/>
          <w:sz w:val="22"/>
          <w:szCs w:val="22"/>
          <w:lang w:val="en-US"/>
        </w:rPr>
        <w:t>[3]</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Lower energy consumption would be achievable using a different kind of technology: membrane contactors, which also allow an ease control of operating conditions, large contact area and scale-up flexibility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{"citationItems":[{"id":"ITEM-1","itemData":{"DOI":"10.1002/ghg.1365","ISSN":"21523878","abstract":"There are several technological options for post-combustion CO2 capture. Absorption with novel solvents, adsorption, conversion of CO2 into chemical products, calcium looping, and membrane technology are the main alternatives to the conventional absorption process based on amines. In this review, an overview of these technologies is presented and the role that membranes play is evaluated considering two approaches: (i) processes based on selective membranes (gas permeation and supported liquid membranes), and (ii) processes based on non-selective membranes (membrane contactors). The process performance demonstrated by recent research shows that membrane technology can fulfill the technical requirements for CO2 capture but a closer interaction with the industrial partners and membrane manufacturers is needed to implement this technology in the industry.","author":[{"dropping-particle":"","family":"Luis","given":"Patricia","non-dropping-particle":"","parse-names":false,"suffix":""},{"dropping-particle":"","family":"Bruggen","given":"Bart","non-dropping-particle":"Van Der","parse-names":false,"suffix":""}],"container-title":"Greenhouse Gases: Science and Technology","id":"ITEM-1","issued":{"date-parts":[["2013"]]},"title":"The role of membranes in post-combustion CO2 capture","type":"article"},"uris":["http://www.mendeley.com/documents/?uuid=958ba982-688d-4dee-abbc-241e6246106c"]}],"mendeley":{"formattedCitation":"[4]","plainTextFormattedCitation":"[4]"},"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A932E1">
        <w:rPr>
          <w:rFonts w:asciiTheme="minorHAnsi" w:eastAsia="MS PGothic" w:hAnsiTheme="minorHAnsi"/>
          <w:noProof/>
          <w:color w:val="000000"/>
          <w:sz w:val="22"/>
          <w:szCs w:val="22"/>
          <w:lang w:val="en-US"/>
        </w:rPr>
        <w:t>[4]</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In addition, the use of novel absorption solvents </w:t>
      </w:r>
      <w:proofErr w:type="gramStart"/>
      <w:r>
        <w:rPr>
          <w:rFonts w:asciiTheme="minorHAnsi" w:eastAsia="MS PGothic" w:hAnsiTheme="minorHAnsi"/>
          <w:color w:val="000000"/>
          <w:sz w:val="22"/>
          <w:szCs w:val="22"/>
          <w:lang w:val="en-US"/>
        </w:rPr>
        <w:t>have been proposed</w:t>
      </w:r>
      <w:proofErr w:type="gramEnd"/>
      <w:r>
        <w:rPr>
          <w:rFonts w:asciiTheme="minorHAnsi" w:eastAsia="MS PGothic" w:hAnsiTheme="minorHAnsi"/>
          <w:color w:val="000000"/>
          <w:sz w:val="22"/>
          <w:szCs w:val="22"/>
          <w:lang w:val="en-US"/>
        </w:rPr>
        <w:t xml:space="preserve"> in membrane contactors. For example, solvents with similar functionality as amines, such as amino acid salts (AAS)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{"citationItems":[{"id":"ITEM-1","itemData":{"ISBN":"0747-8291","ISSN":"07478291","author":[{"dropping-particle":"","family":"Weisler","given":"Fred","non-dropping-particle":"","parse-names":false,"suffix":""}],"container-title":"Ultrapure Water","id":"ITEM-1","issue":"June","issued":{"date-parts":[["1996"]]},"page":"27-31","title":"Membrane Contactors : an Introduction To the Technology","type":"article-journal"},"uris":["http://www.mendeley.com/documents/?uuid=dcad47d9-a1ab-445e-93e8-f9a773998d35"]},{"id":"ITEM-2","itemData":{"ISBN":"9788793054097","abstract":"An initial kinetic study was performed on the reaction of CO2 with various potassium amino acid salt solutions at 298 K. Kinetics were measured at 0.5 kmol/m3, reason for which only apparent ki- netic constants are presented. The results were compared with the work of Kumar et al. [1] and Penny and Ritter [2].","author":[{"dropping-particle":"Van","family":"Holst","given":"Jacco","non-dropping-particle":"","parse-names":false,"suffix":""},{"dropping-particle":"","family":"Niederer","given":"John P M","non-dropping-particle":"","parse-names":false,"suffix":""},{"dropping-particle":"","family":"Versteeg","given":"Geert F","non-dropping-particle":"","parse-names":false,"suffix":""},{"dropping-particle":"","family":"Science","given":"Faculty","non-dropping-particle":"","parse-names":false,"suffix":""}],"container-title":"Carbon","id":"ITEM-2","issue":"5","issued":{"date-parts":[["2012"]]},"number-of-pages":"1-6","title":"CO 2 capture from flue gas using amino acid salt solution","type":"book","volume":"31"},"uris":["http://www.mendeley.com/documents/?uuid=49ac50ce-fa02-4071-aecc-3756795396c6"]}],"mendeley":{"formattedCitation":"[5], [6]","plainTextFormattedCitation":"[5], [6]","previouslyFormattedCitation":"[4], [5]"},"properties":{"noteIndex":0},"schema":"https://github.com/citation-style-language/schema/raw/master/csl-citation.json"}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A932E1">
        <w:rPr>
          <w:rFonts w:asciiTheme="minorHAnsi" w:eastAsia="MS PGothic" w:hAnsiTheme="minorHAnsi"/>
          <w:noProof/>
          <w:color w:val="000000"/>
          <w:sz w:val="22"/>
          <w:szCs w:val="22"/>
          <w:lang w:val="en-US"/>
        </w:rPr>
        <w:t>[5</w:t>
      </w:r>
      <w:r>
        <w:rPr>
          <w:rFonts w:asciiTheme="minorHAnsi" w:eastAsia="MS PGothic" w:hAnsiTheme="minorHAnsi"/>
          <w:noProof/>
          <w:color w:val="000000"/>
          <w:sz w:val="22"/>
          <w:szCs w:val="22"/>
          <w:lang w:val="en-US"/>
        </w:rPr>
        <w:t>,</w:t>
      </w:r>
      <w:r w:rsidRPr="00A932E1">
        <w:rPr>
          <w:rFonts w:asciiTheme="minorHAnsi" w:eastAsia="MS PGothic" w:hAnsiTheme="minorHAnsi"/>
          <w:noProof/>
          <w:color w:val="000000"/>
          <w:sz w:val="22"/>
          <w:szCs w:val="22"/>
          <w:lang w:val="en-US"/>
        </w:rPr>
        <w:t>6]</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AAS are positively characterized by their high surface tension, non-volatility , etc., and their kinetics is defined by zwitterion reaction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{"citationItems":[{"id":"ITEM-1","itemData":{"DOI":"10.1016/j.cej.2013.02.093","ISBN":"1385-8947","ISSN":"13858947","abstract":"The absorption of carbon dioxide (CO2) into aqueous 35wt.% equivalent potassium carbonate (K2CO3) solution was performed using a wetted wall column at temperatures from 313K to 343K. Effect of arginine concentrations on absorption rates of CO2into carbonate solutions was investigated and the second-order rate constant k1was obtained using two-film model. Preliminary screening results showed that arginine was an effective promoter in aqueous K2CO3solution for CO2capture. The reaction of CO2with arginine is described using zwitterionic mechanism. The overall reaction kinetic constant kovstrongly increased with the increase of arginine concentration and absorption temperature under the investigated range. Based on the pseudo-first-order regime, the reaction rate parameters were obtained from the kinetic measurements and k1was determined as 33,641 and 85,367Lmol-1s-1at 315K and 325K, respectively with activation energy of 71.9kJmol-1. The overall reaction rate for CO2absorption into promoted K2CO3were described as the following equation: -rCO2=2.58×1016exp-8645TCArg+4.32×1013exp-6666TCOH-CCO2. © 2013 Elsevier B.V.","author":[{"dropping-particle":"","family":"Shen","given":"Shufeng","non-dropping-particle":"","parse-names":false,"suffix":""},{"dropping-particle":"","family":"Feng","given":"Xiaoxia","non-dropping-particle":"","parse-names":false,"suffix":""},{"dropping-particle":"","family":"Zhao","given":"Ruihong","non-dropping-particle":"","parse-names":false,"suffix":""},{"dropping-particle":"","family":"Ghosh","given":"Ujjal Kumar","non-dropping-particle":"","parse-names":false,"suffix":""},{"dropping-particle":"","family":"Chen","given":"Aibing","non-dropping-particle":"","parse-names":false,"suffix":""}],"container-title":"Chemical Engineering Journal","id":"ITEM-1","issued":{"date-parts":[["2013"]]},"page":"478-487","publisher":"Elsevier B.V.","title":"Kinetic study of carbon dioxide absorption with aqueous potassium carbonate promoted by arginine","type":"article-journal","volume":"222"},"uris":["http://www.mendeley.com/documents/?uuid=5cff278b-401f-4abe-9fb3-765f3e5c834a"]}],"mendeley":{"formattedCitation":"[7]","plainTextFormattedCitation":"[7]","previouslyFormattedCitation":"[6]"},"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A932E1">
        <w:rPr>
          <w:rFonts w:asciiTheme="minorHAnsi" w:eastAsia="MS PGothic" w:hAnsiTheme="minorHAnsi"/>
          <w:noProof/>
          <w:color w:val="000000"/>
          <w:sz w:val="22"/>
          <w:szCs w:val="22"/>
          <w:lang w:val="en-US"/>
        </w:rPr>
        <w:t>[7]</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While an amino acid is initially inactive in the solution, it can be activated by addition of sodium hydroxide (</w:t>
      </w:r>
      <w:proofErr w:type="spellStart"/>
      <w:r>
        <w:rPr>
          <w:rFonts w:asciiTheme="minorHAnsi" w:eastAsia="MS PGothic" w:hAnsiTheme="minorHAnsi"/>
          <w:color w:val="000000"/>
          <w:sz w:val="22"/>
          <w:szCs w:val="22"/>
          <w:lang w:val="en-US"/>
        </w:rPr>
        <w:t>NaOH</w:t>
      </w:r>
      <w:proofErr w:type="spellEnd"/>
      <w:r>
        <w:rPr>
          <w:rFonts w:asciiTheme="minorHAnsi" w:eastAsia="MS PGothic" w:hAnsiTheme="minorHAnsi"/>
          <w:color w:val="000000"/>
          <w:sz w:val="22"/>
          <w:szCs w:val="22"/>
          <w:lang w:val="en-US"/>
        </w:rPr>
        <w:t>), potassium hydroxide (KOH) and sodium carbonate (Na</w:t>
      </w:r>
      <w:r w:rsidRPr="00217636">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CO</w:t>
      </w:r>
      <w:r w:rsidRPr="00217636">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{"citationItems":[{"id":"ITEM-1","itemData":{"DOI":"10.1016/j.ces.2008.09.015","ISBN":"0009-2509","ISSN":"00092509","PMID":"27455139","abstract":"A study towards the kinetics of CO2 with several aqueous salts of amino acids was performed at a temperature of 298 K. Absorption rate experiments were carried out in the pseudo-first-order regime, enabling the determination of the kinetic rate constant from the flux. In a preliminary screening at a concentration of 0.5 mol L- 1 the potassium salts of 6-aminohexanoic acid, β-alanine, l-arginine, l-glutamic acid, dl-methionine, l-proline and sarcosine were investigated. Based on the results of this screening the aqueous potassium salts of sarcosine and proline were considered to be the most promising solvents. For these solvents, and the corresponding lithium solvents, the physical distribution coefficient of N2 O was determined for various temperatures and concentrations. Subsequently for these same solvents the kinetics were more extensively studied at 298 K in which the concentration of the amino acid salts was varied between 0.5 and 3 mol L- 1. © 2008 Elsevier Ltd. All rights reserved.","author":[{"dropping-particle":"van","family":"Holst","given":"J.","non-dropping-particle":"","parse-names":false,"suffix":""},{"dropping-particle":"","family":"Versteeg","given":"G. F.","non-dropping-particle":"","parse-names":false,"suffix":""},{"dropping-particle":"","family":"Brilman","given":"D. W.F.","non-dropping-particle":"","parse-names":false,"suffix":""},{"dropping-particle":"","family":"Hogendoorn","given":"J. A.","non-dropping-particle":"","parse-names":false,"suffix":""}],"container-title":"Chemical Engineering Science","id":"ITEM-1","issue":"1","issued":{"date-parts":[["2009"]]},"page":"59-68","title":"Kinetic study of CO2 with various amino acid salts in aqueous solution","type":"article-journal","volume":"64"},"uris":["http://www.mendeley.com/documents/?uuid=ee4fe4b8-053c-415d-a518-49cf5aacc0bb"]},{"id":"ITEM-2","itemData":{"DOI":"10.1021/je700699u","ISBN":"0021-9568","ISSN":"00219568","abstract":"In memory of Jacco van Holst who suddenly passed away at the young age of 28 Aqueous amino acid salt solutions might be an attractive alternative over traditional alkanolamines in the removal of CO 2 from flue gases especially because of their oxidative stability and negligible volatility. The density and viscosity of the aqueous solutions of the potassium salts of the following amino acids have been measured: -alanine, 6-aminohexanoic acid, L-arginine, L-aspartic acid, L-glutamic Acid, DL-methionine, L-phenylalanine, L-proline, and sarcosine. Data are reported in the temperature range of (25 to 60) °C and concentration range of (0.25 to 3.5) mol · L -1 . The data could be correlated accurately with relatively simple relations. The physical solubility of N 2 O in the same amino acid salt solutions was also measured at a temperature of 298 K and a concentration of 0.5 mol · L -1 of the amino acid salt. Using the N 2 O/CO 2 analogy on one hand and Schumpe's method on the other, the physical solubility of CO 2 in these solutions was estimated. Both methods yielded results very close to each other.","author":[{"dropping-particle":"","family":"Holst","given":"Jacco","non-dropping-particle":"Van","parse-names":false,"suffix":""},{"dropping-particle":"","family":"Kersten","given":"Sascha R.A.","non-dropping-particle":"","parse-names":false,"suffix":""},{"dropping-particle":"","family":"Hogendoorn","given":"Kees J.A.","non-dropping-particle":"","parse-names":false,"suffix":""}],"container-title":"Journal of Chemical and Engineering Data","id":"ITEM-2","issue":"6","issued":{"date-parts":[["2008"]]},"page":"1286-1291","title":"Physiochemical properties of several aqueous potassium amino acid salts","type":"article-journal","volume":"53"},"uris":["http://www.mendeley.com/documents/?uuid=f5577aac-8f8e-4b89-ba9a-fbec47a181fa"]}],"mendeley":{"formattedCitation":"[8], [9]","plainTextFormattedCitation":"[8], [9]","previouslyFormattedCitation":"[7], [8]"},"properties":{"noteIndex":0},"schema":"https://github.com/citation-style-language/schema/raw/master/csl-citation.json"}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A932E1">
        <w:rPr>
          <w:rFonts w:asciiTheme="minorHAnsi" w:eastAsia="MS PGothic" w:hAnsiTheme="minorHAnsi"/>
          <w:noProof/>
          <w:color w:val="000000"/>
          <w:sz w:val="22"/>
          <w:szCs w:val="22"/>
          <w:lang w:val="en-US"/>
        </w:rPr>
        <w:t>[8,9]</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p>
    <w:p w14:paraId="357741E9" w14:textId="77777777" w:rsidR="00756C9B" w:rsidRPr="008D0BEB" w:rsidRDefault="00756C9B" w:rsidP="00756C9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work</w:t>
      </w:r>
      <w:r w:rsidRPr="00C3335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w:t>
      </w:r>
      <w:r w:rsidRPr="00C33353">
        <w:rPr>
          <w:rFonts w:asciiTheme="minorHAnsi" w:eastAsia="MS PGothic" w:hAnsiTheme="minorHAnsi"/>
          <w:color w:val="000000"/>
          <w:sz w:val="22"/>
          <w:szCs w:val="22"/>
          <w:lang w:val="en-US"/>
        </w:rPr>
        <w:t xml:space="preserve">ive different amino acids </w:t>
      </w:r>
      <w:proofErr w:type="gramStart"/>
      <w:r w:rsidRPr="00C33353">
        <w:rPr>
          <w:rFonts w:asciiTheme="minorHAnsi" w:eastAsia="MS PGothic" w:hAnsiTheme="minorHAnsi"/>
          <w:color w:val="000000"/>
          <w:sz w:val="22"/>
          <w:szCs w:val="22"/>
          <w:lang w:val="en-US"/>
        </w:rPr>
        <w:t>have been studied</w:t>
      </w:r>
      <w:proofErr w:type="gramEnd"/>
      <w:r>
        <w:rPr>
          <w:rFonts w:asciiTheme="minorHAnsi" w:eastAsia="MS PGothic" w:hAnsiTheme="minorHAnsi"/>
          <w:color w:val="000000"/>
          <w:sz w:val="22"/>
          <w:szCs w:val="22"/>
          <w:lang w:val="en-US"/>
        </w:rPr>
        <w:t xml:space="preserve"> for CO</w:t>
      </w:r>
      <w:r w:rsidRPr="00217636">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The CO</w:t>
      </w:r>
      <w:r w:rsidRPr="00217636">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feasibility </w:t>
      </w:r>
      <w:proofErr w:type="gramStart"/>
      <w:r>
        <w:rPr>
          <w:rFonts w:asciiTheme="minorHAnsi" w:eastAsia="MS PGothic" w:hAnsiTheme="minorHAnsi"/>
          <w:color w:val="000000"/>
          <w:sz w:val="22"/>
          <w:szCs w:val="22"/>
          <w:lang w:val="en-US"/>
        </w:rPr>
        <w:t>is studied</w:t>
      </w:r>
      <w:proofErr w:type="gramEnd"/>
      <w:r>
        <w:rPr>
          <w:rFonts w:asciiTheme="minorHAnsi" w:eastAsia="MS PGothic" w:hAnsiTheme="minorHAnsi"/>
          <w:color w:val="000000"/>
          <w:sz w:val="22"/>
          <w:szCs w:val="22"/>
          <w:lang w:val="en-US"/>
        </w:rPr>
        <w:t xml:space="preserve"> in the membrane contactor using the amino acid salts solutions as the solvent, activated with </w:t>
      </w:r>
      <w:proofErr w:type="spellStart"/>
      <w:r>
        <w:rPr>
          <w:rFonts w:asciiTheme="minorHAnsi" w:eastAsia="MS PGothic" w:hAnsiTheme="minorHAnsi"/>
          <w:color w:val="000000"/>
          <w:sz w:val="22"/>
          <w:szCs w:val="22"/>
          <w:lang w:val="en-US"/>
        </w:rPr>
        <w:t>NaOH</w:t>
      </w:r>
      <w:proofErr w:type="spellEnd"/>
      <w:r>
        <w:rPr>
          <w:rFonts w:asciiTheme="minorHAnsi" w:eastAsia="MS PGothic" w:hAnsiTheme="minorHAnsi"/>
          <w:color w:val="000000"/>
          <w:sz w:val="22"/>
          <w:szCs w:val="22"/>
          <w:lang w:val="en-US"/>
        </w:rPr>
        <w:t xml:space="preserve">. The process performance using the amino acids </w:t>
      </w:r>
      <w:proofErr w:type="gramStart"/>
      <w:r>
        <w:rPr>
          <w:rFonts w:asciiTheme="minorHAnsi" w:eastAsia="MS PGothic" w:hAnsiTheme="minorHAnsi"/>
          <w:color w:val="000000"/>
          <w:sz w:val="22"/>
          <w:szCs w:val="22"/>
          <w:lang w:val="en-US"/>
        </w:rPr>
        <w:t>was compared</w:t>
      </w:r>
      <w:proofErr w:type="gramEnd"/>
      <w:r>
        <w:rPr>
          <w:rFonts w:asciiTheme="minorHAnsi" w:eastAsia="MS PGothic" w:hAnsiTheme="minorHAnsi"/>
          <w:color w:val="000000"/>
          <w:sz w:val="22"/>
          <w:szCs w:val="22"/>
          <w:lang w:val="en-US"/>
        </w:rPr>
        <w:t xml:space="preserve"> to that using only </w:t>
      </w:r>
      <w:proofErr w:type="spellStart"/>
      <w:r>
        <w:rPr>
          <w:rFonts w:asciiTheme="minorHAnsi" w:eastAsia="MS PGothic" w:hAnsiTheme="minorHAnsi"/>
          <w:color w:val="000000"/>
          <w:sz w:val="22"/>
          <w:szCs w:val="22"/>
          <w:lang w:val="en-US"/>
        </w:rPr>
        <w:t>NaOH</w:t>
      </w:r>
      <w:proofErr w:type="spellEnd"/>
      <w:r>
        <w:rPr>
          <w:rFonts w:asciiTheme="minorHAnsi" w:eastAsia="MS PGothic" w:hAnsiTheme="minorHAnsi"/>
          <w:color w:val="000000"/>
          <w:sz w:val="22"/>
          <w:szCs w:val="22"/>
          <w:lang w:val="en-US"/>
        </w:rPr>
        <w:t xml:space="preserve"> in solution. </w:t>
      </w:r>
    </w:p>
    <w:p w14:paraId="3B28490F" w14:textId="77777777" w:rsidR="00756C9B" w:rsidRPr="008D0BEB" w:rsidRDefault="00756C9B" w:rsidP="00756C9B">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878DE2" w14:textId="77777777" w:rsidR="00756C9B" w:rsidRPr="00C33353" w:rsidRDefault="00756C9B" w:rsidP="00756C9B">
      <w:pPr>
        <w:snapToGrid w:val="0"/>
        <w:spacing w:after="120"/>
        <w:rPr>
          <w:rFonts w:asciiTheme="minorHAnsi" w:eastAsia="MS PGothic" w:hAnsiTheme="minorHAnsi"/>
          <w:color w:val="000000"/>
          <w:sz w:val="22"/>
          <w:szCs w:val="22"/>
          <w:lang w:val="en-US"/>
        </w:rPr>
      </w:pPr>
      <w:r w:rsidRPr="00C33353">
        <w:rPr>
          <w:rFonts w:asciiTheme="minorHAnsi" w:eastAsia="MS PGothic" w:hAnsiTheme="minorHAnsi"/>
          <w:color w:val="000000"/>
          <w:sz w:val="22"/>
          <w:szCs w:val="22"/>
          <w:lang w:val="en-US"/>
        </w:rPr>
        <w:t>Serine</w:t>
      </w:r>
      <w:r>
        <w:rPr>
          <w:rFonts w:asciiTheme="minorHAnsi" w:eastAsia="MS PGothic" w:hAnsiTheme="minorHAnsi"/>
          <w:color w:val="000000"/>
          <w:sz w:val="22"/>
          <w:szCs w:val="22"/>
          <w:lang w:val="en-US"/>
        </w:rPr>
        <w:t xml:space="preserve"> </w:t>
      </w:r>
      <w:r w:rsidRPr="00C33353">
        <w:rPr>
          <w:rFonts w:asciiTheme="minorHAnsi" w:eastAsia="MS PGothic" w:hAnsiTheme="minorHAnsi"/>
          <w:color w:val="000000"/>
          <w:sz w:val="22"/>
          <w:szCs w:val="22"/>
          <w:lang w:val="en-US"/>
        </w:rPr>
        <w:t xml:space="preserve">(Alfa </w:t>
      </w:r>
      <w:proofErr w:type="spellStart"/>
      <w:r w:rsidRPr="00C33353">
        <w:rPr>
          <w:rFonts w:asciiTheme="minorHAnsi" w:eastAsia="MS PGothic" w:hAnsiTheme="minorHAnsi"/>
          <w:color w:val="000000"/>
          <w:sz w:val="22"/>
          <w:szCs w:val="22"/>
          <w:lang w:val="en-US"/>
        </w:rPr>
        <w:t>Aesar</w:t>
      </w:r>
      <w:proofErr w:type="spellEnd"/>
      <w:r w:rsidRPr="00C33353">
        <w:rPr>
          <w:rFonts w:asciiTheme="minorHAnsi" w:eastAsia="MS PGothic" w:hAnsiTheme="minorHAnsi"/>
          <w:color w:val="000000"/>
          <w:sz w:val="22"/>
          <w:szCs w:val="22"/>
          <w:lang w:val="en-US"/>
        </w:rPr>
        <w:t>, &gt;95%), methionine</w:t>
      </w:r>
      <w:r>
        <w:rPr>
          <w:rFonts w:asciiTheme="minorHAnsi" w:eastAsia="MS PGothic" w:hAnsiTheme="minorHAnsi"/>
          <w:color w:val="000000"/>
          <w:sz w:val="22"/>
          <w:szCs w:val="22"/>
          <w:lang w:val="en-US"/>
        </w:rPr>
        <w:t xml:space="preserve"> </w:t>
      </w:r>
      <w:r w:rsidRPr="00C33353">
        <w:rPr>
          <w:rFonts w:asciiTheme="minorHAnsi" w:eastAsia="MS PGothic" w:hAnsiTheme="minorHAnsi"/>
          <w:color w:val="000000"/>
          <w:sz w:val="22"/>
          <w:szCs w:val="22"/>
          <w:lang w:val="en-US"/>
        </w:rPr>
        <w:t xml:space="preserve">(Sigma Aldrich,&gt;98%), </w:t>
      </w:r>
      <w:proofErr w:type="gramStart"/>
      <w:r w:rsidRPr="00C33353">
        <w:rPr>
          <w:rFonts w:asciiTheme="minorHAnsi" w:eastAsia="MS PGothic" w:hAnsiTheme="minorHAnsi"/>
          <w:color w:val="000000"/>
          <w:sz w:val="22"/>
          <w:szCs w:val="22"/>
          <w:lang w:val="en-US"/>
        </w:rPr>
        <w:t>Arginine(</w:t>
      </w:r>
      <w:proofErr w:type="gramEnd"/>
      <w:r w:rsidRPr="00C33353">
        <w:rPr>
          <w:rFonts w:asciiTheme="minorHAnsi" w:eastAsia="MS PGothic" w:hAnsiTheme="minorHAnsi"/>
          <w:color w:val="000000"/>
          <w:sz w:val="22"/>
          <w:szCs w:val="22"/>
          <w:lang w:val="en-US"/>
        </w:rPr>
        <w:t>Sigma Aldrich,99%), 6-aminohexanoic acid</w:t>
      </w:r>
      <w:r>
        <w:rPr>
          <w:rFonts w:asciiTheme="minorHAnsi" w:eastAsia="MS PGothic" w:hAnsiTheme="minorHAnsi"/>
          <w:color w:val="000000"/>
          <w:sz w:val="22"/>
          <w:szCs w:val="22"/>
          <w:lang w:val="en-US"/>
        </w:rPr>
        <w:t xml:space="preserve"> </w:t>
      </w:r>
      <w:r w:rsidRPr="00C33353">
        <w:rPr>
          <w:rFonts w:asciiTheme="minorHAnsi" w:eastAsia="MS PGothic" w:hAnsiTheme="minorHAnsi"/>
          <w:color w:val="000000"/>
          <w:sz w:val="22"/>
          <w:szCs w:val="22"/>
          <w:lang w:val="en-US"/>
        </w:rPr>
        <w:t>(Alfa Aesar,99%) and Valine</w:t>
      </w:r>
      <w:r>
        <w:rPr>
          <w:rFonts w:asciiTheme="minorHAnsi" w:eastAsia="MS PGothic" w:hAnsiTheme="minorHAnsi"/>
          <w:color w:val="000000"/>
          <w:sz w:val="22"/>
          <w:szCs w:val="22"/>
          <w:lang w:val="en-US"/>
        </w:rPr>
        <w:t xml:space="preserve"> </w:t>
      </w:r>
      <w:r w:rsidRPr="00C33353">
        <w:rPr>
          <w:rFonts w:asciiTheme="minorHAnsi" w:eastAsia="MS PGothic" w:hAnsiTheme="minorHAnsi"/>
          <w:color w:val="000000"/>
          <w:sz w:val="22"/>
          <w:szCs w:val="22"/>
          <w:lang w:val="en-US"/>
        </w:rPr>
        <w:t>(</w:t>
      </w:r>
      <w:proofErr w:type="spellStart"/>
      <w:r w:rsidRPr="00C33353">
        <w:rPr>
          <w:rFonts w:asciiTheme="minorHAnsi" w:eastAsia="MS PGothic" w:hAnsiTheme="minorHAnsi"/>
          <w:color w:val="000000"/>
          <w:sz w:val="22"/>
          <w:szCs w:val="22"/>
          <w:lang w:val="en-US"/>
        </w:rPr>
        <w:t>Acros</w:t>
      </w:r>
      <w:proofErr w:type="spellEnd"/>
      <w:r w:rsidRPr="00C33353">
        <w:rPr>
          <w:rFonts w:asciiTheme="minorHAnsi" w:eastAsia="MS PGothic" w:hAnsiTheme="minorHAnsi"/>
          <w:color w:val="000000"/>
          <w:sz w:val="22"/>
          <w:szCs w:val="22"/>
          <w:lang w:val="en-US"/>
        </w:rPr>
        <w:t xml:space="preserve"> Organics, 99%) and sodium hyd</w:t>
      </w:r>
      <w:r>
        <w:rPr>
          <w:rFonts w:asciiTheme="minorHAnsi" w:eastAsia="MS PGothic" w:hAnsiTheme="minorHAnsi"/>
          <w:color w:val="000000"/>
          <w:sz w:val="22"/>
          <w:szCs w:val="22"/>
          <w:lang w:val="en-US"/>
        </w:rPr>
        <w:t xml:space="preserve">roxide (VWR,&gt;98 %) were acquired and used without further purification. All amino acids </w:t>
      </w:r>
      <w:proofErr w:type="gramStart"/>
      <w:r>
        <w:rPr>
          <w:rFonts w:asciiTheme="minorHAnsi" w:eastAsia="MS PGothic" w:hAnsiTheme="minorHAnsi"/>
          <w:color w:val="000000"/>
          <w:sz w:val="22"/>
          <w:szCs w:val="22"/>
          <w:lang w:val="en-US"/>
        </w:rPr>
        <w:t>were</w:t>
      </w:r>
      <w:r w:rsidRPr="00C33353">
        <w:rPr>
          <w:rFonts w:asciiTheme="minorHAnsi" w:eastAsia="MS PGothic" w:hAnsiTheme="minorHAnsi"/>
          <w:color w:val="000000"/>
          <w:sz w:val="22"/>
          <w:szCs w:val="22"/>
          <w:lang w:val="en-US"/>
        </w:rPr>
        <w:t xml:space="preserve"> neutralized</w:t>
      </w:r>
      <w:proofErr w:type="gramEnd"/>
      <w:r w:rsidRPr="00C33353">
        <w:rPr>
          <w:rFonts w:asciiTheme="minorHAnsi" w:eastAsia="MS PGothic" w:hAnsiTheme="minorHAnsi"/>
          <w:color w:val="000000"/>
          <w:sz w:val="22"/>
          <w:szCs w:val="22"/>
          <w:lang w:val="en-US"/>
        </w:rPr>
        <w:t xml:space="preserve"> with </w:t>
      </w:r>
      <w:r>
        <w:rPr>
          <w:rFonts w:asciiTheme="minorHAnsi" w:eastAsia="MS PGothic" w:hAnsiTheme="minorHAnsi"/>
          <w:color w:val="000000"/>
          <w:sz w:val="22"/>
          <w:szCs w:val="22"/>
          <w:lang w:val="en-US"/>
        </w:rPr>
        <w:t>an</w:t>
      </w:r>
      <w:r w:rsidRPr="00C33353">
        <w:rPr>
          <w:rFonts w:asciiTheme="minorHAnsi" w:eastAsia="MS PGothic" w:hAnsiTheme="minorHAnsi"/>
          <w:color w:val="000000"/>
          <w:sz w:val="22"/>
          <w:szCs w:val="22"/>
          <w:lang w:val="en-US"/>
        </w:rPr>
        <w:t xml:space="preserve"> equilibrium molar </w:t>
      </w:r>
      <w:r>
        <w:rPr>
          <w:rFonts w:asciiTheme="minorHAnsi" w:eastAsia="MS PGothic" w:hAnsiTheme="minorHAnsi"/>
          <w:color w:val="000000"/>
          <w:sz w:val="22"/>
          <w:szCs w:val="22"/>
          <w:lang w:val="en-US"/>
        </w:rPr>
        <w:t xml:space="preserve">amount </w:t>
      </w:r>
      <w:r w:rsidRPr="00C33353">
        <w:rPr>
          <w:rFonts w:asciiTheme="minorHAnsi" w:eastAsia="MS PGothic" w:hAnsiTheme="minorHAnsi"/>
          <w:color w:val="000000"/>
          <w:sz w:val="22"/>
          <w:szCs w:val="22"/>
          <w:lang w:val="en-US"/>
        </w:rPr>
        <w:t xml:space="preserve">of sodium hydroxide. </w:t>
      </w:r>
    </w:p>
    <w:p w14:paraId="525ACAE0" w14:textId="77777777" w:rsidR="00756C9B" w:rsidRPr="00C33353" w:rsidRDefault="00756C9B" w:rsidP="00756C9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h</w:t>
      </w:r>
      <w:r w:rsidRPr="00C33353">
        <w:rPr>
          <w:rFonts w:asciiTheme="minorHAnsi" w:eastAsia="MS PGothic" w:hAnsiTheme="minorHAnsi"/>
          <w:color w:val="000000"/>
          <w:sz w:val="22"/>
          <w:szCs w:val="22"/>
          <w:lang w:val="en-US"/>
        </w:rPr>
        <w:t>ollow fiber membrane contactor (</w:t>
      </w:r>
      <w:proofErr w:type="spellStart"/>
      <w:r w:rsidRPr="00C33353">
        <w:rPr>
          <w:rFonts w:asciiTheme="minorHAnsi" w:eastAsia="MS PGothic" w:hAnsiTheme="minorHAnsi"/>
          <w:color w:val="000000"/>
          <w:sz w:val="22"/>
          <w:szCs w:val="22"/>
          <w:lang w:val="en-US"/>
        </w:rPr>
        <w:t>MiniModule</w:t>
      </w:r>
      <w:proofErr w:type="spellEnd"/>
      <w:r w:rsidRPr="00C33353">
        <w:rPr>
          <w:rFonts w:asciiTheme="minorHAnsi" w:eastAsia="MS PGothic" w:hAnsiTheme="minorHAnsi"/>
          <w:color w:val="000000"/>
          <w:sz w:val="22"/>
          <w:szCs w:val="22"/>
          <w:lang w:val="en-US"/>
        </w:rPr>
        <w:t xml:space="preserve"> 1x5.5 G543, liquid-</w:t>
      </w:r>
      <w:proofErr w:type="spellStart"/>
      <w:r w:rsidRPr="00C33353">
        <w:rPr>
          <w:rFonts w:asciiTheme="minorHAnsi" w:eastAsia="MS PGothic" w:hAnsiTheme="minorHAnsi"/>
          <w:color w:val="000000"/>
          <w:sz w:val="22"/>
          <w:szCs w:val="22"/>
          <w:lang w:val="en-US"/>
        </w:rPr>
        <w:t>Cel</w:t>
      </w:r>
      <w:proofErr w:type="spellEnd"/>
      <w:r w:rsidRPr="00C33353">
        <w:rPr>
          <w:rFonts w:asciiTheme="minorHAnsi" w:eastAsia="MS PGothic" w:hAnsiTheme="minorHAnsi"/>
          <w:color w:val="000000"/>
          <w:sz w:val="22"/>
          <w:szCs w:val="22"/>
          <w:lang w:val="en-US"/>
        </w:rPr>
        <w:t xml:space="preserve">, Membrane GmbH, Germany) was used </w:t>
      </w:r>
      <w:r>
        <w:rPr>
          <w:rFonts w:asciiTheme="minorHAnsi" w:eastAsia="MS PGothic" w:hAnsiTheme="minorHAnsi"/>
          <w:color w:val="000000"/>
          <w:sz w:val="22"/>
          <w:szCs w:val="22"/>
          <w:lang w:val="en-US"/>
        </w:rPr>
        <w:t>for</w:t>
      </w:r>
      <w:r w:rsidRPr="00C33353">
        <w:rPr>
          <w:rFonts w:asciiTheme="minorHAnsi" w:eastAsia="MS PGothic" w:hAnsiTheme="minorHAnsi"/>
          <w:color w:val="000000"/>
          <w:sz w:val="22"/>
          <w:szCs w:val="22"/>
          <w:lang w:val="en-US"/>
        </w:rPr>
        <w:t xml:space="preserve"> the chemical absorption process. The inlet and outlet volume percentage </w:t>
      </w:r>
      <w:r w:rsidRPr="00C33353">
        <w:rPr>
          <w:rFonts w:asciiTheme="minorHAnsi" w:eastAsia="MS PGothic" w:hAnsiTheme="minorHAnsi"/>
          <w:color w:val="000000"/>
          <w:sz w:val="22"/>
          <w:szCs w:val="22"/>
          <w:lang w:val="en-US"/>
        </w:rPr>
        <w:lastRenderedPageBreak/>
        <w:t>of CO</w:t>
      </w:r>
      <w:r w:rsidRPr="00D407A3">
        <w:rPr>
          <w:rFonts w:asciiTheme="minorHAnsi" w:eastAsia="MS PGothic" w:hAnsiTheme="minorHAnsi"/>
          <w:color w:val="000000"/>
          <w:sz w:val="22"/>
          <w:szCs w:val="22"/>
          <w:vertAlign w:val="subscript"/>
          <w:lang w:val="en-US"/>
        </w:rPr>
        <w:t>2</w:t>
      </w:r>
      <w:r w:rsidRPr="00C33353">
        <w:rPr>
          <w:rFonts w:asciiTheme="minorHAnsi" w:eastAsia="MS PGothic" w:hAnsiTheme="minorHAnsi"/>
          <w:color w:val="000000"/>
          <w:sz w:val="22"/>
          <w:szCs w:val="22"/>
          <w:lang w:val="en-US"/>
        </w:rPr>
        <w:t xml:space="preserve"> </w:t>
      </w:r>
      <w:proofErr w:type="gramStart"/>
      <w:r w:rsidRPr="00C33353">
        <w:rPr>
          <w:rFonts w:asciiTheme="minorHAnsi" w:eastAsia="MS PGothic" w:hAnsiTheme="minorHAnsi"/>
          <w:color w:val="000000"/>
          <w:sz w:val="22"/>
          <w:szCs w:val="22"/>
          <w:lang w:val="en-US"/>
        </w:rPr>
        <w:t>was measured</w:t>
      </w:r>
      <w:proofErr w:type="gramEnd"/>
      <w:r w:rsidRPr="00C33353">
        <w:rPr>
          <w:rFonts w:asciiTheme="minorHAnsi" w:eastAsia="MS PGothic" w:hAnsiTheme="minorHAnsi"/>
          <w:color w:val="000000"/>
          <w:sz w:val="22"/>
          <w:szCs w:val="22"/>
          <w:lang w:val="en-US"/>
        </w:rPr>
        <w:t xml:space="preserve"> via the CO</w:t>
      </w:r>
      <w:r w:rsidRPr="00D407A3">
        <w:rPr>
          <w:rFonts w:asciiTheme="minorHAnsi" w:eastAsia="MS PGothic" w:hAnsiTheme="minorHAnsi"/>
          <w:color w:val="000000"/>
          <w:sz w:val="22"/>
          <w:szCs w:val="22"/>
          <w:vertAlign w:val="subscript"/>
          <w:lang w:val="en-US"/>
        </w:rPr>
        <w:t>2</w:t>
      </w:r>
      <w:r w:rsidRPr="00C33353">
        <w:rPr>
          <w:rFonts w:asciiTheme="minorHAnsi" w:eastAsia="MS PGothic" w:hAnsiTheme="minorHAnsi"/>
          <w:color w:val="000000"/>
          <w:sz w:val="22"/>
          <w:szCs w:val="22"/>
          <w:lang w:val="en-US"/>
        </w:rPr>
        <w:t xml:space="preserve"> gas analyzer</w:t>
      </w:r>
      <w:r>
        <w:rPr>
          <w:rFonts w:asciiTheme="minorHAnsi" w:eastAsia="MS PGothic" w:hAnsiTheme="minorHAnsi"/>
          <w:color w:val="000000"/>
          <w:sz w:val="22"/>
          <w:szCs w:val="22"/>
          <w:lang w:val="en-US"/>
        </w:rPr>
        <w:t xml:space="preserve"> </w:t>
      </w:r>
      <w:r w:rsidRPr="00C33353">
        <w:rPr>
          <w:rFonts w:asciiTheme="minorHAnsi" w:eastAsia="MS PGothic" w:hAnsiTheme="minorHAnsi"/>
          <w:color w:val="000000"/>
          <w:sz w:val="22"/>
          <w:szCs w:val="22"/>
          <w:lang w:val="en-US"/>
        </w:rPr>
        <w:t>(</w:t>
      </w:r>
      <w:proofErr w:type="spellStart"/>
      <w:r w:rsidRPr="00C33353">
        <w:rPr>
          <w:rFonts w:asciiTheme="minorHAnsi" w:eastAsia="MS PGothic" w:hAnsiTheme="minorHAnsi"/>
          <w:color w:val="000000"/>
          <w:sz w:val="22"/>
          <w:szCs w:val="22"/>
          <w:lang w:val="en-US"/>
        </w:rPr>
        <w:t>Rosemount</w:t>
      </w:r>
      <w:r w:rsidRPr="00D407A3">
        <w:rPr>
          <w:rFonts w:asciiTheme="minorHAnsi" w:eastAsia="MS PGothic" w:hAnsiTheme="minorHAnsi"/>
          <w:color w:val="000000"/>
          <w:sz w:val="22"/>
          <w:szCs w:val="22"/>
          <w:vertAlign w:val="superscript"/>
          <w:lang w:val="en-US"/>
        </w:rPr>
        <w:t>TM</w:t>
      </w:r>
      <w:proofErr w:type="spellEnd"/>
      <w:r w:rsidRPr="00C33353">
        <w:rPr>
          <w:rFonts w:asciiTheme="minorHAnsi" w:eastAsia="MS PGothic" w:hAnsiTheme="minorHAnsi"/>
          <w:color w:val="000000"/>
          <w:sz w:val="22"/>
          <w:szCs w:val="22"/>
          <w:lang w:val="en-US"/>
        </w:rPr>
        <w:t xml:space="preserve"> X-stream enhanced XEGK </w:t>
      </w:r>
      <w:proofErr w:type="spellStart"/>
      <w:r w:rsidRPr="00C33353">
        <w:rPr>
          <w:rFonts w:asciiTheme="minorHAnsi" w:eastAsia="MS PGothic" w:hAnsiTheme="minorHAnsi"/>
          <w:color w:val="000000"/>
          <w:sz w:val="22"/>
          <w:szCs w:val="22"/>
          <w:lang w:val="en-US"/>
        </w:rPr>
        <w:t>countinuous</w:t>
      </w:r>
      <w:proofErr w:type="spellEnd"/>
      <w:r w:rsidRPr="00C33353">
        <w:rPr>
          <w:rFonts w:asciiTheme="minorHAnsi" w:eastAsia="MS PGothic" w:hAnsiTheme="minorHAnsi"/>
          <w:color w:val="000000"/>
          <w:sz w:val="22"/>
          <w:szCs w:val="22"/>
          <w:lang w:val="en-US"/>
        </w:rPr>
        <w:t xml:space="preserve"> gas analyzer, Emerson</w:t>
      </w:r>
      <w:r>
        <w:rPr>
          <w:rFonts w:asciiTheme="minorHAnsi" w:eastAsia="MS PGothic" w:hAnsiTheme="minorHAnsi"/>
          <w:color w:val="000000"/>
          <w:sz w:val="22"/>
          <w:szCs w:val="22"/>
          <w:lang w:val="en-US"/>
        </w:rPr>
        <w:t>, Germany</w:t>
      </w:r>
      <w:r w:rsidRPr="00C3335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
    <w:p w14:paraId="0025E0ED" w14:textId="77777777" w:rsidR="00756C9B" w:rsidRPr="008D0BEB" w:rsidRDefault="00756C9B" w:rsidP="00756C9B">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83286A4" w14:textId="77777777" w:rsidR="00756C9B" w:rsidRDefault="00756C9B" w:rsidP="00756C9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overall mass transfer coefficient (</w:t>
      </w:r>
      <w:proofErr w:type="spellStart"/>
      <w:r>
        <w:rPr>
          <w:rFonts w:asciiTheme="minorHAnsi" w:eastAsia="MS PGothic" w:hAnsiTheme="minorHAnsi"/>
          <w:color w:val="000000"/>
          <w:sz w:val="22"/>
          <w:szCs w:val="22"/>
          <w:lang w:val="en-US"/>
        </w:rPr>
        <w:t>K</w:t>
      </w:r>
      <w:r w:rsidRPr="00324D58">
        <w:rPr>
          <w:rFonts w:asciiTheme="minorHAnsi" w:eastAsia="MS PGothic" w:hAnsiTheme="minorHAnsi"/>
          <w:color w:val="000000"/>
          <w:sz w:val="22"/>
          <w:szCs w:val="22"/>
          <w:vertAlign w:val="subscript"/>
          <w:lang w:val="en-US"/>
        </w:rPr>
        <w:t>ov</w:t>
      </w:r>
      <w:proofErr w:type="spellEnd"/>
      <w:r>
        <w:rPr>
          <w:rFonts w:asciiTheme="minorHAnsi" w:eastAsia="MS PGothic" w:hAnsiTheme="minorHAnsi"/>
          <w:color w:val="000000"/>
          <w:sz w:val="22"/>
          <w:szCs w:val="22"/>
          <w:lang w:val="en-US"/>
        </w:rPr>
        <w:t xml:space="preserve">) and process performance using amino acids and amino acid salts </w:t>
      </w:r>
      <w:proofErr w:type="gramStart"/>
      <w:r>
        <w:rPr>
          <w:rFonts w:asciiTheme="minorHAnsi" w:eastAsia="MS PGothic" w:hAnsiTheme="minorHAnsi"/>
          <w:color w:val="000000"/>
          <w:sz w:val="22"/>
          <w:szCs w:val="22"/>
          <w:lang w:val="en-US"/>
        </w:rPr>
        <w:t>were studied</w:t>
      </w:r>
      <w:proofErr w:type="gramEnd"/>
      <w:r>
        <w:rPr>
          <w:rFonts w:asciiTheme="minorHAnsi" w:eastAsia="MS PGothic" w:hAnsiTheme="minorHAnsi"/>
          <w:color w:val="000000"/>
          <w:sz w:val="22"/>
          <w:szCs w:val="22"/>
          <w:lang w:val="en-US"/>
        </w:rPr>
        <w:t>. All amino acids saturated shortly after the start of experiments</w:t>
      </w:r>
      <w:r w:rsidRPr="007522E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except arginine. The results </w:t>
      </w:r>
      <w:proofErr w:type="gramStart"/>
      <w:r>
        <w:rPr>
          <w:rFonts w:asciiTheme="minorHAnsi" w:eastAsia="MS PGothic" w:hAnsiTheme="minorHAnsi"/>
          <w:color w:val="000000"/>
          <w:sz w:val="22"/>
          <w:szCs w:val="22"/>
          <w:lang w:val="en-US"/>
        </w:rPr>
        <w:t>could be explained</w:t>
      </w:r>
      <w:proofErr w:type="gramEnd"/>
      <w:r>
        <w:rPr>
          <w:rFonts w:asciiTheme="minorHAnsi" w:eastAsia="MS PGothic" w:hAnsiTheme="minorHAnsi"/>
          <w:color w:val="000000"/>
          <w:sz w:val="22"/>
          <w:szCs w:val="22"/>
          <w:lang w:val="en-US"/>
        </w:rPr>
        <w:t xml:space="preserve"> since acid dissociation constant (</w:t>
      </w:r>
      <w:proofErr w:type="spellStart"/>
      <w:r>
        <w:rPr>
          <w:rFonts w:asciiTheme="minorHAnsi" w:eastAsia="MS PGothic" w:hAnsiTheme="minorHAnsi"/>
          <w:color w:val="000000"/>
          <w:sz w:val="22"/>
          <w:szCs w:val="22"/>
          <w:lang w:val="en-US"/>
        </w:rPr>
        <w:t>pKa</w:t>
      </w:r>
      <w:proofErr w:type="spellEnd"/>
      <w:r>
        <w:rPr>
          <w:rFonts w:asciiTheme="minorHAnsi" w:eastAsia="MS PGothic" w:hAnsiTheme="minorHAnsi"/>
          <w:color w:val="000000"/>
          <w:sz w:val="22"/>
          <w:szCs w:val="22"/>
          <w:lang w:val="en-US"/>
        </w:rPr>
        <w:t xml:space="preserve">) for some amino acids is low. However, similar performance of arginine to </w:t>
      </w:r>
      <w:proofErr w:type="spellStart"/>
      <w:r>
        <w:rPr>
          <w:rFonts w:asciiTheme="minorHAnsi" w:eastAsia="MS PGothic" w:hAnsiTheme="minorHAnsi"/>
          <w:color w:val="000000"/>
          <w:sz w:val="22"/>
          <w:szCs w:val="22"/>
          <w:lang w:val="en-US"/>
        </w:rPr>
        <w:t>NaOH</w:t>
      </w:r>
      <w:proofErr w:type="spellEnd"/>
      <w:r>
        <w:rPr>
          <w:rFonts w:asciiTheme="minorHAnsi" w:eastAsia="MS PGothic" w:hAnsiTheme="minorHAnsi"/>
          <w:color w:val="000000"/>
          <w:sz w:val="22"/>
          <w:szCs w:val="22"/>
          <w:lang w:val="en-US"/>
        </w:rPr>
        <w:t xml:space="preserve"> </w:t>
      </w:r>
      <w:proofErr w:type="gramStart"/>
      <w:r>
        <w:rPr>
          <w:rFonts w:asciiTheme="minorHAnsi" w:eastAsia="MS PGothic" w:hAnsiTheme="minorHAnsi"/>
          <w:color w:val="000000"/>
          <w:sz w:val="22"/>
          <w:szCs w:val="22"/>
          <w:lang w:val="en-US"/>
        </w:rPr>
        <w:t>is related</w:t>
      </w:r>
      <w:proofErr w:type="gramEnd"/>
      <w:r>
        <w:rPr>
          <w:rFonts w:asciiTheme="minorHAnsi" w:eastAsia="MS PGothic" w:hAnsiTheme="minorHAnsi"/>
          <w:color w:val="000000"/>
          <w:sz w:val="22"/>
          <w:szCs w:val="22"/>
          <w:lang w:val="en-US"/>
        </w:rPr>
        <w:t xml:space="preserve"> to their comparable high </w:t>
      </w:r>
      <w:proofErr w:type="spellStart"/>
      <w:r>
        <w:rPr>
          <w:rFonts w:asciiTheme="minorHAnsi" w:eastAsia="MS PGothic" w:hAnsiTheme="minorHAnsi"/>
          <w:color w:val="000000"/>
          <w:sz w:val="22"/>
          <w:szCs w:val="22"/>
          <w:lang w:val="en-US"/>
        </w:rPr>
        <w:t>pKa</w:t>
      </w:r>
      <w:proofErr w:type="spellEnd"/>
      <w:r>
        <w:rPr>
          <w:rFonts w:asciiTheme="minorHAnsi" w:eastAsia="MS PGothic" w:hAnsiTheme="minorHAnsi"/>
          <w:color w:val="000000"/>
          <w:sz w:val="22"/>
          <w:szCs w:val="22"/>
          <w:lang w:val="en-US"/>
        </w:rPr>
        <w:t xml:space="preserve"> values.</w:t>
      </w:r>
    </w:p>
    <w:p w14:paraId="5564114D" w14:textId="77777777" w:rsidR="00756C9B" w:rsidRDefault="00756C9B" w:rsidP="00756C9B">
      <w:pPr>
        <w:snapToGrid w:val="0"/>
        <w:spacing w:after="120"/>
        <w:rPr>
          <w:rFonts w:asciiTheme="minorHAnsi" w:eastAsia="MS PGothic" w:hAnsiTheme="minorHAnsi"/>
          <w:color w:val="000000" w:themeColor="text1"/>
          <w:sz w:val="22"/>
          <w:szCs w:val="22"/>
          <w:lang w:val="en-US"/>
        </w:rPr>
      </w:pPr>
      <w:r w:rsidRPr="7D14ED49">
        <w:rPr>
          <w:rFonts w:asciiTheme="minorHAnsi" w:eastAsia="MS PGothic" w:hAnsiTheme="minorHAnsi"/>
          <w:color w:val="000000" w:themeColor="text1"/>
          <w:sz w:val="22"/>
          <w:szCs w:val="22"/>
          <w:lang w:val="en-US"/>
        </w:rPr>
        <w:t>The amino acid absorption improves after the activation with a base. As all amino acid have a primary amine group for the CO</w:t>
      </w:r>
      <w:r w:rsidRPr="7D14ED49">
        <w:rPr>
          <w:rFonts w:asciiTheme="minorHAnsi" w:eastAsia="MS PGothic" w:hAnsiTheme="minorHAnsi"/>
          <w:color w:val="000000" w:themeColor="text1"/>
          <w:sz w:val="22"/>
          <w:szCs w:val="22"/>
          <w:vertAlign w:val="subscript"/>
          <w:lang w:val="en-US"/>
        </w:rPr>
        <w:t>2</w:t>
      </w:r>
      <w:r w:rsidRPr="7D14ED49">
        <w:rPr>
          <w:rFonts w:asciiTheme="minorHAnsi" w:eastAsia="MS PGothic" w:hAnsiTheme="minorHAnsi"/>
          <w:color w:val="000000" w:themeColor="text1"/>
          <w:sz w:val="22"/>
          <w:szCs w:val="22"/>
          <w:lang w:val="en-US"/>
        </w:rPr>
        <w:t xml:space="preserve"> capture, it </w:t>
      </w:r>
      <w:proofErr w:type="gramStart"/>
      <w:r w:rsidRPr="7D14ED49">
        <w:rPr>
          <w:rFonts w:asciiTheme="minorHAnsi" w:eastAsia="MS PGothic" w:hAnsiTheme="minorHAnsi"/>
          <w:color w:val="000000" w:themeColor="text1"/>
          <w:sz w:val="22"/>
          <w:szCs w:val="22"/>
          <w:lang w:val="en-US"/>
        </w:rPr>
        <w:t>is expected</w:t>
      </w:r>
      <w:proofErr w:type="gramEnd"/>
      <w:r w:rsidRPr="7D14ED49">
        <w:rPr>
          <w:rFonts w:asciiTheme="minorHAnsi" w:eastAsia="MS PGothic" w:hAnsiTheme="minorHAnsi"/>
          <w:color w:val="000000" w:themeColor="text1"/>
          <w:sz w:val="22"/>
          <w:szCs w:val="22"/>
          <w:lang w:val="en-US"/>
        </w:rPr>
        <w:t xml:space="preserve"> to observe a similar performance when they are activated. However, not all amino acids show same absorption rate for CO</w:t>
      </w:r>
      <w:r w:rsidRPr="00217636">
        <w:rPr>
          <w:rFonts w:asciiTheme="minorHAnsi" w:eastAsia="MS PGothic" w:hAnsiTheme="minorHAnsi"/>
          <w:color w:val="000000" w:themeColor="text1"/>
          <w:sz w:val="22"/>
          <w:szCs w:val="22"/>
          <w:vertAlign w:val="subscript"/>
          <w:lang w:val="en-US"/>
        </w:rPr>
        <w:t>2</w:t>
      </w:r>
      <w:r w:rsidRPr="7D14ED49">
        <w:rPr>
          <w:rFonts w:asciiTheme="minorHAnsi" w:eastAsia="MS PGothic" w:hAnsiTheme="minorHAnsi"/>
          <w:color w:val="000000" w:themeColor="text1"/>
          <w:sz w:val="22"/>
          <w:szCs w:val="22"/>
          <w:lang w:val="en-US"/>
        </w:rPr>
        <w:t xml:space="preserve"> capture, which is related to the difference in structure of amino acids. </w:t>
      </w:r>
      <w:r>
        <w:rPr>
          <w:rFonts w:asciiTheme="minorHAnsi" w:eastAsia="MS PGothic" w:hAnsiTheme="minorHAnsi"/>
          <w:color w:val="000000" w:themeColor="text1"/>
          <w:sz w:val="22"/>
          <w:szCs w:val="22"/>
          <w:lang w:val="en-US"/>
        </w:rPr>
        <w:t>In addition</w:t>
      </w:r>
      <w:r w:rsidRPr="7D14ED49">
        <w:rPr>
          <w:rFonts w:asciiTheme="minorHAnsi" w:eastAsia="MS PGothic" w:hAnsiTheme="minorHAnsi"/>
          <w:color w:val="000000" w:themeColor="text1"/>
          <w:sz w:val="22"/>
          <w:szCs w:val="22"/>
          <w:lang w:val="en-US"/>
        </w:rPr>
        <w:t xml:space="preserve">, the absorption rate is higher when an amino acid </w:t>
      </w:r>
      <w:proofErr w:type="gramStart"/>
      <w:r w:rsidRPr="7D14ED49">
        <w:rPr>
          <w:rFonts w:asciiTheme="minorHAnsi" w:eastAsia="MS PGothic" w:hAnsiTheme="minorHAnsi"/>
          <w:color w:val="000000" w:themeColor="text1"/>
          <w:sz w:val="22"/>
          <w:szCs w:val="22"/>
          <w:lang w:val="en-US"/>
        </w:rPr>
        <w:t>is activated</w:t>
      </w:r>
      <w:proofErr w:type="gramEnd"/>
      <w:r w:rsidRPr="7D14ED49">
        <w:rPr>
          <w:rFonts w:asciiTheme="minorHAnsi" w:eastAsia="MS PGothic" w:hAnsiTheme="minorHAnsi"/>
          <w:color w:val="000000" w:themeColor="text1"/>
          <w:sz w:val="22"/>
          <w:szCs w:val="22"/>
          <w:lang w:val="en-US"/>
        </w:rPr>
        <w:t xml:space="preserve"> with a base that has higher </w:t>
      </w:r>
      <w:proofErr w:type="spellStart"/>
      <w:r w:rsidRPr="7D14ED49">
        <w:rPr>
          <w:rFonts w:asciiTheme="minorHAnsi" w:eastAsia="MS PGothic" w:hAnsiTheme="minorHAnsi"/>
          <w:color w:val="000000" w:themeColor="text1"/>
          <w:sz w:val="22"/>
          <w:szCs w:val="22"/>
          <w:lang w:val="en-US"/>
        </w:rPr>
        <w:t>pKa</w:t>
      </w:r>
      <w:proofErr w:type="spellEnd"/>
      <w:r w:rsidRPr="7D14ED49">
        <w:rPr>
          <w:rFonts w:asciiTheme="minorHAnsi" w:eastAsia="MS PGothic" w:hAnsiTheme="minorHAnsi"/>
          <w:color w:val="000000" w:themeColor="text1"/>
          <w:sz w:val="22"/>
          <w:szCs w:val="22"/>
          <w:lang w:val="en-US"/>
        </w:rPr>
        <w:t xml:space="preserve">. </w:t>
      </w:r>
      <w:r>
        <w:rPr>
          <w:rFonts w:asciiTheme="minorHAnsi" w:eastAsia="MS PGothic" w:hAnsiTheme="minorHAnsi"/>
          <w:color w:val="000000" w:themeColor="text1"/>
          <w:sz w:val="22"/>
          <w:szCs w:val="22"/>
          <w:lang w:val="en-US"/>
        </w:rPr>
        <w:t>A</w:t>
      </w:r>
      <w:r w:rsidRPr="7D14ED49">
        <w:rPr>
          <w:rFonts w:asciiTheme="minorHAnsi" w:eastAsia="MS PGothic" w:hAnsiTheme="minorHAnsi"/>
          <w:color w:val="000000" w:themeColor="text1"/>
          <w:sz w:val="22"/>
          <w:szCs w:val="22"/>
          <w:lang w:val="en-US"/>
        </w:rPr>
        <w:t xml:space="preserve"> stronger base has higher capability of activation of amino acids.</w:t>
      </w:r>
    </w:p>
    <w:p w14:paraId="7AF8A963" w14:textId="77777777" w:rsidR="00756C9B" w:rsidRPr="008D0BEB" w:rsidRDefault="00756C9B" w:rsidP="00756C9B">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08722D1" w14:textId="77777777" w:rsidR="00756C9B" w:rsidRDefault="00756C9B" w:rsidP="00756C9B">
      <w:pPr>
        <w:snapToGrid w:val="0"/>
        <w:spacing w:after="120"/>
        <w:rPr>
          <w:rFonts w:asciiTheme="minorHAnsi" w:eastAsia="MS PGothic" w:hAnsiTheme="minorHAnsi"/>
          <w:color w:val="000000" w:themeColor="text1"/>
          <w:sz w:val="22"/>
          <w:szCs w:val="22"/>
          <w:lang w:val="en-US"/>
        </w:rPr>
      </w:pPr>
      <w:r w:rsidRPr="7D14ED49">
        <w:rPr>
          <w:rFonts w:asciiTheme="minorHAnsi" w:eastAsia="MS PGothic" w:hAnsiTheme="minorHAnsi"/>
          <w:color w:val="000000" w:themeColor="text1"/>
          <w:sz w:val="22"/>
          <w:szCs w:val="22"/>
          <w:lang w:val="en-US"/>
        </w:rPr>
        <w:t xml:space="preserve">This work </w:t>
      </w:r>
      <w:r>
        <w:rPr>
          <w:rFonts w:asciiTheme="minorHAnsi" w:eastAsia="MS PGothic" w:hAnsiTheme="minorHAnsi"/>
          <w:color w:val="000000" w:themeColor="text1"/>
          <w:sz w:val="22"/>
          <w:szCs w:val="22"/>
          <w:lang w:val="en-US"/>
        </w:rPr>
        <w:t>uses</w:t>
      </w:r>
      <w:r w:rsidRPr="7D14ED49">
        <w:rPr>
          <w:rFonts w:asciiTheme="minorHAnsi" w:eastAsia="MS PGothic" w:hAnsiTheme="minorHAnsi"/>
          <w:color w:val="000000" w:themeColor="text1"/>
          <w:sz w:val="22"/>
          <w:szCs w:val="22"/>
          <w:lang w:val="en-US"/>
        </w:rPr>
        <w:t xml:space="preserve"> a membrane contactor with amino acid salt</w:t>
      </w:r>
      <w:r>
        <w:rPr>
          <w:rFonts w:asciiTheme="minorHAnsi" w:eastAsia="MS PGothic" w:hAnsiTheme="minorHAnsi"/>
          <w:color w:val="000000" w:themeColor="text1"/>
          <w:sz w:val="22"/>
          <w:szCs w:val="22"/>
          <w:lang w:val="en-US"/>
        </w:rPr>
        <w:t>s</w:t>
      </w:r>
      <w:r w:rsidRPr="7D14ED49">
        <w:rPr>
          <w:rFonts w:asciiTheme="minorHAnsi" w:eastAsia="MS PGothic" w:hAnsiTheme="minorHAnsi"/>
          <w:color w:val="000000" w:themeColor="text1"/>
          <w:sz w:val="22"/>
          <w:szCs w:val="22"/>
          <w:lang w:val="en-US"/>
        </w:rPr>
        <w:t xml:space="preserve"> for chemical absorption. The performance of different amino aci</w:t>
      </w:r>
      <w:bookmarkStart w:id="0" w:name="_GoBack"/>
      <w:bookmarkEnd w:id="0"/>
      <w:r w:rsidRPr="7D14ED49">
        <w:rPr>
          <w:rFonts w:asciiTheme="minorHAnsi" w:eastAsia="MS PGothic" w:hAnsiTheme="minorHAnsi"/>
          <w:color w:val="000000" w:themeColor="text1"/>
          <w:sz w:val="22"/>
          <w:szCs w:val="22"/>
          <w:lang w:val="en-US"/>
        </w:rPr>
        <w:t xml:space="preserve">ds </w:t>
      </w:r>
      <w:proofErr w:type="gramStart"/>
      <w:r w:rsidRPr="7D14ED49">
        <w:rPr>
          <w:rFonts w:asciiTheme="minorHAnsi" w:eastAsia="MS PGothic" w:hAnsiTheme="minorHAnsi"/>
          <w:color w:val="000000" w:themeColor="text1"/>
          <w:sz w:val="22"/>
          <w:szCs w:val="22"/>
          <w:lang w:val="en-US"/>
        </w:rPr>
        <w:t>was compared</w:t>
      </w:r>
      <w:proofErr w:type="gramEnd"/>
      <w:r w:rsidRPr="7D14ED49">
        <w:rPr>
          <w:rFonts w:asciiTheme="minorHAnsi" w:eastAsia="MS PGothic" w:hAnsiTheme="minorHAnsi"/>
          <w:color w:val="000000" w:themeColor="text1"/>
          <w:sz w:val="22"/>
          <w:szCs w:val="22"/>
          <w:lang w:val="en-US"/>
        </w:rPr>
        <w:t xml:space="preserve"> to </w:t>
      </w:r>
      <w:proofErr w:type="spellStart"/>
      <w:r w:rsidRPr="7D14ED49">
        <w:rPr>
          <w:rFonts w:asciiTheme="minorHAnsi" w:eastAsia="MS PGothic" w:hAnsiTheme="minorHAnsi"/>
          <w:color w:val="000000" w:themeColor="text1"/>
          <w:sz w:val="22"/>
          <w:szCs w:val="22"/>
          <w:lang w:val="en-US"/>
        </w:rPr>
        <w:t>NaOH</w:t>
      </w:r>
      <w:proofErr w:type="spellEnd"/>
      <w:r w:rsidRPr="7D14ED49">
        <w:rPr>
          <w:rFonts w:asciiTheme="minorHAnsi" w:eastAsia="MS PGothic" w:hAnsiTheme="minorHAnsi"/>
          <w:color w:val="000000" w:themeColor="text1"/>
          <w:sz w:val="22"/>
          <w:szCs w:val="22"/>
          <w:lang w:val="en-US"/>
        </w:rPr>
        <w:t xml:space="preserve"> solution based on the mass transfer coefficient.  Arginine performed similar to </w:t>
      </w:r>
      <w:proofErr w:type="spellStart"/>
      <w:r w:rsidRPr="7D14ED49">
        <w:rPr>
          <w:rFonts w:asciiTheme="minorHAnsi" w:eastAsia="MS PGothic" w:hAnsiTheme="minorHAnsi"/>
          <w:color w:val="000000" w:themeColor="text1"/>
          <w:sz w:val="22"/>
          <w:szCs w:val="22"/>
          <w:lang w:val="en-US"/>
        </w:rPr>
        <w:t>NaOH</w:t>
      </w:r>
      <w:proofErr w:type="spellEnd"/>
      <w:r w:rsidRPr="7D14ED49">
        <w:rPr>
          <w:rFonts w:asciiTheme="minorHAnsi" w:eastAsia="MS PGothic" w:hAnsiTheme="minorHAnsi"/>
          <w:color w:val="000000" w:themeColor="text1"/>
          <w:sz w:val="22"/>
          <w:szCs w:val="22"/>
          <w:lang w:val="en-US"/>
        </w:rPr>
        <w:t xml:space="preserve"> in the non-ac</w:t>
      </w:r>
      <w:r>
        <w:rPr>
          <w:rFonts w:asciiTheme="minorHAnsi" w:eastAsia="MS PGothic" w:hAnsiTheme="minorHAnsi"/>
          <w:color w:val="000000" w:themeColor="text1"/>
          <w:sz w:val="22"/>
          <w:szCs w:val="22"/>
          <w:lang w:val="en-US"/>
        </w:rPr>
        <w:t>ti</w:t>
      </w:r>
      <w:r w:rsidRPr="7D14ED49">
        <w:rPr>
          <w:rFonts w:asciiTheme="minorHAnsi" w:eastAsia="MS PGothic" w:hAnsiTheme="minorHAnsi"/>
          <w:color w:val="000000" w:themeColor="text1"/>
          <w:sz w:val="22"/>
          <w:szCs w:val="22"/>
          <w:lang w:val="en-US"/>
        </w:rPr>
        <w:t>ve form suggesting its direct application for CO</w:t>
      </w:r>
      <w:r w:rsidRPr="00217636">
        <w:rPr>
          <w:rFonts w:asciiTheme="minorHAnsi" w:eastAsia="MS PGothic" w:hAnsiTheme="minorHAnsi"/>
          <w:color w:val="000000" w:themeColor="text1"/>
          <w:sz w:val="22"/>
          <w:szCs w:val="22"/>
          <w:vertAlign w:val="subscript"/>
          <w:lang w:val="en-US"/>
        </w:rPr>
        <w:t>2</w:t>
      </w:r>
      <w:r w:rsidRPr="7D14ED49">
        <w:rPr>
          <w:rFonts w:asciiTheme="minorHAnsi" w:eastAsia="MS PGothic" w:hAnsiTheme="minorHAnsi"/>
          <w:color w:val="000000" w:themeColor="text1"/>
          <w:sz w:val="22"/>
          <w:szCs w:val="22"/>
          <w:lang w:val="en-US"/>
        </w:rPr>
        <w:t xml:space="preserve"> capture. </w:t>
      </w:r>
    </w:p>
    <w:p w14:paraId="4B4F7C79" w14:textId="77777777" w:rsidR="00756C9B" w:rsidRDefault="00756C9B" w:rsidP="00756C9B">
      <w:pPr>
        <w:snapToGrid w:val="0"/>
        <w:spacing w:after="120"/>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14:paraId="436711E9" w14:textId="77777777" w:rsidR="00756C9B" w:rsidRPr="002F3F65"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fr-FR"/>
        </w:rPr>
      </w:pPr>
      <w:r>
        <w:rPr>
          <w:rFonts w:asciiTheme="minorHAnsi" w:eastAsia="SimSun" w:hAnsiTheme="minorHAnsi"/>
          <w:b/>
          <w:bCs/>
          <w:color w:val="000000"/>
          <w:sz w:val="20"/>
          <w:lang w:val="en-US" w:eastAsia="zh-CN"/>
        </w:rPr>
        <w:fldChar w:fldCharType="begin" w:fldLock="1"/>
      </w:r>
      <w:r>
        <w:rPr>
          <w:rFonts w:asciiTheme="minorHAnsi" w:eastAsia="SimSun" w:hAnsiTheme="minorHAnsi"/>
          <w:b/>
          <w:bCs/>
          <w:color w:val="000000"/>
          <w:sz w:val="20"/>
          <w:lang w:val="en-US" w:eastAsia="zh-CN"/>
        </w:rPr>
        <w:instrText xml:space="preserve">ADDIN Mendeley Bibliography CSL_BIBLIOGRAPHY </w:instrText>
      </w:r>
      <w:r>
        <w:rPr>
          <w:rFonts w:asciiTheme="minorHAnsi" w:eastAsia="SimSun" w:hAnsiTheme="minorHAnsi"/>
          <w:b/>
          <w:bCs/>
          <w:color w:val="000000"/>
          <w:sz w:val="20"/>
          <w:lang w:val="en-US" w:eastAsia="zh-CN"/>
        </w:rPr>
        <w:fldChar w:fldCharType="separate"/>
      </w:r>
      <w:r w:rsidRPr="00A932E1">
        <w:rPr>
          <w:rFonts w:ascii="Calibri" w:hAnsi="Calibri" w:cs="Calibri"/>
          <w:noProof/>
          <w:sz w:val="20"/>
          <w:szCs w:val="24"/>
        </w:rPr>
        <w:t>[1]</w:t>
      </w:r>
      <w:r w:rsidRPr="00A932E1">
        <w:rPr>
          <w:rFonts w:ascii="Calibri" w:hAnsi="Calibri" w:cs="Calibri"/>
          <w:noProof/>
          <w:sz w:val="20"/>
          <w:szCs w:val="24"/>
        </w:rPr>
        <w:tab/>
        <w:t>A. S</w:t>
      </w:r>
      <w:r>
        <w:rPr>
          <w:rFonts w:ascii="Calibri" w:hAnsi="Calibri" w:cs="Calibri"/>
          <w:noProof/>
          <w:sz w:val="20"/>
          <w:szCs w:val="24"/>
        </w:rPr>
        <w:t>. Brierley and M. J. Kingsford,</w:t>
      </w:r>
      <w:r w:rsidRPr="00A932E1">
        <w:rPr>
          <w:rFonts w:ascii="Calibri" w:hAnsi="Calibri" w:cs="Calibri"/>
          <w:noProof/>
          <w:sz w:val="20"/>
          <w:szCs w:val="24"/>
        </w:rPr>
        <w:t xml:space="preserve"> </w:t>
      </w:r>
      <w:r w:rsidRPr="00A932E1">
        <w:rPr>
          <w:rFonts w:ascii="Calibri" w:hAnsi="Calibri" w:cs="Calibri"/>
          <w:i/>
          <w:iCs/>
          <w:noProof/>
          <w:sz w:val="20"/>
          <w:szCs w:val="24"/>
        </w:rPr>
        <w:t>Current Biology</w:t>
      </w:r>
      <w:r w:rsidRPr="00A932E1">
        <w:rPr>
          <w:rFonts w:ascii="Calibri" w:hAnsi="Calibri" w:cs="Calibri"/>
          <w:noProof/>
          <w:sz w:val="20"/>
          <w:szCs w:val="24"/>
        </w:rPr>
        <w:t xml:space="preserve">. </w:t>
      </w:r>
      <w:r w:rsidRPr="002F3F65">
        <w:rPr>
          <w:rFonts w:ascii="Calibri" w:hAnsi="Calibri" w:cs="Calibri"/>
          <w:noProof/>
          <w:sz w:val="20"/>
          <w:szCs w:val="24"/>
          <w:lang w:val="fr-FR"/>
        </w:rPr>
        <w:t>2009.</w:t>
      </w:r>
    </w:p>
    <w:p w14:paraId="6426FD52" w14:textId="77777777" w:rsidR="00756C9B" w:rsidRPr="002F3F65"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fr-FR"/>
        </w:rPr>
      </w:pPr>
      <w:r w:rsidRPr="002F3F65">
        <w:rPr>
          <w:rFonts w:ascii="Calibri" w:hAnsi="Calibri" w:cs="Calibri"/>
          <w:noProof/>
          <w:sz w:val="20"/>
          <w:szCs w:val="24"/>
          <w:lang w:val="fr-FR"/>
        </w:rPr>
        <w:t>[2]</w:t>
      </w:r>
      <w:r w:rsidRPr="002F3F65">
        <w:rPr>
          <w:rFonts w:ascii="Calibri" w:hAnsi="Calibri" w:cs="Calibri"/>
          <w:noProof/>
          <w:sz w:val="20"/>
          <w:szCs w:val="24"/>
          <w:lang w:val="fr-FR"/>
        </w:rPr>
        <w:tab/>
        <w:t xml:space="preserve">P. Luis, </w:t>
      </w:r>
      <w:r w:rsidRPr="002F3F65">
        <w:rPr>
          <w:rFonts w:ascii="Calibri" w:hAnsi="Calibri" w:cs="Calibri"/>
          <w:i/>
          <w:iCs/>
          <w:noProof/>
          <w:sz w:val="20"/>
          <w:szCs w:val="24"/>
          <w:lang w:val="fr-FR"/>
        </w:rPr>
        <w:t>Desalination</w:t>
      </w:r>
      <w:r w:rsidRPr="002F3F65">
        <w:rPr>
          <w:rFonts w:ascii="Calibri" w:hAnsi="Calibri" w:cs="Calibri"/>
          <w:noProof/>
          <w:sz w:val="20"/>
          <w:szCs w:val="24"/>
          <w:lang w:val="fr-FR"/>
        </w:rPr>
        <w:t>. 2016.</w:t>
      </w:r>
    </w:p>
    <w:p w14:paraId="46D11F49" w14:textId="77777777" w:rsidR="00756C9B" w:rsidRPr="00217636"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en-US"/>
        </w:rPr>
      </w:pPr>
      <w:r w:rsidRPr="002F3F65">
        <w:rPr>
          <w:rFonts w:ascii="Calibri" w:hAnsi="Calibri" w:cs="Calibri"/>
          <w:noProof/>
          <w:sz w:val="20"/>
          <w:szCs w:val="24"/>
          <w:lang w:val="fr-FR"/>
        </w:rPr>
        <w:t>[3]</w:t>
      </w:r>
      <w:r w:rsidRPr="002F3F65">
        <w:rPr>
          <w:rFonts w:ascii="Calibri" w:hAnsi="Calibri" w:cs="Calibri"/>
          <w:noProof/>
          <w:sz w:val="20"/>
          <w:szCs w:val="24"/>
          <w:lang w:val="fr-FR"/>
        </w:rPr>
        <w:tab/>
        <w:t xml:space="preserve">E. I. Koytsoumpa, C. Bergins, and E. Kakaras, </w:t>
      </w:r>
      <w:r w:rsidRPr="002F3F65">
        <w:rPr>
          <w:rFonts w:ascii="Calibri" w:hAnsi="Calibri" w:cs="Calibri"/>
          <w:i/>
          <w:iCs/>
          <w:noProof/>
          <w:sz w:val="20"/>
          <w:szCs w:val="24"/>
          <w:lang w:val="fr-FR"/>
        </w:rPr>
        <w:t xml:space="preserve">J. Supercrit. </w:t>
      </w:r>
      <w:r w:rsidRPr="00217636">
        <w:rPr>
          <w:rFonts w:ascii="Calibri" w:hAnsi="Calibri" w:cs="Calibri"/>
          <w:i/>
          <w:iCs/>
          <w:noProof/>
          <w:sz w:val="20"/>
          <w:szCs w:val="24"/>
          <w:lang w:val="en-US"/>
        </w:rPr>
        <w:t>Fluids</w:t>
      </w:r>
      <w:r w:rsidRPr="00217636">
        <w:rPr>
          <w:rFonts w:ascii="Calibri" w:hAnsi="Calibri" w:cs="Calibri"/>
          <w:noProof/>
          <w:sz w:val="20"/>
          <w:szCs w:val="24"/>
          <w:lang w:val="en-US"/>
        </w:rPr>
        <w:t>, vol. 132, pp. 3–16, Feb. 2018.</w:t>
      </w:r>
    </w:p>
    <w:p w14:paraId="5FAA0DF5" w14:textId="77777777" w:rsidR="00756C9B" w:rsidRPr="00217636"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en-US"/>
        </w:rPr>
      </w:pPr>
      <w:r w:rsidRPr="00217636">
        <w:rPr>
          <w:rFonts w:ascii="Calibri" w:hAnsi="Calibri" w:cs="Calibri"/>
          <w:noProof/>
          <w:sz w:val="20"/>
          <w:szCs w:val="24"/>
          <w:lang w:val="en-US"/>
        </w:rPr>
        <w:t>[4]</w:t>
      </w:r>
      <w:r w:rsidRPr="00217636">
        <w:rPr>
          <w:rFonts w:ascii="Calibri" w:hAnsi="Calibri" w:cs="Calibri"/>
          <w:noProof/>
          <w:sz w:val="20"/>
          <w:szCs w:val="24"/>
          <w:lang w:val="en-US"/>
        </w:rPr>
        <w:tab/>
        <w:t xml:space="preserve">P. Luis and B. Van Der Bruggen, </w:t>
      </w:r>
      <w:r w:rsidRPr="00217636">
        <w:rPr>
          <w:rFonts w:ascii="Calibri" w:hAnsi="Calibri" w:cs="Calibri"/>
          <w:i/>
          <w:iCs/>
          <w:noProof/>
          <w:sz w:val="20"/>
          <w:szCs w:val="24"/>
          <w:lang w:val="en-US"/>
        </w:rPr>
        <w:t>Greenhouse Gases: Science and Technology</w:t>
      </w:r>
      <w:r w:rsidRPr="00217636">
        <w:rPr>
          <w:rFonts w:ascii="Calibri" w:hAnsi="Calibri" w:cs="Calibri"/>
          <w:noProof/>
          <w:sz w:val="20"/>
          <w:szCs w:val="24"/>
          <w:lang w:val="en-US"/>
        </w:rPr>
        <w:t>. 2013.</w:t>
      </w:r>
    </w:p>
    <w:p w14:paraId="19E65310" w14:textId="77777777" w:rsidR="00756C9B" w:rsidRPr="00217636"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nl-BE"/>
        </w:rPr>
      </w:pPr>
      <w:r w:rsidRPr="00217636">
        <w:rPr>
          <w:rFonts w:ascii="Calibri" w:hAnsi="Calibri" w:cs="Calibri"/>
          <w:noProof/>
          <w:sz w:val="20"/>
          <w:szCs w:val="24"/>
          <w:lang w:val="en-US"/>
        </w:rPr>
        <w:t>[5]</w:t>
      </w:r>
      <w:r w:rsidRPr="00217636">
        <w:rPr>
          <w:rFonts w:ascii="Calibri" w:hAnsi="Calibri" w:cs="Calibri"/>
          <w:noProof/>
          <w:sz w:val="20"/>
          <w:szCs w:val="24"/>
          <w:lang w:val="en-US"/>
        </w:rPr>
        <w:tab/>
        <w:t xml:space="preserve">F. Weisler, </w:t>
      </w:r>
      <w:r w:rsidRPr="00217636">
        <w:rPr>
          <w:rFonts w:ascii="Calibri" w:hAnsi="Calibri" w:cs="Calibri"/>
          <w:i/>
          <w:iCs/>
          <w:noProof/>
          <w:sz w:val="20"/>
          <w:szCs w:val="24"/>
          <w:lang w:val="en-US"/>
        </w:rPr>
        <w:t>Ultrapure Water</w:t>
      </w:r>
      <w:r w:rsidRPr="00217636">
        <w:rPr>
          <w:rFonts w:ascii="Calibri" w:hAnsi="Calibri" w:cs="Calibri"/>
          <w:noProof/>
          <w:sz w:val="20"/>
          <w:szCs w:val="24"/>
          <w:lang w:val="en-US"/>
        </w:rPr>
        <w:t xml:space="preserve">, no. </w:t>
      </w:r>
      <w:r w:rsidRPr="00217636">
        <w:rPr>
          <w:rFonts w:ascii="Calibri" w:hAnsi="Calibri" w:cs="Calibri"/>
          <w:noProof/>
          <w:sz w:val="20"/>
          <w:szCs w:val="24"/>
          <w:lang w:val="nl-BE"/>
        </w:rPr>
        <w:t>June, pp. 27–31, 1996.</w:t>
      </w:r>
    </w:p>
    <w:p w14:paraId="340D453C" w14:textId="77777777" w:rsidR="00756C9B" w:rsidRPr="00A932E1" w:rsidRDefault="00756C9B" w:rsidP="00756C9B">
      <w:pPr>
        <w:widowControl w:val="0"/>
        <w:autoSpaceDE w:val="0"/>
        <w:autoSpaceDN w:val="0"/>
        <w:adjustRightInd w:val="0"/>
        <w:spacing w:after="120" w:line="240" w:lineRule="auto"/>
        <w:ind w:left="640" w:hanging="640"/>
        <w:rPr>
          <w:rFonts w:ascii="Calibri" w:hAnsi="Calibri" w:cs="Calibri"/>
          <w:noProof/>
          <w:sz w:val="20"/>
          <w:szCs w:val="24"/>
        </w:rPr>
      </w:pPr>
      <w:r w:rsidRPr="00217636">
        <w:rPr>
          <w:rFonts w:ascii="Calibri" w:hAnsi="Calibri" w:cs="Calibri"/>
          <w:noProof/>
          <w:sz w:val="20"/>
          <w:szCs w:val="24"/>
          <w:lang w:val="nl-BE"/>
        </w:rPr>
        <w:t>[6]</w:t>
      </w:r>
      <w:r w:rsidRPr="00217636">
        <w:rPr>
          <w:rFonts w:ascii="Calibri" w:hAnsi="Calibri" w:cs="Calibri"/>
          <w:noProof/>
          <w:sz w:val="20"/>
          <w:szCs w:val="24"/>
          <w:lang w:val="nl-BE"/>
        </w:rPr>
        <w:tab/>
        <w:t xml:space="preserve">J. Van Holst, J. P. M. Niederer, G. F. Versteeg, and F. Science, vol. 31, no. 5. </w:t>
      </w:r>
      <w:r w:rsidRPr="00A932E1">
        <w:rPr>
          <w:rFonts w:ascii="Calibri" w:hAnsi="Calibri" w:cs="Calibri"/>
          <w:noProof/>
          <w:sz w:val="20"/>
          <w:szCs w:val="24"/>
        </w:rPr>
        <w:t>2012.</w:t>
      </w:r>
    </w:p>
    <w:p w14:paraId="7C25E004" w14:textId="77777777" w:rsidR="00756C9B" w:rsidRPr="00A932E1" w:rsidRDefault="00756C9B" w:rsidP="00756C9B">
      <w:pPr>
        <w:widowControl w:val="0"/>
        <w:autoSpaceDE w:val="0"/>
        <w:autoSpaceDN w:val="0"/>
        <w:adjustRightInd w:val="0"/>
        <w:spacing w:after="120" w:line="240" w:lineRule="auto"/>
        <w:ind w:left="640" w:hanging="640"/>
        <w:rPr>
          <w:rFonts w:ascii="Calibri" w:hAnsi="Calibri" w:cs="Calibri"/>
          <w:noProof/>
          <w:sz w:val="20"/>
          <w:szCs w:val="24"/>
        </w:rPr>
      </w:pPr>
      <w:r w:rsidRPr="00A932E1">
        <w:rPr>
          <w:rFonts w:ascii="Calibri" w:hAnsi="Calibri" w:cs="Calibri"/>
          <w:noProof/>
          <w:sz w:val="20"/>
          <w:szCs w:val="24"/>
        </w:rPr>
        <w:t>[7]</w:t>
      </w:r>
      <w:r w:rsidRPr="00A932E1">
        <w:rPr>
          <w:rFonts w:ascii="Calibri" w:hAnsi="Calibri" w:cs="Calibri"/>
          <w:noProof/>
          <w:sz w:val="20"/>
          <w:szCs w:val="24"/>
        </w:rPr>
        <w:tab/>
        <w:t xml:space="preserve">S. Shen, X. Feng, R. Zhao, U. K. Ghosh, and A. Chen, </w:t>
      </w:r>
      <w:r w:rsidRPr="00A932E1">
        <w:rPr>
          <w:rFonts w:ascii="Calibri" w:hAnsi="Calibri" w:cs="Calibri"/>
          <w:i/>
          <w:iCs/>
          <w:noProof/>
          <w:sz w:val="20"/>
          <w:szCs w:val="24"/>
        </w:rPr>
        <w:t>Chem. Eng. J.</w:t>
      </w:r>
      <w:r w:rsidRPr="00A932E1">
        <w:rPr>
          <w:rFonts w:ascii="Calibri" w:hAnsi="Calibri" w:cs="Calibri"/>
          <w:noProof/>
          <w:sz w:val="20"/>
          <w:szCs w:val="24"/>
        </w:rPr>
        <w:t>, vol. 222, pp. 478–487, 2013.</w:t>
      </w:r>
    </w:p>
    <w:p w14:paraId="540FF5C2" w14:textId="77777777" w:rsidR="00756C9B" w:rsidRPr="00217636" w:rsidRDefault="00756C9B" w:rsidP="00756C9B">
      <w:pPr>
        <w:widowControl w:val="0"/>
        <w:autoSpaceDE w:val="0"/>
        <w:autoSpaceDN w:val="0"/>
        <w:adjustRightInd w:val="0"/>
        <w:spacing w:after="120" w:line="240" w:lineRule="auto"/>
        <w:ind w:left="640" w:hanging="640"/>
        <w:rPr>
          <w:rFonts w:ascii="Calibri" w:hAnsi="Calibri" w:cs="Calibri"/>
          <w:noProof/>
          <w:sz w:val="20"/>
          <w:szCs w:val="24"/>
          <w:lang w:val="nl-BE"/>
        </w:rPr>
      </w:pPr>
      <w:r w:rsidRPr="00217636">
        <w:rPr>
          <w:rFonts w:ascii="Calibri" w:hAnsi="Calibri" w:cs="Calibri"/>
          <w:noProof/>
          <w:sz w:val="20"/>
          <w:szCs w:val="24"/>
          <w:lang w:val="nl-BE"/>
        </w:rPr>
        <w:t>[8]</w:t>
      </w:r>
      <w:r w:rsidRPr="00217636">
        <w:rPr>
          <w:rFonts w:ascii="Calibri" w:hAnsi="Calibri" w:cs="Calibri"/>
          <w:noProof/>
          <w:sz w:val="20"/>
          <w:szCs w:val="24"/>
          <w:lang w:val="nl-BE"/>
        </w:rPr>
        <w:tab/>
        <w:t xml:space="preserve">J. van Holst, G. F. Versteeg, D. W. F. Brilman, and J. A. Hogendoorn, </w:t>
      </w:r>
      <w:r w:rsidRPr="00217636">
        <w:rPr>
          <w:rFonts w:ascii="Calibri" w:hAnsi="Calibri" w:cs="Calibri"/>
          <w:i/>
          <w:iCs/>
          <w:noProof/>
          <w:sz w:val="20"/>
          <w:szCs w:val="24"/>
          <w:lang w:val="nl-BE"/>
        </w:rPr>
        <w:t>Chem. Eng. Sci.</w:t>
      </w:r>
      <w:r w:rsidRPr="00217636">
        <w:rPr>
          <w:rFonts w:ascii="Calibri" w:hAnsi="Calibri" w:cs="Calibri"/>
          <w:noProof/>
          <w:sz w:val="20"/>
          <w:szCs w:val="24"/>
          <w:lang w:val="nl-BE"/>
        </w:rPr>
        <w:t>, vol. 64, no. 1, pp. 59–68, 2009.</w:t>
      </w:r>
    </w:p>
    <w:p w14:paraId="0353FA82" w14:textId="77777777" w:rsidR="00756C9B" w:rsidRPr="00A932E1" w:rsidRDefault="00756C9B" w:rsidP="00756C9B">
      <w:pPr>
        <w:widowControl w:val="0"/>
        <w:autoSpaceDE w:val="0"/>
        <w:autoSpaceDN w:val="0"/>
        <w:adjustRightInd w:val="0"/>
        <w:spacing w:after="120" w:line="240" w:lineRule="auto"/>
        <w:ind w:left="640" w:hanging="640"/>
        <w:rPr>
          <w:rFonts w:ascii="Calibri" w:hAnsi="Calibri" w:cs="Calibri"/>
          <w:noProof/>
          <w:sz w:val="20"/>
        </w:rPr>
      </w:pPr>
      <w:r w:rsidRPr="00217636">
        <w:rPr>
          <w:rFonts w:ascii="Calibri" w:hAnsi="Calibri" w:cs="Calibri"/>
          <w:noProof/>
          <w:sz w:val="20"/>
          <w:szCs w:val="24"/>
          <w:lang w:val="nl-BE"/>
        </w:rPr>
        <w:t>[9]</w:t>
      </w:r>
      <w:r w:rsidRPr="00217636">
        <w:rPr>
          <w:rFonts w:ascii="Calibri" w:hAnsi="Calibri" w:cs="Calibri"/>
          <w:noProof/>
          <w:sz w:val="20"/>
          <w:szCs w:val="24"/>
          <w:lang w:val="nl-BE"/>
        </w:rPr>
        <w:tab/>
        <w:t xml:space="preserve">J. Van Holst, S. R. A. Kersten, and K. J. A. Hogendoorn, </w:t>
      </w:r>
      <w:r w:rsidRPr="00217636">
        <w:rPr>
          <w:rFonts w:ascii="Calibri" w:hAnsi="Calibri" w:cs="Calibri"/>
          <w:i/>
          <w:iCs/>
          <w:noProof/>
          <w:sz w:val="20"/>
          <w:szCs w:val="24"/>
          <w:lang w:val="nl-BE"/>
        </w:rPr>
        <w:t xml:space="preserve">J. Chem. Eng. </w:t>
      </w:r>
      <w:r w:rsidRPr="00A932E1">
        <w:rPr>
          <w:rFonts w:ascii="Calibri" w:hAnsi="Calibri" w:cs="Calibri"/>
          <w:i/>
          <w:iCs/>
          <w:noProof/>
          <w:sz w:val="20"/>
          <w:szCs w:val="24"/>
        </w:rPr>
        <w:t>Data</w:t>
      </w:r>
      <w:r>
        <w:rPr>
          <w:rFonts w:ascii="Calibri" w:hAnsi="Calibri" w:cs="Calibri"/>
          <w:noProof/>
          <w:sz w:val="20"/>
          <w:szCs w:val="24"/>
        </w:rPr>
        <w:t>, vol. 53, no. 6</w:t>
      </w:r>
      <w:r w:rsidRPr="00A932E1">
        <w:rPr>
          <w:rFonts w:ascii="Calibri" w:hAnsi="Calibri" w:cs="Calibri"/>
          <w:noProof/>
          <w:sz w:val="20"/>
          <w:szCs w:val="24"/>
        </w:rPr>
        <w:t>.</w:t>
      </w:r>
    </w:p>
    <w:p w14:paraId="47BDF756" w14:textId="77777777" w:rsidR="00756C9B" w:rsidRPr="00704BDF" w:rsidRDefault="00756C9B" w:rsidP="00756C9B">
      <w:pPr>
        <w:widowControl w:val="0"/>
        <w:autoSpaceDE w:val="0"/>
        <w:autoSpaceDN w:val="0"/>
        <w:adjustRightInd w:val="0"/>
        <w:spacing w:after="120" w:line="240" w:lineRule="auto"/>
        <w:rPr>
          <w:rFonts w:asciiTheme="minorHAnsi" w:eastAsia="SimSun" w:hAnsiTheme="minorHAnsi"/>
          <w:sz w:val="22"/>
          <w:szCs w:val="22"/>
          <w:lang w:eastAsia="zh-CN"/>
        </w:rPr>
      </w:pPr>
      <w:r>
        <w:rPr>
          <w:rFonts w:asciiTheme="minorHAnsi" w:eastAsia="SimSun" w:hAnsiTheme="minorHAnsi"/>
          <w:b/>
          <w:bCs/>
          <w:color w:val="000000"/>
          <w:sz w:val="20"/>
          <w:lang w:val="en-US" w:eastAsia="zh-CN"/>
        </w:rPr>
        <w:fldChar w:fldCharType="end"/>
      </w:r>
    </w:p>
    <w:p w14:paraId="5325D0A1" w14:textId="26616CEC" w:rsidR="00704BDF" w:rsidRPr="00704BDF" w:rsidRDefault="00704BDF" w:rsidP="00A932E1">
      <w:pPr>
        <w:widowControl w:val="0"/>
        <w:autoSpaceDE w:val="0"/>
        <w:autoSpaceDN w:val="0"/>
        <w:adjustRightInd w:val="0"/>
        <w:spacing w:after="120"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2ACA2" w14:textId="77777777" w:rsidR="00844E70" w:rsidRDefault="00844E70" w:rsidP="004F5E36">
      <w:r>
        <w:separator/>
      </w:r>
    </w:p>
  </w:endnote>
  <w:endnote w:type="continuationSeparator" w:id="0">
    <w:p w14:paraId="0CADB628" w14:textId="77777777" w:rsidR="00844E70" w:rsidRDefault="00844E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4AA8" w14:textId="77777777" w:rsidR="00844E70" w:rsidRDefault="00844E70" w:rsidP="004F5E36">
      <w:r>
        <w:separator/>
      </w:r>
    </w:p>
  </w:footnote>
  <w:footnote w:type="continuationSeparator" w:id="0">
    <w:p w14:paraId="0CBC1A16" w14:textId="77777777" w:rsidR="00844E70" w:rsidRDefault="00844E7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3B92" w14:textId="77777777" w:rsidR="00226D1B" w:rsidRDefault="00226D1B">
    <w:pPr>
      <w:pStyle w:val="Header"/>
    </w:pPr>
    <w:r>
      <w:rPr>
        <w:noProof/>
        <w:lang w:val="en-US"/>
      </w:rPr>
      <mc:AlternateContent>
        <mc:Choice Requires="wps">
          <w:drawing>
            <wp:anchor distT="0" distB="0" distL="114300" distR="114300" simplePos="0" relativeHeight="251666432" behindDoc="0" locked="0" layoutInCell="1" allowOverlap="1" wp14:anchorId="1313BFBC" wp14:editId="77AF3D1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18C7016F" wp14:editId="258EB8C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2E26" w14:textId="77777777" w:rsidR="00226D1B" w:rsidRPr="00DE0019" w:rsidRDefault="00226D1B"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6F5429CC" wp14:editId="0AD4601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17375F51" w14:textId="77777777" w:rsidR="00226D1B" w:rsidRDefault="00226D1B">
    <w:pPr>
      <w:pStyle w:val="Header"/>
    </w:pPr>
  </w:p>
  <w:p w14:paraId="4250757A" w14:textId="77777777" w:rsidR="00226D1B" w:rsidRDefault="00226D1B">
    <w:pPr>
      <w:pStyle w:val="Header"/>
    </w:pPr>
    <w:r>
      <w:rPr>
        <w:noProof/>
        <w:lang w:val="en-US"/>
      </w:rPr>
      <mc:AlternateContent>
        <mc:Choice Requires="wps">
          <w:drawing>
            <wp:anchor distT="0" distB="0" distL="114300" distR="114300" simplePos="0" relativeHeight="251660288" behindDoc="0" locked="0" layoutInCell="1" allowOverlap="1" wp14:anchorId="1076F1E7" wp14:editId="3E2AF07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6A23"/>
    <w:multiLevelType w:val="hybridMultilevel"/>
    <w:tmpl w:val="9A845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482C29"/>
    <w:multiLevelType w:val="hybridMultilevel"/>
    <w:tmpl w:val="C1C2D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43737"/>
    <w:multiLevelType w:val="hybridMultilevel"/>
    <w:tmpl w:val="557C0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5D3970"/>
    <w:multiLevelType w:val="hybridMultilevel"/>
    <w:tmpl w:val="6AC20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0C735A"/>
    <w:multiLevelType w:val="hybridMultilevel"/>
    <w:tmpl w:val="746CF61C"/>
    <w:lvl w:ilvl="0" w:tplc="55AE7936">
      <w:numFmt w:val="bullet"/>
      <w:lvlText w:val=""/>
      <w:lvlJc w:val="left"/>
      <w:pPr>
        <w:ind w:left="720" w:hanging="360"/>
      </w:pPr>
      <w:rPr>
        <w:rFonts w:ascii="Symbol" w:eastAsia="MS PGothic" w:hAnsi="Symbol" w:cs="Times New Roman" w:hint="default"/>
        <w:color w:val="00000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3"/>
  </w:num>
  <w:num w:numId="14">
    <w:abstractNumId w:val="17"/>
  </w:num>
  <w:num w:numId="15">
    <w:abstractNumId w:val="18"/>
  </w:num>
  <w:num w:numId="16">
    <w:abstractNumId w:val="20"/>
  </w:num>
  <w:num w:numId="17">
    <w:abstractNumId w:val="11"/>
  </w:num>
  <w:num w:numId="18">
    <w:abstractNumId w:val="15"/>
  </w:num>
  <w:num w:numId="19">
    <w:abstractNumId w:val="10"/>
  </w:num>
  <w:num w:numId="20">
    <w:abstractNumId w:val="14"/>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1AE1"/>
    <w:rsid w:val="0003148D"/>
    <w:rsid w:val="0006238C"/>
    <w:rsid w:val="00062A9A"/>
    <w:rsid w:val="00064950"/>
    <w:rsid w:val="000779D1"/>
    <w:rsid w:val="000A03B2"/>
    <w:rsid w:val="000D34BE"/>
    <w:rsid w:val="000D6D04"/>
    <w:rsid w:val="000E36F1"/>
    <w:rsid w:val="000E3A73"/>
    <w:rsid w:val="000E414A"/>
    <w:rsid w:val="0013121F"/>
    <w:rsid w:val="00134DE4"/>
    <w:rsid w:val="00150E59"/>
    <w:rsid w:val="0015622E"/>
    <w:rsid w:val="0018393C"/>
    <w:rsid w:val="00184AD6"/>
    <w:rsid w:val="00184CED"/>
    <w:rsid w:val="001B65C1"/>
    <w:rsid w:val="001C684B"/>
    <w:rsid w:val="001D53FC"/>
    <w:rsid w:val="001F2EC7"/>
    <w:rsid w:val="001F7A5F"/>
    <w:rsid w:val="002065DB"/>
    <w:rsid w:val="00226D1B"/>
    <w:rsid w:val="002447EF"/>
    <w:rsid w:val="00251550"/>
    <w:rsid w:val="002574B4"/>
    <w:rsid w:val="0027221A"/>
    <w:rsid w:val="00275B61"/>
    <w:rsid w:val="002961BB"/>
    <w:rsid w:val="002A7514"/>
    <w:rsid w:val="002C36E0"/>
    <w:rsid w:val="002C7394"/>
    <w:rsid w:val="002D1F12"/>
    <w:rsid w:val="002F3F65"/>
    <w:rsid w:val="003009B7"/>
    <w:rsid w:val="0030469C"/>
    <w:rsid w:val="00324D58"/>
    <w:rsid w:val="003723D4"/>
    <w:rsid w:val="003A7D1C"/>
    <w:rsid w:val="004236A4"/>
    <w:rsid w:val="0046164A"/>
    <w:rsid w:val="00462DCD"/>
    <w:rsid w:val="004D1162"/>
    <w:rsid w:val="004E4DD6"/>
    <w:rsid w:val="004F5E36"/>
    <w:rsid w:val="005119A5"/>
    <w:rsid w:val="005278B7"/>
    <w:rsid w:val="005346C8"/>
    <w:rsid w:val="005730E9"/>
    <w:rsid w:val="00594E9F"/>
    <w:rsid w:val="005A2A0C"/>
    <w:rsid w:val="005B23F1"/>
    <w:rsid w:val="005B61E6"/>
    <w:rsid w:val="005C77E1"/>
    <w:rsid w:val="005D6A2F"/>
    <w:rsid w:val="005E1A82"/>
    <w:rsid w:val="005F0A28"/>
    <w:rsid w:val="005F0E5E"/>
    <w:rsid w:val="00603757"/>
    <w:rsid w:val="00620DEE"/>
    <w:rsid w:val="00625639"/>
    <w:rsid w:val="0064184D"/>
    <w:rsid w:val="00660E3E"/>
    <w:rsid w:val="00662E74"/>
    <w:rsid w:val="00683D86"/>
    <w:rsid w:val="006A58D2"/>
    <w:rsid w:val="006B56C9"/>
    <w:rsid w:val="006C5579"/>
    <w:rsid w:val="00704BDF"/>
    <w:rsid w:val="00736B13"/>
    <w:rsid w:val="00737BF4"/>
    <w:rsid w:val="007447F3"/>
    <w:rsid w:val="007522ED"/>
    <w:rsid w:val="00756C9B"/>
    <w:rsid w:val="007661C8"/>
    <w:rsid w:val="007D52CD"/>
    <w:rsid w:val="00813288"/>
    <w:rsid w:val="008168FC"/>
    <w:rsid w:val="008236EA"/>
    <w:rsid w:val="00844E70"/>
    <w:rsid w:val="008479A2"/>
    <w:rsid w:val="0087637F"/>
    <w:rsid w:val="008A1512"/>
    <w:rsid w:val="008D0BEB"/>
    <w:rsid w:val="008E566E"/>
    <w:rsid w:val="008F1F21"/>
    <w:rsid w:val="00901EB6"/>
    <w:rsid w:val="009036ED"/>
    <w:rsid w:val="009450CE"/>
    <w:rsid w:val="00946F59"/>
    <w:rsid w:val="0095164B"/>
    <w:rsid w:val="0097116F"/>
    <w:rsid w:val="00985873"/>
    <w:rsid w:val="009953AC"/>
    <w:rsid w:val="00996483"/>
    <w:rsid w:val="009B4ECF"/>
    <w:rsid w:val="009C1D3F"/>
    <w:rsid w:val="009D6BF8"/>
    <w:rsid w:val="009E1042"/>
    <w:rsid w:val="009E788A"/>
    <w:rsid w:val="00A1763D"/>
    <w:rsid w:val="00A17CEC"/>
    <w:rsid w:val="00A27EF0"/>
    <w:rsid w:val="00A76EFC"/>
    <w:rsid w:val="00A932E1"/>
    <w:rsid w:val="00A9626B"/>
    <w:rsid w:val="00A97F29"/>
    <w:rsid w:val="00AB0964"/>
    <w:rsid w:val="00AD47B0"/>
    <w:rsid w:val="00AE377D"/>
    <w:rsid w:val="00B1329A"/>
    <w:rsid w:val="00B2068D"/>
    <w:rsid w:val="00B6125E"/>
    <w:rsid w:val="00B61DBF"/>
    <w:rsid w:val="00B74A1E"/>
    <w:rsid w:val="00BB6073"/>
    <w:rsid w:val="00BC30C9"/>
    <w:rsid w:val="00BC7130"/>
    <w:rsid w:val="00BE3E58"/>
    <w:rsid w:val="00BF41EC"/>
    <w:rsid w:val="00BF73AD"/>
    <w:rsid w:val="00C01616"/>
    <w:rsid w:val="00C0162B"/>
    <w:rsid w:val="00C33353"/>
    <w:rsid w:val="00C345B1"/>
    <w:rsid w:val="00C40142"/>
    <w:rsid w:val="00C57182"/>
    <w:rsid w:val="00C61E72"/>
    <w:rsid w:val="00C655FD"/>
    <w:rsid w:val="00C867B1"/>
    <w:rsid w:val="00C90C7D"/>
    <w:rsid w:val="00C94434"/>
    <w:rsid w:val="00CA1C95"/>
    <w:rsid w:val="00CA2D07"/>
    <w:rsid w:val="00CA3722"/>
    <w:rsid w:val="00CA5A9C"/>
    <w:rsid w:val="00CB1F4F"/>
    <w:rsid w:val="00CD5FE2"/>
    <w:rsid w:val="00D02B4C"/>
    <w:rsid w:val="00D0322C"/>
    <w:rsid w:val="00D40755"/>
    <w:rsid w:val="00D407A3"/>
    <w:rsid w:val="00D55088"/>
    <w:rsid w:val="00D84576"/>
    <w:rsid w:val="00DB6D4D"/>
    <w:rsid w:val="00DC289C"/>
    <w:rsid w:val="00DC7708"/>
    <w:rsid w:val="00DE0019"/>
    <w:rsid w:val="00DE264A"/>
    <w:rsid w:val="00E041E7"/>
    <w:rsid w:val="00E23CA1"/>
    <w:rsid w:val="00E24EB7"/>
    <w:rsid w:val="00E409A8"/>
    <w:rsid w:val="00E7209D"/>
    <w:rsid w:val="00EA50E1"/>
    <w:rsid w:val="00EC0F2D"/>
    <w:rsid w:val="00EE0131"/>
    <w:rsid w:val="00EE2D70"/>
    <w:rsid w:val="00EF257D"/>
    <w:rsid w:val="00F30C64"/>
    <w:rsid w:val="00F512FF"/>
    <w:rsid w:val="00F91E65"/>
    <w:rsid w:val="00FB730C"/>
    <w:rsid w:val="00FC2695"/>
    <w:rsid w:val="00FC3E03"/>
    <w:rsid w:val="00FE4E31"/>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6AD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18393C"/>
    <w:rPr>
      <w:color w:val="808080"/>
    </w:rPr>
  </w:style>
  <w:style w:type="paragraph" w:styleId="ListParagraph">
    <w:name w:val="List Paragraph"/>
    <w:basedOn w:val="Normal"/>
    <w:uiPriority w:val="34"/>
    <w:qFormat/>
    <w:locked/>
    <w:rsid w:val="006B56C9"/>
    <w:pPr>
      <w:ind w:left="720"/>
      <w:contextualSpacing/>
    </w:pPr>
  </w:style>
  <w:style w:type="character" w:styleId="CommentReference">
    <w:name w:val="annotation reference"/>
    <w:basedOn w:val="DefaultParagraphFont"/>
    <w:uiPriority w:val="99"/>
    <w:semiHidden/>
    <w:unhideWhenUsed/>
    <w:locked/>
    <w:rsid w:val="00DC7708"/>
    <w:rPr>
      <w:sz w:val="16"/>
      <w:szCs w:val="16"/>
    </w:rPr>
  </w:style>
  <w:style w:type="character" w:styleId="FootnoteReference">
    <w:name w:val="footnote reference"/>
    <w:basedOn w:val="DefaultParagraphFont"/>
    <w:uiPriority w:val="99"/>
    <w:semiHidden/>
    <w:unhideWhenUsed/>
    <w:locked/>
    <w:rsid w:val="002C7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63C1-57D9-41A3-8F27-5E8223B6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3348</Words>
  <Characters>19089</Characters>
  <Application>Microsoft Office Word</Application>
  <DocSecurity>0</DocSecurity>
  <Lines>159</Lines>
  <Paragraphs>44</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Vida Sang Sefidi</cp:lastModifiedBy>
  <cp:revision>33</cp:revision>
  <cp:lastPrinted>2015-05-12T18:31:00Z</cp:lastPrinted>
  <dcterms:created xsi:type="dcterms:W3CDTF">2018-05-26T08:49:00Z</dcterms:created>
  <dcterms:modified xsi:type="dcterms:W3CDTF">2019-05-30T10:51:00Z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794ddc4c-4f7e-3641-be93-e1694aa75189</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