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4409C6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_Hlk10188341"/>
      <w:bookmarkStart w:id="1" w:name="_GoBack"/>
      <w:r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Towards the recovery of refrigerant gases from end-of-life equipment: s</w:t>
      </w:r>
      <w:r w:rsidR="008D2B72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tudy of the </w:t>
      </w:r>
      <w:r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separation </w:t>
      </w:r>
      <w:r w:rsidR="008D2B72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performance of</w:t>
      </w:r>
      <w:r w:rsidR="00EE4E92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 </w:t>
      </w:r>
      <w:r w:rsidR="008D2B72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polymer</w:t>
      </w:r>
      <w:r w:rsidR="00EE4E92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 </w:t>
      </w:r>
      <w:r w:rsidR="008D2B72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membranes</w:t>
      </w:r>
      <w:bookmarkEnd w:id="1"/>
      <w:r w:rsidR="008D2B72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 </w:t>
      </w:r>
    </w:p>
    <w:bookmarkEnd w:id="0"/>
    <w:p w:rsidR="00DE0019" w:rsidRPr="008D2B72" w:rsidRDefault="005E4F84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8D2B72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Fernando Pardo</w:t>
      </w:r>
      <w:r w:rsidR="00D6682E" w:rsidRPr="008D2B7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*</w:t>
      </w:r>
      <w:r w:rsidR="00736B13" w:rsidRPr="008D2B72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</w:t>
      </w:r>
      <w:r w:rsidR="008D2B72" w:rsidRPr="008D2B72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Gabriel Zarca</w:t>
      </w:r>
      <w:r w:rsidR="008D2B72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Ana Urtiaga</w:t>
      </w:r>
    </w:p>
    <w:p w:rsidR="00D22D20" w:rsidRPr="00D22D20" w:rsidRDefault="00D22D20" w:rsidP="00D22D20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22D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Chemical and Biomolecular Engineering, Universi</w:t>
      </w:r>
      <w:r w:rsidR="00C1767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dad de</w:t>
      </w:r>
      <w:r w:rsidRPr="00D22D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Cantabria, </w:t>
      </w:r>
    </w:p>
    <w:p w:rsidR="00D22D20" w:rsidRPr="004409C6" w:rsidRDefault="00D22D20" w:rsidP="00D22D20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ES"/>
        </w:rPr>
      </w:pPr>
      <w:r w:rsidRPr="004409C6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Av. </w:t>
      </w:r>
      <w:r w:rsidR="004409C6" w:rsidRPr="004409C6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de </w:t>
      </w:r>
      <w:r w:rsidRPr="004409C6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Los Castros s/n. Santander 39005, Spain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7705C7">
        <w:rPr>
          <w:rFonts w:asciiTheme="minorHAnsi" w:eastAsia="MS PGothic" w:hAnsiTheme="minorHAnsi"/>
          <w:bCs/>
          <w:i/>
          <w:iCs/>
          <w:sz w:val="20"/>
          <w:lang w:val="en-US"/>
        </w:rPr>
        <w:t>pardof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7705C7">
        <w:rPr>
          <w:rFonts w:asciiTheme="minorHAnsi" w:eastAsia="MS PGothic" w:hAnsiTheme="minorHAnsi"/>
          <w:bCs/>
          <w:i/>
          <w:iCs/>
          <w:sz w:val="20"/>
          <w:lang w:val="en-US"/>
        </w:rPr>
        <w:t>unican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7705C7">
        <w:rPr>
          <w:rFonts w:asciiTheme="minorHAnsi" w:eastAsia="MS PGothic" w:hAnsiTheme="minorHAnsi"/>
          <w:bCs/>
          <w:i/>
          <w:iCs/>
          <w:sz w:val="20"/>
          <w:lang w:val="en-US"/>
        </w:rPr>
        <w:t>es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37123D" w:rsidRDefault="009A2E5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Two</w:t>
      </w:r>
      <w:r w:rsidR="0037123D">
        <w:rPr>
          <w:rFonts w:asciiTheme="minorHAnsi" w:hAnsiTheme="minorHAnsi"/>
        </w:rPr>
        <w:t xml:space="preserve"> fluorinated gases have been considered for this study (R-32</w:t>
      </w:r>
      <w:r>
        <w:rPr>
          <w:rFonts w:asciiTheme="minorHAnsi" w:hAnsiTheme="minorHAnsi"/>
        </w:rPr>
        <w:t xml:space="preserve"> and </w:t>
      </w:r>
      <w:r w:rsidR="0037123D">
        <w:rPr>
          <w:rFonts w:asciiTheme="minorHAnsi" w:hAnsiTheme="minorHAnsi"/>
        </w:rPr>
        <w:t>R-134a).</w:t>
      </w:r>
    </w:p>
    <w:p w:rsidR="00D1237B" w:rsidRDefault="00D1237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Gas permeability and gas pair selectivity were compared for material discrimination.</w:t>
      </w:r>
    </w:p>
    <w:p w:rsidR="00704BDF" w:rsidRPr="00D1237B" w:rsidRDefault="008D2B7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D1237B">
        <w:rPr>
          <w:rFonts w:asciiTheme="minorHAnsi" w:hAnsiTheme="minorHAnsi"/>
        </w:rPr>
        <w:t>Rubbery polymers have shown promising properties for the recovery of fluorinated gases.</w:t>
      </w:r>
    </w:p>
    <w:p w:rsidR="0037123D" w:rsidRDefault="001B7469" w:rsidP="0037123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Fluorine in the hydrocarbon chains has a remarkable effect on membrane performance.</w:t>
      </w:r>
    </w:p>
    <w:p w:rsidR="00704BDF" w:rsidRPr="0060369D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sz w:val="20"/>
          <w:lang w:val="en-US" w:eastAsia="zh-CN"/>
        </w:rPr>
      </w:pPr>
    </w:p>
    <w:p w:rsidR="00704BDF" w:rsidRPr="008D0BEB" w:rsidRDefault="00704BDF" w:rsidP="001A2ED2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BB434C" w:rsidRDefault="00242BD9" w:rsidP="00CA379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Hydrofluorocarbon gases (HFCs) are the third generation of fluorine-based refrigerant</w:t>
      </w:r>
      <w:r w:rsidR="00C176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s.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absence of chlorine </w:t>
      </w:r>
      <w:r w:rsidR="00C176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atoms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</w:t>
      </w:r>
      <w:r w:rsidR="00C17674">
        <w:rPr>
          <w:rFonts w:asciiTheme="minorHAnsi" w:eastAsia="MS PGothic" w:hAnsiTheme="minorHAnsi"/>
          <w:color w:val="000000"/>
          <w:sz w:val="22"/>
          <w:szCs w:val="22"/>
          <w:lang w:val="en-US"/>
        </w:rPr>
        <w:t>ir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molecular structure</w:t>
      </w:r>
      <w:r w:rsidR="00C17674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makes HFCs to be considered as ozone-friendly gases. Despite this fact, HFCs are powerful greenhouse gases and </w:t>
      </w:r>
      <w:r w:rsidR="00630CD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new regulations (</w:t>
      </w:r>
      <w:r w:rsidR="00944297" w:rsidRPr="00944297">
        <w:rPr>
          <w:rFonts w:asciiTheme="minorHAnsi" w:eastAsia="MS PGothic" w:hAnsiTheme="minorHAnsi"/>
          <w:color w:val="000000"/>
          <w:sz w:val="22"/>
          <w:szCs w:val="22"/>
          <w:lang w:val="en-US"/>
        </w:rPr>
        <w:t>EU No 517/2014 and Kigali Amendment to</w:t>
      </w:r>
      <w:r w:rsidR="009442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Montreal Protocol in 2016)</w:t>
      </w:r>
      <w:r w:rsidR="00630C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looking for a</w:t>
      </w:r>
      <w:r w:rsidR="00CA3792">
        <w:rPr>
          <w:rFonts w:asciiTheme="minorHAnsi" w:eastAsia="MS PGothic" w:hAnsiTheme="minorHAnsi"/>
          <w:color w:val="000000"/>
          <w:sz w:val="22"/>
          <w:szCs w:val="22"/>
          <w:lang w:val="en-US"/>
        </w:rPr>
        <w:t>n 85%</w:t>
      </w:r>
      <w:r w:rsidR="009442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reduction </w:t>
      </w:r>
      <w:r w:rsidR="00CA379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</w:t>
      </w:r>
      <w:r w:rsidR="00630CDC">
        <w:rPr>
          <w:rFonts w:asciiTheme="minorHAnsi" w:eastAsia="MS PGothic" w:hAnsiTheme="minorHAnsi"/>
          <w:color w:val="000000"/>
          <w:sz w:val="22"/>
          <w:szCs w:val="22"/>
          <w:lang w:val="en-US"/>
        </w:rPr>
        <w:t>ir</w:t>
      </w:r>
      <w:r w:rsidR="00CA37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 and consumption </w:t>
      </w:r>
      <w:r w:rsidR="00790A04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2047</w:t>
      </w:r>
      <w:r w:rsidR="00EE4E9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A3D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context,</w:t>
      </w:r>
      <w:r w:rsidR="00EE4E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97C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research efforts should be dedicated </w:t>
      </w:r>
      <w:r w:rsidR="004409C6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997C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development of new separation technologies to facilitate the reuse and recycling of these compounds.</w:t>
      </w:r>
      <w:r w:rsidR="005807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1033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Therefore</w:t>
      </w:r>
      <w:r w:rsidR="00E93D5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application of membrane technology, a cost-effective alternative to cryogenic distillation and pressure swing adsorption,</w:t>
      </w:r>
      <w:r w:rsidR="00D103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envisaged to</w:t>
      </w:r>
      <w:r w:rsidR="00E93D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play an important role</w:t>
      </w:r>
      <w:r w:rsidR="005807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reduction of HFCs emissions.</w:t>
      </w:r>
    </w:p>
    <w:p w:rsidR="004447FA" w:rsidRDefault="00D1033E" w:rsidP="00EC058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 technology has reached a state of maturity in the recovery of several gases, such as H</w:t>
      </w:r>
      <w:r w:rsidR="002F3C3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ammonia purge gas or from refinery flue gases,</w:t>
      </w:r>
      <w:r w:rsidR="002F3C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recovery of CO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natural gas mixtures, </w:t>
      </w:r>
      <w:proofErr w:type="spellStart"/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etc</w:t>
      </w:r>
      <w:proofErr w:type="spellEnd"/>
      <w:r w:rsidR="009A2E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[</w:t>
      </w:r>
      <w:proofErr w:type="gramEnd"/>
      <w:r w:rsidR="009A2E58">
        <w:rPr>
          <w:rFonts w:asciiTheme="minorHAnsi" w:eastAsia="MS PGothic" w:hAnsiTheme="minorHAnsi"/>
          <w:color w:val="000000"/>
          <w:sz w:val="22"/>
          <w:szCs w:val="22"/>
          <w:lang w:val="en-US"/>
        </w:rPr>
        <w:t>2]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Nevertheless, there is a lack of research data in the separation of fluorinated-based refrigerant gases. In this sense, this work aims at providing novel information about the permeation properties of some of the most used refrigerant gases, R32</w:t>
      </w:r>
      <w:r w:rsidR="004447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R134a</w:t>
      </w:r>
      <w:r w:rsidR="004447F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AB1FC9" w:rsidRDefault="00AB1FC9" w:rsidP="00EC058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AB1FC9">
        <w:rPr>
          <w:rFonts w:asciiTheme="minorHAnsi" w:eastAsia="MS PGothic" w:hAnsiTheme="minorHAnsi"/>
          <w:color w:val="000000"/>
          <w:sz w:val="22"/>
          <w:szCs w:val="22"/>
        </w:rPr>
        <w:t xml:space="preserve">Therefore, this work shows the permeation properties of the aforementioned fluorinated-based gases </w:t>
      </w:r>
      <w:r>
        <w:rPr>
          <w:rFonts w:asciiTheme="minorHAnsi" w:eastAsia="MS PGothic" w:hAnsiTheme="minorHAnsi"/>
          <w:color w:val="000000"/>
          <w:sz w:val="22"/>
          <w:szCs w:val="22"/>
        </w:rPr>
        <w:t>in different membranes (</w:t>
      </w:r>
      <w:r w:rsidR="009A2E58">
        <w:rPr>
          <w:rFonts w:asciiTheme="minorHAnsi" w:eastAsia="MS PGothic" w:hAnsiTheme="minorHAnsi"/>
          <w:color w:val="000000"/>
          <w:sz w:val="22"/>
          <w:szCs w:val="22"/>
        </w:rPr>
        <w:t xml:space="preserve">glassy and rubbery polymers)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for the first time. </w:t>
      </w:r>
    </w:p>
    <w:p w:rsidR="004447FA" w:rsidRDefault="004447FA" w:rsidP="00EC058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523415" w:rsidRPr="00523415" w:rsidRDefault="00523415" w:rsidP="00523415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polymeric films were synthetized by the solvent casting method</w:t>
      </w:r>
      <w:r w:rsidR="009442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resulting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films</w:t>
      </w:r>
      <w:r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had an average thickness </w:t>
      </w:r>
      <w:r w:rsidR="003B1A78">
        <w:rPr>
          <w:rFonts w:asciiTheme="minorHAnsi" w:eastAsia="MS PGothic" w:hAnsiTheme="minorHAnsi"/>
          <w:color w:val="000000"/>
          <w:sz w:val="22"/>
          <w:szCs w:val="22"/>
          <w:lang w:val="en-US"/>
        </w:rPr>
        <w:t>below</w:t>
      </w:r>
      <w:r w:rsidR="003B1A78"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100 </w:t>
      </w:r>
      <w:r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µm. Single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mixed gas</w:t>
      </w:r>
      <w:r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permeation tests were performed with H</w:t>
      </w:r>
      <w:r w:rsidRPr="00D22D2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N</w:t>
      </w:r>
      <w:r w:rsidRPr="00D22D2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R32</w:t>
      </w:r>
      <w:r w:rsidR="009A2E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R134a </w:t>
      </w:r>
      <w:r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r w:rsidR="00C176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several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</w:t>
      </w:r>
      <w:r w:rsidR="00264B7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t>303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- 353</w:t>
      </w:r>
      <w:r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feed pressures </w:t>
      </w:r>
      <w:r w:rsidR="00264B7F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264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- 5</w:t>
      </w:r>
      <w:r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bar</w:t>
      </w:r>
      <w:r w:rsidR="00264B7F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experimental setup</w:t>
      </w:r>
      <w:r w:rsidR="00264B7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based on continuous permeation of gases,</w:t>
      </w:r>
      <w:r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described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previous works [</w:t>
      </w:r>
      <w:r w:rsidR="003B6A36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52341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EA7622" w:rsidRPr="0094768C" w:rsidRDefault="0084131D" w:rsidP="009B02D3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This work reports on the effect</w:t>
      </w:r>
      <w:r w:rsidRPr="0084131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of pressure and temperature on the refrigerant permeation properties through </w:t>
      </w:r>
      <w:r w:rsidR="00B048F9">
        <w:rPr>
          <w:rFonts w:asciiTheme="minorHAnsi" w:eastAsia="MS PGothic" w:hAnsiTheme="minorHAnsi"/>
          <w:color w:val="000000"/>
          <w:sz w:val="22"/>
          <w:szCs w:val="22"/>
        </w:rPr>
        <w:t xml:space="preserve">rubbery </w:t>
      </w:r>
      <w:r>
        <w:rPr>
          <w:rFonts w:asciiTheme="minorHAnsi" w:eastAsia="MS PGothic" w:hAnsiTheme="minorHAnsi"/>
          <w:color w:val="000000"/>
          <w:sz w:val="22"/>
          <w:szCs w:val="22"/>
        </w:rPr>
        <w:t>polymeric membranes</w:t>
      </w:r>
      <w:r w:rsidR="00B048F9">
        <w:rPr>
          <w:rFonts w:asciiTheme="minorHAnsi" w:eastAsia="MS PGothic" w:hAnsiTheme="minorHAnsi"/>
          <w:color w:val="000000"/>
          <w:sz w:val="22"/>
          <w:szCs w:val="22"/>
        </w:rPr>
        <w:t xml:space="preserve"> (different PEBAX grades and PVDF-HFP)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AB1FC9">
        <w:rPr>
          <w:rFonts w:asciiTheme="minorHAnsi" w:eastAsia="MS PGothic" w:hAnsiTheme="minorHAnsi"/>
          <w:sz w:val="22"/>
          <w:szCs w:val="22"/>
          <w:lang w:val="en-US"/>
        </w:rPr>
        <w:t xml:space="preserve">The experimental results show a linear increase of the permeability of all gases with pressure, </w:t>
      </w:r>
      <w:r w:rsidR="00EA7622">
        <w:rPr>
          <w:rFonts w:asciiTheme="minorHAnsi" w:eastAsia="MS PGothic" w:hAnsiTheme="minorHAnsi"/>
          <w:sz w:val="22"/>
          <w:szCs w:val="22"/>
          <w:lang w:val="en-US"/>
        </w:rPr>
        <w:t xml:space="preserve">a common effect of organic vapors and condensable gases. </w:t>
      </w:r>
      <w:r w:rsidR="00C17674"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EA7622">
        <w:rPr>
          <w:rFonts w:asciiTheme="minorHAnsi" w:eastAsia="MS PGothic" w:hAnsiTheme="minorHAnsi"/>
          <w:sz w:val="22"/>
          <w:szCs w:val="22"/>
          <w:lang w:val="en-US"/>
        </w:rPr>
        <w:t>he activation energy of permeation of the different gases on the polymers which offered the best separation performances</w:t>
      </w:r>
      <w:r w:rsidR="00C17674">
        <w:rPr>
          <w:rFonts w:asciiTheme="minorHAnsi" w:eastAsia="MS PGothic" w:hAnsiTheme="minorHAnsi"/>
          <w:sz w:val="22"/>
          <w:szCs w:val="22"/>
          <w:lang w:val="en-US"/>
        </w:rPr>
        <w:t xml:space="preserve"> was also calculated</w:t>
      </w:r>
      <w:r w:rsidR="00EA7622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0A6704">
        <w:rPr>
          <w:rFonts w:asciiTheme="minorHAnsi" w:eastAsia="MS PGothic" w:hAnsiTheme="minorHAnsi"/>
          <w:color w:val="000000"/>
          <w:sz w:val="22"/>
          <w:szCs w:val="22"/>
        </w:rPr>
        <w:t xml:space="preserve">This work also </w:t>
      </w:r>
      <w:r w:rsidR="00A01F6E">
        <w:rPr>
          <w:rFonts w:asciiTheme="minorHAnsi" w:eastAsia="MS PGothic" w:hAnsiTheme="minorHAnsi"/>
          <w:color w:val="000000"/>
          <w:sz w:val="22"/>
          <w:szCs w:val="22"/>
        </w:rPr>
        <w:t>presents</w:t>
      </w:r>
      <w:r w:rsidR="000A6704">
        <w:rPr>
          <w:rFonts w:asciiTheme="minorHAnsi" w:eastAsia="MS PGothic" w:hAnsiTheme="minorHAnsi"/>
          <w:color w:val="000000"/>
          <w:sz w:val="22"/>
          <w:szCs w:val="22"/>
        </w:rPr>
        <w:t xml:space="preserve"> the study of the effect of the fluorine substitution in the molecular structure by comparing the permeability of the fluorinated gases with their respective hydrocarbon analogues (CH</w:t>
      </w:r>
      <w:r w:rsidR="000A6704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0A6704">
        <w:rPr>
          <w:rFonts w:asciiTheme="minorHAnsi" w:eastAsia="MS PGothic" w:hAnsiTheme="minorHAnsi"/>
          <w:color w:val="000000"/>
          <w:sz w:val="22"/>
          <w:szCs w:val="22"/>
        </w:rPr>
        <w:t>, C</w:t>
      </w:r>
      <w:r w:rsidR="000A6704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0A6704">
        <w:rPr>
          <w:rFonts w:asciiTheme="minorHAnsi" w:eastAsia="MS PGothic" w:hAnsiTheme="minorHAnsi"/>
          <w:color w:val="000000"/>
          <w:sz w:val="22"/>
          <w:szCs w:val="22"/>
        </w:rPr>
        <w:t>H</w:t>
      </w:r>
      <w:r w:rsidR="000A6704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6</w:t>
      </w:r>
      <w:r w:rsidR="000A6704">
        <w:rPr>
          <w:rFonts w:asciiTheme="minorHAnsi" w:eastAsia="MS PGothic" w:hAnsiTheme="minorHAnsi"/>
          <w:color w:val="000000"/>
          <w:sz w:val="22"/>
          <w:szCs w:val="22"/>
        </w:rPr>
        <w:t xml:space="preserve"> and C</w:t>
      </w:r>
      <w:r w:rsidR="000A6704" w:rsidRPr="00D61750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0A6704">
        <w:rPr>
          <w:rFonts w:asciiTheme="minorHAnsi" w:eastAsia="MS PGothic" w:hAnsiTheme="minorHAnsi"/>
          <w:color w:val="000000"/>
          <w:sz w:val="22"/>
          <w:szCs w:val="22"/>
        </w:rPr>
        <w:t>H</w:t>
      </w:r>
      <w:r w:rsidR="000A6704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6</w:t>
      </w:r>
      <w:r w:rsidR="000A6704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4447FA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EA7622" w:rsidRPr="00EA7622" w:rsidRDefault="00EA7622" w:rsidP="009B02D3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EA7622">
        <w:rPr>
          <w:rFonts w:asciiTheme="minorHAnsi" w:eastAsia="MS PGothic" w:hAnsiTheme="minorHAnsi"/>
          <w:sz w:val="22"/>
          <w:szCs w:val="22"/>
          <w:lang w:val="en-US"/>
        </w:rPr>
        <w:t xml:space="preserve">In light of these results, </w:t>
      </w:r>
      <w:r w:rsidR="00B048F9">
        <w:rPr>
          <w:rFonts w:asciiTheme="minorHAnsi" w:eastAsia="MS PGothic" w:hAnsiTheme="minorHAnsi"/>
          <w:sz w:val="22"/>
          <w:szCs w:val="22"/>
          <w:lang w:val="en-US"/>
        </w:rPr>
        <w:t>polymer membranes</w:t>
      </w:r>
      <w:r w:rsidR="004447F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F3D8C">
        <w:rPr>
          <w:rFonts w:asciiTheme="minorHAnsi" w:eastAsia="MS PGothic" w:hAnsiTheme="minorHAnsi"/>
          <w:sz w:val="22"/>
          <w:szCs w:val="22"/>
          <w:lang w:val="en-US"/>
        </w:rPr>
        <w:t>are presented as potential</w:t>
      </w:r>
      <w:r w:rsidR="004447FA">
        <w:rPr>
          <w:rFonts w:asciiTheme="minorHAnsi" w:eastAsia="MS PGothic" w:hAnsiTheme="minorHAnsi"/>
          <w:sz w:val="22"/>
          <w:szCs w:val="22"/>
          <w:lang w:val="en-US"/>
        </w:rPr>
        <w:t xml:space="preserve"> candidates</w:t>
      </w:r>
      <w:r w:rsidR="002F3D8C">
        <w:rPr>
          <w:rFonts w:asciiTheme="minorHAnsi" w:eastAsia="MS PGothic" w:hAnsiTheme="minorHAnsi"/>
          <w:sz w:val="22"/>
          <w:szCs w:val="22"/>
          <w:lang w:val="en-US"/>
        </w:rPr>
        <w:t xml:space="preserve"> with exceptional properties</w:t>
      </w:r>
      <w:r w:rsidR="004447F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B048F9">
        <w:rPr>
          <w:rFonts w:asciiTheme="minorHAnsi" w:eastAsia="MS PGothic" w:hAnsiTheme="minorHAnsi"/>
          <w:sz w:val="22"/>
          <w:szCs w:val="22"/>
          <w:lang w:val="en-US"/>
        </w:rPr>
        <w:t xml:space="preserve">for </w:t>
      </w:r>
      <w:r w:rsidR="00DD05B7">
        <w:rPr>
          <w:rFonts w:asciiTheme="minorHAnsi" w:eastAsia="MS PGothic" w:hAnsiTheme="minorHAnsi"/>
          <w:sz w:val="22"/>
          <w:szCs w:val="22"/>
          <w:lang w:val="en-US"/>
        </w:rPr>
        <w:t>the recovery of fluorinated gases</w:t>
      </w:r>
      <w:r w:rsidR="00B048F9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DD05B7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</w:p>
    <w:p w:rsidR="00DD05B7" w:rsidRPr="00DD05B7" w:rsidRDefault="00DD05B7" w:rsidP="00704BDF">
      <w:pPr>
        <w:snapToGrid w:val="0"/>
        <w:spacing w:after="120"/>
        <w:rPr>
          <w:rFonts w:asciiTheme="minorHAnsi" w:eastAsia="MS PGothic" w:hAnsiTheme="minorHAnsi"/>
          <w:sz w:val="22"/>
          <w:szCs w:val="22"/>
          <w:u w:val="single"/>
          <w:lang w:val="en-US"/>
        </w:rPr>
      </w:pPr>
      <w:r w:rsidRPr="00DD05B7">
        <w:rPr>
          <w:rFonts w:asciiTheme="minorHAnsi" w:eastAsia="MS PGothic" w:hAnsiTheme="minorHAnsi"/>
          <w:sz w:val="22"/>
          <w:szCs w:val="22"/>
          <w:u w:val="single"/>
          <w:lang w:val="en-US"/>
        </w:rPr>
        <w:t>Acknowledgements</w:t>
      </w:r>
    </w:p>
    <w:p w:rsidR="001E75BB" w:rsidRDefault="001E75B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E75B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research is supported by Project KET4F-Gas – SOE2/P1/P0823</w:t>
      </w:r>
      <w:r w:rsidR="00A01F6E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1E75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is co-financed by the European Regional Development Fund within the framework of </w:t>
      </w:r>
      <w:proofErr w:type="spellStart"/>
      <w:r w:rsidRPr="001E75B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Interreg</w:t>
      </w:r>
      <w:proofErr w:type="spellEnd"/>
      <w:r w:rsidRPr="001E75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1E75BB">
        <w:rPr>
          <w:rFonts w:asciiTheme="minorHAnsi" w:eastAsia="MS PGothic" w:hAnsiTheme="minorHAnsi"/>
          <w:color w:val="000000"/>
          <w:sz w:val="22"/>
          <w:szCs w:val="22"/>
          <w:lang w:val="en-US"/>
        </w:rPr>
        <w:t>Sudoe</w:t>
      </w:r>
      <w:proofErr w:type="spellEnd"/>
      <w:r w:rsidRPr="001E75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1E75B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programme</w:t>
      </w:r>
      <w:proofErr w:type="spellEnd"/>
      <w:r w:rsidRPr="001E75B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Also, financial support from the Spanish Ministry of Economy and Competitiveness (CTM2016-75509-R, MINECO-AEI/FEDER) is gratefully acknowledged.</w:t>
      </w:r>
    </w:p>
    <w:p w:rsidR="001E75BB" w:rsidRPr="008D0BEB" w:rsidRDefault="001E75B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EA7622" w:rsidRDefault="00704BDF" w:rsidP="00EA7622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9A2E58" w:rsidRDefault="00DD05B7" w:rsidP="009A2E58">
      <w:pPr>
        <w:tabs>
          <w:tab w:val="left" w:pos="426"/>
        </w:tabs>
        <w:snapToGrid w:val="0"/>
        <w:spacing w:before="240" w:line="300" w:lineRule="auto"/>
        <w:ind w:left="426" w:hanging="426"/>
        <w:rPr>
          <w:rFonts w:asciiTheme="minorHAnsi" w:hAnsiTheme="minorHAnsi"/>
          <w:color w:val="000000"/>
          <w:sz w:val="20"/>
          <w:lang w:val="en-US"/>
        </w:rPr>
      </w:pPr>
      <w:r w:rsidRPr="00DD05B7">
        <w:rPr>
          <w:rFonts w:asciiTheme="minorHAnsi" w:hAnsiTheme="minorHAnsi"/>
          <w:color w:val="000000"/>
        </w:rPr>
        <w:t>[1]</w:t>
      </w:r>
      <w:r>
        <w:rPr>
          <w:rFonts w:asciiTheme="minorHAnsi" w:hAnsiTheme="minorHAnsi"/>
          <w:color w:val="000000"/>
        </w:rPr>
        <w:tab/>
      </w:r>
      <w:r w:rsidRPr="009A2E58">
        <w:rPr>
          <w:rFonts w:asciiTheme="minorHAnsi" w:hAnsiTheme="minorHAnsi"/>
          <w:color w:val="000000"/>
          <w:sz w:val="20"/>
          <w:lang w:val="en-US"/>
        </w:rPr>
        <w:t>Regulation (EU) No 517/2014 of the European Parliament and of the Council of 16 April 2014 on fluorinated greenhouse gases and repealing Regulation (EC) No 842/2006. Official Journal of the European Union, May 20th, 2014, 150, 195-230.</w:t>
      </w:r>
    </w:p>
    <w:p w:rsidR="009A2E58" w:rsidRPr="008D0BEB" w:rsidRDefault="009A2E58" w:rsidP="009A2E58">
      <w:pPr>
        <w:tabs>
          <w:tab w:val="left" w:pos="426"/>
        </w:tabs>
        <w:snapToGrid w:val="0"/>
        <w:spacing w:line="300" w:lineRule="auto"/>
        <w:ind w:left="425" w:hanging="425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[2]</w:t>
      </w:r>
      <w:r>
        <w:rPr>
          <w:rFonts w:asciiTheme="minorHAnsi" w:hAnsiTheme="minorHAnsi"/>
          <w:color w:val="000000"/>
        </w:rPr>
        <w:tab/>
      </w:r>
      <w:r w:rsidRPr="009A2E58">
        <w:rPr>
          <w:rFonts w:asciiTheme="minorHAnsi" w:hAnsiTheme="minorHAnsi"/>
          <w:color w:val="000000"/>
          <w:sz w:val="20"/>
          <w:lang w:val="en-US"/>
        </w:rPr>
        <w:t>P. Bernardo, E. Drioli, G. Golemme, Industrial Engineering Chemistry Research, 48 (2009) 755-761.</w:t>
      </w:r>
    </w:p>
    <w:p w:rsidR="00CC2A64" w:rsidRDefault="00CC2A64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CC2A64">
        <w:rPr>
          <w:rFonts w:asciiTheme="minorHAnsi" w:hAnsiTheme="minorHAnsi"/>
          <w:color w:val="000000"/>
        </w:rPr>
        <w:t>[</w:t>
      </w:r>
      <w:r w:rsidR="009A2E58">
        <w:rPr>
          <w:rFonts w:asciiTheme="minorHAnsi" w:hAnsiTheme="minorHAnsi"/>
          <w:color w:val="000000"/>
        </w:rPr>
        <w:t>3</w:t>
      </w:r>
      <w:r w:rsidRPr="00CC2A64">
        <w:rPr>
          <w:rFonts w:asciiTheme="minorHAnsi" w:hAnsiTheme="minorHAnsi"/>
          <w:color w:val="000000"/>
        </w:rPr>
        <w:t>]</w:t>
      </w:r>
      <w:r>
        <w:rPr>
          <w:rFonts w:asciiTheme="minorHAnsi" w:hAnsiTheme="minorHAnsi"/>
          <w:color w:val="000000"/>
        </w:rPr>
        <w:tab/>
      </w:r>
      <w:r w:rsidRPr="00CC2A64">
        <w:rPr>
          <w:rFonts w:asciiTheme="minorHAnsi" w:hAnsiTheme="minorHAnsi"/>
          <w:color w:val="000000"/>
        </w:rPr>
        <w:t xml:space="preserve">G. Zarca, I. Ortiz, A. Urtiaga, Journal of Membrane Science, 438 (2013) 38-45. </w:t>
      </w:r>
    </w:p>
    <w:p w:rsidR="00F43CF1" w:rsidRDefault="00F43CF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/>
          <w:color w:val="000000"/>
        </w:rPr>
      </w:pPr>
    </w:p>
    <w:p w:rsidR="00F43CF1" w:rsidRDefault="00F43CF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/>
          <w:color w:val="000000"/>
        </w:rPr>
      </w:pPr>
    </w:p>
    <w:p w:rsidR="00F43CF1" w:rsidRDefault="00F43CF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noProof/>
        </w:rPr>
      </w:pPr>
    </w:p>
    <w:p w:rsidR="005441B1" w:rsidRDefault="005441B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noProof/>
        </w:rPr>
      </w:pPr>
    </w:p>
    <w:p w:rsidR="005441B1" w:rsidRDefault="005441B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noProof/>
        </w:rPr>
      </w:pPr>
    </w:p>
    <w:p w:rsidR="005441B1" w:rsidRDefault="005441B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noProof/>
        </w:rPr>
      </w:pPr>
    </w:p>
    <w:p w:rsidR="005441B1" w:rsidRDefault="005441B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noProof/>
        </w:rPr>
      </w:pPr>
    </w:p>
    <w:p w:rsidR="005441B1" w:rsidRDefault="005441B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noProof/>
        </w:rPr>
      </w:pPr>
    </w:p>
    <w:p w:rsidR="005441B1" w:rsidRDefault="005441B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noProof/>
        </w:rPr>
      </w:pPr>
    </w:p>
    <w:p w:rsidR="005441B1" w:rsidRDefault="005441B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noProof/>
        </w:rPr>
      </w:pPr>
    </w:p>
    <w:p w:rsidR="005441B1" w:rsidRDefault="005441B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noProof/>
        </w:rPr>
      </w:pPr>
    </w:p>
    <w:p w:rsidR="005441B1" w:rsidRDefault="005441B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noProof/>
        </w:rPr>
      </w:pPr>
    </w:p>
    <w:p w:rsidR="005441B1" w:rsidRDefault="005441B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noProof/>
        </w:rPr>
      </w:pPr>
    </w:p>
    <w:p w:rsidR="005441B1" w:rsidRDefault="005441B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noProof/>
        </w:rPr>
      </w:pPr>
    </w:p>
    <w:p w:rsidR="005441B1" w:rsidRDefault="005441B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noProof/>
        </w:rPr>
      </w:pPr>
    </w:p>
    <w:p w:rsidR="005441B1" w:rsidRDefault="005441B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noProof/>
        </w:rPr>
      </w:pPr>
    </w:p>
    <w:p w:rsidR="005441B1" w:rsidRDefault="005441B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noProof/>
        </w:rPr>
      </w:pPr>
    </w:p>
    <w:p w:rsidR="005441B1" w:rsidRPr="009A2E58" w:rsidRDefault="005441B1" w:rsidP="009A2E5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1F9923D3" wp14:editId="51001CE9">
            <wp:extent cx="5579090" cy="2826427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9942"/>
                    <a:stretch/>
                  </pic:blipFill>
                  <pic:spPr bwMode="auto">
                    <a:xfrm>
                      <a:off x="0" y="0"/>
                      <a:ext cx="5579745" cy="2826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41B1" w:rsidRPr="009A2E5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3F" w:rsidRDefault="00691A3F" w:rsidP="004F5E36">
      <w:r>
        <w:separator/>
      </w:r>
    </w:p>
  </w:endnote>
  <w:endnote w:type="continuationSeparator" w:id="0">
    <w:p w:rsidR="00691A3F" w:rsidRDefault="00691A3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3F" w:rsidRDefault="00691A3F" w:rsidP="004F5E36">
      <w:r>
        <w:separator/>
      </w:r>
    </w:p>
  </w:footnote>
  <w:footnote w:type="continuationSeparator" w:id="0">
    <w:p w:rsidR="00691A3F" w:rsidRDefault="00691A3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524EA"/>
    <w:rsid w:val="00062A9A"/>
    <w:rsid w:val="000A03B2"/>
    <w:rsid w:val="000A6704"/>
    <w:rsid w:val="000D34BE"/>
    <w:rsid w:val="000E36F1"/>
    <w:rsid w:val="000E3A73"/>
    <w:rsid w:val="000E414A"/>
    <w:rsid w:val="0013121F"/>
    <w:rsid w:val="00134DE4"/>
    <w:rsid w:val="00150E59"/>
    <w:rsid w:val="00184AD6"/>
    <w:rsid w:val="001A2ED2"/>
    <w:rsid w:val="001B65C1"/>
    <w:rsid w:val="001B7469"/>
    <w:rsid w:val="001C684B"/>
    <w:rsid w:val="001D53FC"/>
    <w:rsid w:val="001E75BB"/>
    <w:rsid w:val="001F03F0"/>
    <w:rsid w:val="001F2EC7"/>
    <w:rsid w:val="002065DB"/>
    <w:rsid w:val="00211FA9"/>
    <w:rsid w:val="00221F8F"/>
    <w:rsid w:val="00242BD9"/>
    <w:rsid w:val="002447EF"/>
    <w:rsid w:val="00251550"/>
    <w:rsid w:val="00264B7F"/>
    <w:rsid w:val="0027221A"/>
    <w:rsid w:val="002742C6"/>
    <w:rsid w:val="00275B61"/>
    <w:rsid w:val="002D1F12"/>
    <w:rsid w:val="002F3C34"/>
    <w:rsid w:val="002F3D8C"/>
    <w:rsid w:val="003009B7"/>
    <w:rsid w:val="0030469C"/>
    <w:rsid w:val="00364D12"/>
    <w:rsid w:val="0037123D"/>
    <w:rsid w:val="003723D4"/>
    <w:rsid w:val="003A7D1C"/>
    <w:rsid w:val="003B1A78"/>
    <w:rsid w:val="003B6A36"/>
    <w:rsid w:val="00416630"/>
    <w:rsid w:val="004409C6"/>
    <w:rsid w:val="004447FA"/>
    <w:rsid w:val="0046164A"/>
    <w:rsid w:val="00462DCD"/>
    <w:rsid w:val="00473721"/>
    <w:rsid w:val="00491286"/>
    <w:rsid w:val="004C6AE1"/>
    <w:rsid w:val="004D1162"/>
    <w:rsid w:val="004E4DD6"/>
    <w:rsid w:val="004F5E36"/>
    <w:rsid w:val="005119A5"/>
    <w:rsid w:val="00523415"/>
    <w:rsid w:val="005278B7"/>
    <w:rsid w:val="005346C8"/>
    <w:rsid w:val="005441B1"/>
    <w:rsid w:val="00564492"/>
    <w:rsid w:val="00576618"/>
    <w:rsid w:val="0058078F"/>
    <w:rsid w:val="00594E9F"/>
    <w:rsid w:val="005B61E6"/>
    <w:rsid w:val="005C77E1"/>
    <w:rsid w:val="005D1B5E"/>
    <w:rsid w:val="005D6A2F"/>
    <w:rsid w:val="005E1A82"/>
    <w:rsid w:val="005E4F84"/>
    <w:rsid w:val="005E532F"/>
    <w:rsid w:val="005F0A28"/>
    <w:rsid w:val="005F0E5E"/>
    <w:rsid w:val="0060369D"/>
    <w:rsid w:val="00620DEE"/>
    <w:rsid w:val="00625639"/>
    <w:rsid w:val="00630CDC"/>
    <w:rsid w:val="0064184D"/>
    <w:rsid w:val="00652983"/>
    <w:rsid w:val="00660E3E"/>
    <w:rsid w:val="006612CA"/>
    <w:rsid w:val="00662E74"/>
    <w:rsid w:val="00691A3F"/>
    <w:rsid w:val="006A58D2"/>
    <w:rsid w:val="006C5579"/>
    <w:rsid w:val="006E5003"/>
    <w:rsid w:val="00704BDF"/>
    <w:rsid w:val="00736B13"/>
    <w:rsid w:val="00737D04"/>
    <w:rsid w:val="007447F3"/>
    <w:rsid w:val="00750EB1"/>
    <w:rsid w:val="007661C8"/>
    <w:rsid w:val="007705C7"/>
    <w:rsid w:val="00790A04"/>
    <w:rsid w:val="007D52CD"/>
    <w:rsid w:val="007F4C81"/>
    <w:rsid w:val="00813288"/>
    <w:rsid w:val="008168FC"/>
    <w:rsid w:val="0084131D"/>
    <w:rsid w:val="008479A2"/>
    <w:rsid w:val="00851FFB"/>
    <w:rsid w:val="0087637F"/>
    <w:rsid w:val="008A1512"/>
    <w:rsid w:val="008A5607"/>
    <w:rsid w:val="008D0BEB"/>
    <w:rsid w:val="008D2B72"/>
    <w:rsid w:val="008E566E"/>
    <w:rsid w:val="00901EB6"/>
    <w:rsid w:val="00944297"/>
    <w:rsid w:val="009450CE"/>
    <w:rsid w:val="0094768C"/>
    <w:rsid w:val="0095164B"/>
    <w:rsid w:val="00996483"/>
    <w:rsid w:val="00997CC9"/>
    <w:rsid w:val="009A2E58"/>
    <w:rsid w:val="009B02D3"/>
    <w:rsid w:val="009E788A"/>
    <w:rsid w:val="009F7E35"/>
    <w:rsid w:val="00A01F6E"/>
    <w:rsid w:val="00A1763D"/>
    <w:rsid w:val="00A17CEC"/>
    <w:rsid w:val="00A27EF0"/>
    <w:rsid w:val="00A76EFC"/>
    <w:rsid w:val="00A9626B"/>
    <w:rsid w:val="00A97F29"/>
    <w:rsid w:val="00AB0964"/>
    <w:rsid w:val="00AB1FC9"/>
    <w:rsid w:val="00AE377D"/>
    <w:rsid w:val="00B048F9"/>
    <w:rsid w:val="00B61DBF"/>
    <w:rsid w:val="00BA3D1A"/>
    <w:rsid w:val="00BB434C"/>
    <w:rsid w:val="00BC30C9"/>
    <w:rsid w:val="00BE3E58"/>
    <w:rsid w:val="00C01616"/>
    <w:rsid w:val="00C0162B"/>
    <w:rsid w:val="00C17674"/>
    <w:rsid w:val="00C345B1"/>
    <w:rsid w:val="00C40142"/>
    <w:rsid w:val="00C57182"/>
    <w:rsid w:val="00C655FD"/>
    <w:rsid w:val="00C867B1"/>
    <w:rsid w:val="00C94434"/>
    <w:rsid w:val="00CA1C95"/>
    <w:rsid w:val="00CA3792"/>
    <w:rsid w:val="00CA5A9C"/>
    <w:rsid w:val="00CC2A64"/>
    <w:rsid w:val="00CD5FE2"/>
    <w:rsid w:val="00D02B4C"/>
    <w:rsid w:val="00D1033E"/>
    <w:rsid w:val="00D1237B"/>
    <w:rsid w:val="00D22D20"/>
    <w:rsid w:val="00D61750"/>
    <w:rsid w:val="00D6682E"/>
    <w:rsid w:val="00D84576"/>
    <w:rsid w:val="00DD05B7"/>
    <w:rsid w:val="00DE0019"/>
    <w:rsid w:val="00DE264A"/>
    <w:rsid w:val="00E041E7"/>
    <w:rsid w:val="00E16B99"/>
    <w:rsid w:val="00E23CA1"/>
    <w:rsid w:val="00E409A8"/>
    <w:rsid w:val="00E7209D"/>
    <w:rsid w:val="00E814A9"/>
    <w:rsid w:val="00E93D56"/>
    <w:rsid w:val="00EA50E1"/>
    <w:rsid w:val="00EA7622"/>
    <w:rsid w:val="00EC0586"/>
    <w:rsid w:val="00EC4A76"/>
    <w:rsid w:val="00ED2F2D"/>
    <w:rsid w:val="00ED5988"/>
    <w:rsid w:val="00EE0131"/>
    <w:rsid w:val="00EE4E92"/>
    <w:rsid w:val="00F30C64"/>
    <w:rsid w:val="00F43CF1"/>
    <w:rsid w:val="00FB730C"/>
    <w:rsid w:val="00FC2695"/>
    <w:rsid w:val="00FC3E03"/>
    <w:rsid w:val="00FE6A2D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CA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4580-B63D-40E5-B992-1856951F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2019-06-05T09:36:00Z</dcterms:created>
  <dcterms:modified xsi:type="dcterms:W3CDTF">2019-06-05T09:36:00Z</dcterms:modified>
</cp:coreProperties>
</file>