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BED7" w14:textId="77777777"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14:paraId="7E4C1FF5" w14:textId="4A307290" w:rsidR="00704BDF" w:rsidRPr="00DE0019" w:rsidRDefault="00224E9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Kinetic Assessment </w:t>
      </w:r>
      <w:r w:rsidR="00D558C0">
        <w:rPr>
          <w:rFonts w:asciiTheme="minorHAnsi" w:eastAsia="MS PGothic" w:hAnsiTheme="minorHAnsi"/>
          <w:b/>
          <w:bCs/>
          <w:sz w:val="28"/>
          <w:szCs w:val="28"/>
          <w:lang w:val="en-US"/>
        </w:rPr>
        <w:t>for</w:t>
      </w:r>
      <w:r>
        <w:rPr>
          <w:rFonts w:asciiTheme="minorHAnsi" w:eastAsia="MS PGothic" w:hAnsiTheme="minorHAnsi"/>
          <w:b/>
          <w:bCs/>
          <w:sz w:val="28"/>
          <w:szCs w:val="28"/>
          <w:lang w:val="en-US"/>
        </w:rPr>
        <w:t xml:space="preserve"> </w:t>
      </w:r>
      <w:r w:rsidR="00D558C0">
        <w:rPr>
          <w:rFonts w:asciiTheme="minorHAnsi" w:eastAsia="MS PGothic" w:hAnsiTheme="minorHAnsi"/>
          <w:b/>
          <w:bCs/>
          <w:sz w:val="28"/>
          <w:szCs w:val="28"/>
          <w:lang w:val="en-US"/>
        </w:rPr>
        <w:t xml:space="preserve">Continuous </w:t>
      </w:r>
      <w:r w:rsidR="005F1760">
        <w:rPr>
          <w:rFonts w:asciiTheme="minorHAnsi" w:eastAsia="MS PGothic" w:hAnsiTheme="minorHAnsi"/>
          <w:b/>
          <w:bCs/>
          <w:sz w:val="28"/>
          <w:szCs w:val="28"/>
          <w:lang w:val="en-US"/>
        </w:rPr>
        <w:t xml:space="preserve">Crystallization </w:t>
      </w:r>
      <w:r w:rsidR="00D558C0">
        <w:rPr>
          <w:rFonts w:asciiTheme="minorHAnsi" w:eastAsia="MS PGothic" w:hAnsiTheme="minorHAnsi"/>
          <w:b/>
          <w:bCs/>
          <w:sz w:val="28"/>
          <w:szCs w:val="28"/>
          <w:lang w:val="en-US"/>
        </w:rPr>
        <w:t>Process</w:t>
      </w:r>
      <w:r w:rsidR="005F1760">
        <w:rPr>
          <w:rFonts w:asciiTheme="minorHAnsi" w:eastAsia="MS PGothic" w:hAnsiTheme="minorHAnsi"/>
          <w:b/>
          <w:bCs/>
          <w:sz w:val="28"/>
          <w:szCs w:val="28"/>
          <w:lang w:val="en-US"/>
        </w:rPr>
        <w:t xml:space="preserve"> </w:t>
      </w:r>
      <w:r w:rsidR="00D558C0">
        <w:rPr>
          <w:rFonts w:asciiTheme="minorHAnsi" w:eastAsia="MS PGothic" w:hAnsiTheme="minorHAnsi"/>
          <w:b/>
          <w:bCs/>
          <w:sz w:val="28"/>
          <w:szCs w:val="28"/>
          <w:lang w:val="en-US"/>
        </w:rPr>
        <w:t>of</w:t>
      </w:r>
      <w:r>
        <w:rPr>
          <w:rFonts w:asciiTheme="minorHAnsi" w:eastAsia="MS PGothic" w:hAnsiTheme="minorHAnsi"/>
          <w:b/>
          <w:bCs/>
          <w:sz w:val="28"/>
          <w:szCs w:val="28"/>
          <w:lang w:val="en-US"/>
        </w:rPr>
        <w:t xml:space="preserve"> Early Development Compound</w:t>
      </w:r>
    </w:p>
    <w:p w14:paraId="497302E6" w14:textId="69AF465E" w:rsidR="00DE0019" w:rsidRPr="00DE0019" w:rsidRDefault="00224E9C"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Gladys Kate Pascual</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Marko Ukrainczyk</w:t>
      </w:r>
      <w:r>
        <w:rPr>
          <w:rFonts w:asciiTheme="minorHAnsi" w:eastAsia="SimSun" w:hAnsiTheme="minorHAnsi"/>
          <w:color w:val="000000"/>
          <w:sz w:val="24"/>
          <w:szCs w:val="24"/>
          <w:vertAlign w:val="superscript"/>
          <w:lang w:val="en-US" w:eastAsia="zh-CN"/>
        </w:rPr>
        <w:t>1</w:t>
      </w:r>
      <w:r w:rsidR="003A35B0">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Gary Morris</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Brian Glennon</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Alain </w:t>
      </w:r>
      <w:r w:rsidRPr="00224E9C">
        <w:rPr>
          <w:rFonts w:asciiTheme="minorHAnsi" w:eastAsia="SimSun" w:hAnsiTheme="minorHAnsi"/>
          <w:color w:val="000000"/>
          <w:sz w:val="24"/>
          <w:szCs w:val="24"/>
          <w:lang w:val="en-US" w:eastAsia="zh-CN"/>
        </w:rPr>
        <w:t>Collas</w:t>
      </w:r>
      <w:r>
        <w:rPr>
          <w:rFonts w:asciiTheme="minorHAnsi" w:eastAsia="SimSun" w:hAnsiTheme="minorHAnsi"/>
          <w:color w:val="000000"/>
          <w:sz w:val="24"/>
          <w:szCs w:val="24"/>
          <w:lang w:val="en-US" w:eastAsia="zh-CN"/>
        </w:rPr>
        <w:softHyphen/>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Ronny Vanierschot</w:t>
      </w:r>
      <w:r>
        <w:rPr>
          <w:rFonts w:asciiTheme="minorHAnsi" w:eastAsia="SimSun" w:hAnsiTheme="minorHAnsi"/>
          <w:color w:val="000000"/>
          <w:sz w:val="24"/>
          <w:szCs w:val="24"/>
          <w:vertAlign w:val="superscript"/>
          <w:lang w:val="en-US" w:eastAsia="zh-CN"/>
        </w:rPr>
        <w:t>2</w:t>
      </w:r>
      <w:r w:rsidR="00DE0019">
        <w:rPr>
          <w:rFonts w:eastAsia="SimSun"/>
          <w:color w:val="000000"/>
          <w:lang w:val="en-US" w:eastAsia="zh-CN"/>
        </w:rPr>
        <w:t xml:space="preserve"> </w:t>
      </w:r>
    </w:p>
    <w:p w14:paraId="5C4305FF" w14:textId="0001B6DF" w:rsidR="00704BDF" w:rsidRPr="00DE0019" w:rsidRDefault="00704BDF" w:rsidP="008F4A17">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8F4A17">
        <w:rPr>
          <w:rFonts w:asciiTheme="minorHAnsi" w:eastAsia="MS PGothic" w:hAnsiTheme="minorHAnsi"/>
          <w:i/>
          <w:iCs/>
          <w:color w:val="000000"/>
          <w:sz w:val="20"/>
          <w:lang w:val="en-US"/>
        </w:rPr>
        <w:t xml:space="preserve">APC Ltd, Cherrywood Business Park, </w:t>
      </w:r>
      <w:proofErr w:type="spellStart"/>
      <w:r w:rsidR="008F4A17">
        <w:rPr>
          <w:rFonts w:asciiTheme="minorHAnsi" w:eastAsia="MS PGothic" w:hAnsiTheme="minorHAnsi"/>
          <w:i/>
          <w:iCs/>
          <w:color w:val="000000"/>
          <w:sz w:val="20"/>
          <w:lang w:val="en-US"/>
        </w:rPr>
        <w:t>Loughlinstown</w:t>
      </w:r>
      <w:proofErr w:type="spellEnd"/>
      <w:r w:rsidR="008F4A17">
        <w:rPr>
          <w:rFonts w:asciiTheme="minorHAnsi" w:eastAsia="MS PGothic" w:hAnsiTheme="minorHAnsi"/>
          <w:i/>
          <w:iCs/>
          <w:color w:val="000000"/>
          <w:sz w:val="20"/>
          <w:lang w:val="en-US"/>
        </w:rPr>
        <w:t xml:space="preserve">, Co. Dublin, D18 DH 50, Ireland; </w:t>
      </w:r>
      <w:r w:rsidRPr="00DE0019">
        <w:rPr>
          <w:rFonts w:asciiTheme="minorHAnsi" w:eastAsia="MS PGothic" w:hAnsiTheme="minorHAnsi"/>
          <w:i/>
          <w:iCs/>
          <w:color w:val="000000"/>
          <w:sz w:val="20"/>
          <w:lang w:val="en-US"/>
        </w:rPr>
        <w:t xml:space="preserve">2 </w:t>
      </w:r>
      <w:r w:rsidR="00224E9C">
        <w:rPr>
          <w:rFonts w:asciiTheme="minorHAnsi" w:eastAsia="MS PGothic" w:hAnsiTheme="minorHAnsi"/>
          <w:i/>
          <w:iCs/>
          <w:color w:val="000000"/>
          <w:sz w:val="20"/>
          <w:lang w:val="en-US"/>
        </w:rPr>
        <w:t>Crystallization Technology Unit (CTU), Janssen Pharmaceutical Companies of Johnson &amp; Johnson, Beerse, Belgium</w:t>
      </w:r>
    </w:p>
    <w:p w14:paraId="644E35D1" w14:textId="77777777" w:rsidR="003A35B0" w:rsidRDefault="003A35B0" w:rsidP="003A35B0">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 marko</w:t>
      </w:r>
      <w:r>
        <w:rPr>
          <w:rFonts w:asciiTheme="minorHAnsi" w:eastAsia="MS PGothic" w:hAnsiTheme="minorHAnsi"/>
          <w:bCs/>
          <w:i/>
          <w:iCs/>
          <w:sz w:val="20"/>
          <w:lang w:val="en-US"/>
        </w:rPr>
        <w:t>.ukrainczyk@approcess.com</w:t>
      </w:r>
    </w:p>
    <w:p w14:paraId="3B6F480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5A0A36C" w14:textId="48A625CF" w:rsidR="005F1760" w:rsidRPr="005F1760" w:rsidRDefault="00593B8F" w:rsidP="005F1760">
      <w:pPr>
        <w:pStyle w:val="AbstractBody"/>
        <w:numPr>
          <w:ilvl w:val="0"/>
          <w:numId w:val="16"/>
        </w:numPr>
        <w:rPr>
          <w:rFonts w:asciiTheme="minorHAnsi" w:hAnsiTheme="minorHAnsi"/>
        </w:rPr>
      </w:pPr>
      <w:r>
        <w:rPr>
          <w:rFonts w:asciiTheme="minorHAnsi" w:hAnsiTheme="minorHAnsi"/>
        </w:rPr>
        <w:t xml:space="preserve">Kinetic assessment for </w:t>
      </w:r>
      <w:r>
        <w:rPr>
          <w:rFonts w:asciiTheme="minorHAnsi" w:hAnsiTheme="minorHAnsi" w:cs="Arial"/>
          <w:color w:val="000000"/>
          <w:lang w:eastAsia="en-IE"/>
        </w:rPr>
        <w:t>continuous crystallization</w:t>
      </w:r>
      <w:r w:rsidR="005F1760" w:rsidRPr="005F1760">
        <w:rPr>
          <w:rFonts w:asciiTheme="minorHAnsi" w:hAnsiTheme="minorHAnsi"/>
        </w:rPr>
        <w:t xml:space="preserve"> </w:t>
      </w:r>
      <w:r>
        <w:rPr>
          <w:rFonts w:asciiTheme="minorHAnsi" w:hAnsiTheme="minorHAnsi"/>
        </w:rPr>
        <w:t>developed</w:t>
      </w:r>
      <w:r>
        <w:rPr>
          <w:rFonts w:asciiTheme="minorHAnsi" w:hAnsiTheme="minorHAnsi" w:cs="Arial"/>
          <w:color w:val="000000"/>
          <w:lang w:eastAsia="en-IE"/>
        </w:rPr>
        <w:t xml:space="preserve"> </w:t>
      </w:r>
    </w:p>
    <w:p w14:paraId="55A1DE6E" w14:textId="7F82EFCF" w:rsidR="005F1760" w:rsidRPr="005F1760" w:rsidRDefault="00D558C0" w:rsidP="005F1760">
      <w:pPr>
        <w:pStyle w:val="AbstractBody"/>
        <w:numPr>
          <w:ilvl w:val="0"/>
          <w:numId w:val="16"/>
        </w:numPr>
        <w:rPr>
          <w:rFonts w:asciiTheme="minorHAnsi" w:hAnsiTheme="minorHAnsi"/>
        </w:rPr>
      </w:pPr>
      <w:r>
        <w:rPr>
          <w:rFonts w:asciiTheme="minorHAnsi" w:hAnsiTheme="minorHAnsi" w:cs="Arial"/>
          <w:color w:val="000000"/>
          <w:lang w:eastAsia="en-IE"/>
        </w:rPr>
        <w:t>Population balance kinetic model (PBM) built for two solvent systems to evaluate solvent dependency</w:t>
      </w:r>
    </w:p>
    <w:p w14:paraId="2BDA1744" w14:textId="469C9C8E" w:rsidR="00980DC4" w:rsidRPr="005F1760" w:rsidRDefault="005F1760" w:rsidP="00704BDF">
      <w:pPr>
        <w:pStyle w:val="AbstractBody"/>
        <w:numPr>
          <w:ilvl w:val="0"/>
          <w:numId w:val="16"/>
        </w:numPr>
        <w:rPr>
          <w:rFonts w:asciiTheme="minorHAnsi" w:hAnsiTheme="minorHAnsi"/>
        </w:rPr>
      </w:pPr>
      <w:r w:rsidRPr="005F1760">
        <w:rPr>
          <w:rFonts w:asciiTheme="minorHAnsi" w:hAnsiTheme="minorHAnsi" w:cs="Arial"/>
          <w:color w:val="000000"/>
          <w:lang w:eastAsia="en-IE"/>
        </w:rPr>
        <w:t xml:space="preserve">MSMPR </w:t>
      </w:r>
      <w:r w:rsidR="00D558C0">
        <w:rPr>
          <w:rFonts w:asciiTheme="minorHAnsi" w:hAnsiTheme="minorHAnsi" w:cs="Arial"/>
          <w:color w:val="000000"/>
          <w:lang w:eastAsia="en-IE"/>
        </w:rPr>
        <w:t xml:space="preserve">process </w:t>
      </w:r>
      <w:r w:rsidRPr="005F1760">
        <w:rPr>
          <w:rFonts w:asciiTheme="minorHAnsi" w:hAnsiTheme="minorHAnsi" w:cs="Arial"/>
          <w:color w:val="000000"/>
          <w:lang w:eastAsia="en-IE"/>
        </w:rPr>
        <w:t>parameters</w:t>
      </w:r>
      <w:r w:rsidR="00D558C0">
        <w:rPr>
          <w:rFonts w:asciiTheme="minorHAnsi" w:hAnsiTheme="minorHAnsi" w:cs="Arial"/>
          <w:color w:val="000000"/>
          <w:lang w:eastAsia="en-IE"/>
        </w:rPr>
        <w:t xml:space="preserve"> optimized </w:t>
      </w:r>
      <w:r w:rsidR="00593B8F">
        <w:rPr>
          <w:rFonts w:asciiTheme="minorHAnsi" w:hAnsiTheme="minorHAnsi" w:cs="Arial"/>
          <w:color w:val="000000"/>
          <w:lang w:eastAsia="en-IE"/>
        </w:rPr>
        <w:t>and validated through PBM</w:t>
      </w:r>
    </w:p>
    <w:p w14:paraId="4B4232EE" w14:textId="77777777" w:rsidR="0041481B" w:rsidRDefault="0041481B" w:rsidP="00704BDF">
      <w:pPr>
        <w:snapToGrid w:val="0"/>
        <w:spacing w:line="300" w:lineRule="auto"/>
        <w:rPr>
          <w:rFonts w:eastAsia="SimSun"/>
          <w:bCs/>
          <w:i/>
          <w:iCs/>
          <w:color w:val="0000FF"/>
          <w:sz w:val="20"/>
          <w:lang w:val="en-US" w:eastAsia="zh-CN"/>
        </w:rPr>
      </w:pPr>
    </w:p>
    <w:p w14:paraId="5CCE8580" w14:textId="190E0E2A"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DE47DAD" w14:textId="22B13E08" w:rsidR="00D73826" w:rsidRDefault="00884FC0" w:rsidP="008F4A17">
      <w:pPr>
        <w:spacing w:after="120"/>
        <w:rPr>
          <w:rFonts w:asciiTheme="minorHAnsi" w:hAnsiTheme="minorHAnsi" w:cs="Arial"/>
          <w:color w:val="000000"/>
          <w:sz w:val="22"/>
          <w:szCs w:val="22"/>
          <w:lang w:eastAsia="en-IE"/>
        </w:rPr>
      </w:pPr>
      <w:r>
        <w:rPr>
          <w:rFonts w:asciiTheme="minorHAnsi" w:hAnsiTheme="minorHAnsi" w:cs="Arial"/>
          <w:color w:val="000000"/>
          <w:sz w:val="22"/>
          <w:szCs w:val="22"/>
          <w:lang w:eastAsia="en-IE"/>
        </w:rPr>
        <w:t>In the pharmaceutical industry, crystallization is a key unit operation utilised to produce particles with desired properties</w:t>
      </w:r>
      <w:r w:rsidR="003A35B0">
        <w:rPr>
          <w:rFonts w:asciiTheme="minorHAnsi" w:hAnsiTheme="minorHAnsi" w:cs="Arial"/>
          <w:color w:val="000000"/>
          <w:sz w:val="22"/>
          <w:szCs w:val="22"/>
          <w:lang w:eastAsia="en-IE"/>
        </w:rPr>
        <w:t>,</w:t>
      </w:r>
      <w:r>
        <w:rPr>
          <w:rFonts w:asciiTheme="minorHAnsi" w:hAnsiTheme="minorHAnsi" w:cs="Arial"/>
          <w:color w:val="000000"/>
          <w:sz w:val="22"/>
          <w:szCs w:val="22"/>
          <w:lang w:eastAsia="en-IE"/>
        </w:rPr>
        <w:t xml:space="preserve"> such as the particle size distributio</w:t>
      </w:r>
      <w:r w:rsidR="003A35B0">
        <w:rPr>
          <w:rFonts w:asciiTheme="minorHAnsi" w:hAnsiTheme="minorHAnsi" w:cs="Arial"/>
          <w:color w:val="000000"/>
          <w:sz w:val="22"/>
          <w:szCs w:val="22"/>
          <w:lang w:eastAsia="en-IE"/>
        </w:rPr>
        <w:t>n</w:t>
      </w:r>
      <w:r>
        <w:rPr>
          <w:rFonts w:asciiTheme="minorHAnsi" w:hAnsiTheme="minorHAnsi" w:cs="Arial"/>
          <w:color w:val="000000"/>
          <w:sz w:val="22"/>
          <w:szCs w:val="22"/>
          <w:lang w:eastAsia="en-IE"/>
        </w:rPr>
        <w:t xml:space="preserve">, as </w:t>
      </w:r>
      <w:r w:rsidR="003A35B0">
        <w:rPr>
          <w:rFonts w:asciiTheme="minorHAnsi" w:hAnsiTheme="minorHAnsi" w:cs="Arial"/>
          <w:color w:val="000000"/>
          <w:sz w:val="22"/>
          <w:szCs w:val="22"/>
          <w:lang w:eastAsia="en-IE"/>
        </w:rPr>
        <w:t>this has an influence on downstream processes such as filtration and drying. The a</w:t>
      </w:r>
      <w:r w:rsidR="00224E9C" w:rsidRPr="00224E9C">
        <w:rPr>
          <w:rFonts w:asciiTheme="minorHAnsi" w:hAnsiTheme="minorHAnsi" w:cs="Arial"/>
          <w:color w:val="000000"/>
          <w:sz w:val="22"/>
          <w:szCs w:val="22"/>
          <w:lang w:eastAsia="en-IE"/>
        </w:rPr>
        <w:t>cquisition of reliable kinetic correlations that describe how rates of nucleation and growth vary over the crystallization design space is necessary for enabling robust prediction of crystallizer performance</w:t>
      </w:r>
      <w:r w:rsidR="000E7108">
        <w:rPr>
          <w:rFonts w:asciiTheme="minorHAnsi" w:hAnsiTheme="minorHAnsi" w:cs="Arial"/>
          <w:color w:val="000000"/>
          <w:sz w:val="22"/>
          <w:szCs w:val="22"/>
          <w:lang w:eastAsia="en-IE"/>
        </w:rPr>
        <w:t xml:space="preserve">. </w:t>
      </w:r>
      <w:r w:rsidR="00224E9C" w:rsidRPr="00224E9C">
        <w:rPr>
          <w:rFonts w:asciiTheme="minorHAnsi" w:hAnsiTheme="minorHAnsi"/>
          <w:color w:val="000000"/>
          <w:sz w:val="22"/>
          <w:szCs w:val="22"/>
          <w:lang w:eastAsia="en-IE"/>
        </w:rPr>
        <w:t xml:space="preserve"> </w:t>
      </w:r>
      <w:r w:rsidR="00224E9C" w:rsidRPr="00224E9C">
        <w:rPr>
          <w:rFonts w:asciiTheme="minorHAnsi" w:hAnsiTheme="minorHAnsi" w:cs="Arial"/>
          <w:color w:val="000000"/>
          <w:sz w:val="22"/>
          <w:szCs w:val="22"/>
          <w:lang w:eastAsia="en-IE"/>
        </w:rPr>
        <w:t xml:space="preserve">The aim of this study was to generate a standardised workflow approach for the generation of crystallization kinetics data using population balance modelling (PBM), </w:t>
      </w:r>
      <w:r w:rsidR="00224E9C" w:rsidRPr="00224E9C">
        <w:rPr>
          <w:rFonts w:asciiTheme="minorHAnsi" w:hAnsiTheme="minorHAnsi" w:cs="Arial"/>
          <w:noProof/>
          <w:sz w:val="22"/>
          <w:szCs w:val="22"/>
        </w:rPr>
        <w:t>and to assess the batch crystallization process for feasibility of continuous processing for an early development compound</w:t>
      </w:r>
      <w:r w:rsidR="00224E9C" w:rsidRPr="00224E9C">
        <w:rPr>
          <w:rFonts w:asciiTheme="minorHAnsi" w:hAnsiTheme="minorHAnsi" w:cs="Arial"/>
          <w:color w:val="000000"/>
          <w:sz w:val="22"/>
          <w:szCs w:val="22"/>
          <w:lang w:eastAsia="en-IE"/>
        </w:rPr>
        <w:t xml:space="preserve">. </w:t>
      </w:r>
    </w:p>
    <w:p w14:paraId="33A3F7E1" w14:textId="77777777" w:rsidR="00D73826" w:rsidRDefault="00D73826" w:rsidP="00224E9C">
      <w:pPr>
        <w:spacing w:line="240" w:lineRule="auto"/>
        <w:rPr>
          <w:rFonts w:asciiTheme="minorHAnsi" w:hAnsiTheme="minorHAnsi" w:cs="Arial"/>
          <w:color w:val="000000"/>
          <w:sz w:val="22"/>
          <w:szCs w:val="22"/>
          <w:lang w:eastAsia="en-IE"/>
        </w:rPr>
      </w:pPr>
    </w:p>
    <w:p w14:paraId="487ACDD2"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FB2C531" w14:textId="77777777" w:rsidR="00593B8F" w:rsidRDefault="0041481B" w:rsidP="00593B8F">
      <w:pPr>
        <w:spacing w:after="120"/>
        <w:rPr>
          <w:rFonts w:asciiTheme="minorHAnsi" w:hAnsiTheme="minorHAnsi" w:cs="Arial"/>
          <w:color w:val="000000"/>
          <w:sz w:val="22"/>
          <w:szCs w:val="22"/>
          <w:lang w:eastAsia="en-IE"/>
        </w:rPr>
      </w:pPr>
      <w:r w:rsidRPr="00224E9C">
        <w:rPr>
          <w:rFonts w:asciiTheme="minorHAnsi" w:hAnsiTheme="minorHAnsi" w:cs="Arial"/>
          <w:color w:val="000000"/>
          <w:sz w:val="22"/>
          <w:szCs w:val="22"/>
          <w:lang w:eastAsia="en-IE"/>
        </w:rPr>
        <w:t xml:space="preserve">Initially, the crystallization growth kinetics were estimated by means of seeded isothermal </w:t>
      </w:r>
      <w:proofErr w:type="spellStart"/>
      <w:r w:rsidRPr="00224E9C">
        <w:rPr>
          <w:rFonts w:asciiTheme="minorHAnsi" w:hAnsiTheme="minorHAnsi" w:cs="Arial"/>
          <w:color w:val="000000"/>
          <w:sz w:val="22"/>
          <w:szCs w:val="22"/>
          <w:lang w:eastAsia="en-IE"/>
        </w:rPr>
        <w:t>desupersaturation</w:t>
      </w:r>
      <w:proofErr w:type="spellEnd"/>
      <w:r w:rsidRPr="00224E9C">
        <w:rPr>
          <w:rFonts w:asciiTheme="minorHAnsi" w:hAnsiTheme="minorHAnsi" w:cs="Arial"/>
          <w:color w:val="000000"/>
          <w:sz w:val="22"/>
          <w:szCs w:val="22"/>
          <w:lang w:eastAsia="en-IE"/>
        </w:rPr>
        <w:t xml:space="preserve"> experiments in a batch reactor. PAT tools such as Attenuated Total Reflectance-Fourier Infrared (ATR-FTIR) spectroscopy and Focused Beam Reflectance Measurement (FBRM) were utilised for </w:t>
      </w:r>
      <w:r w:rsidRPr="00224E9C">
        <w:rPr>
          <w:rFonts w:asciiTheme="minorHAnsi" w:hAnsiTheme="minorHAnsi" w:cs="Arial"/>
          <w:i/>
          <w:iCs/>
          <w:color w:val="000000"/>
          <w:sz w:val="22"/>
          <w:szCs w:val="22"/>
          <w:lang w:eastAsia="en-IE"/>
        </w:rPr>
        <w:t xml:space="preserve">in situ </w:t>
      </w:r>
      <w:r w:rsidR="00286846">
        <w:rPr>
          <w:rFonts w:asciiTheme="minorHAnsi" w:hAnsiTheme="minorHAnsi" w:cs="Arial"/>
          <w:iCs/>
          <w:color w:val="000000"/>
          <w:sz w:val="22"/>
          <w:szCs w:val="22"/>
          <w:lang w:eastAsia="en-IE"/>
        </w:rPr>
        <w:t xml:space="preserve">to track the </w:t>
      </w:r>
      <w:proofErr w:type="spellStart"/>
      <w:r w:rsidR="00286846">
        <w:rPr>
          <w:rFonts w:asciiTheme="minorHAnsi" w:hAnsiTheme="minorHAnsi" w:cs="Arial"/>
          <w:iCs/>
          <w:color w:val="000000"/>
          <w:sz w:val="22"/>
          <w:szCs w:val="22"/>
          <w:lang w:eastAsia="en-IE"/>
        </w:rPr>
        <w:t>desupersaturation</w:t>
      </w:r>
      <w:proofErr w:type="spellEnd"/>
      <w:r w:rsidR="00286846">
        <w:rPr>
          <w:rFonts w:asciiTheme="minorHAnsi" w:hAnsiTheme="minorHAnsi" w:cs="Arial"/>
          <w:iCs/>
          <w:color w:val="000000"/>
          <w:sz w:val="22"/>
          <w:szCs w:val="22"/>
          <w:lang w:eastAsia="en-IE"/>
        </w:rPr>
        <w:t xml:space="preserve"> profile and the progression of the seed distribution, respectively.</w:t>
      </w:r>
      <w:r w:rsidR="00593B8F">
        <w:rPr>
          <w:rFonts w:asciiTheme="minorHAnsi" w:hAnsiTheme="minorHAnsi" w:cs="Arial"/>
          <w:iCs/>
          <w:color w:val="000000"/>
          <w:sz w:val="22"/>
          <w:szCs w:val="22"/>
          <w:lang w:eastAsia="en-IE"/>
        </w:rPr>
        <w:t xml:space="preserve"> </w:t>
      </w:r>
      <w:r w:rsidR="00593B8F" w:rsidRPr="00224E9C">
        <w:rPr>
          <w:rFonts w:asciiTheme="minorHAnsi" w:hAnsiTheme="minorHAnsi" w:cs="Arial"/>
          <w:color w:val="000000"/>
          <w:sz w:val="22"/>
          <w:szCs w:val="22"/>
          <w:lang w:eastAsia="en-IE"/>
        </w:rPr>
        <w:t xml:space="preserve">The initial crystal size distributions (CSDs) and </w:t>
      </w:r>
      <w:proofErr w:type="spellStart"/>
      <w:r w:rsidR="00593B8F" w:rsidRPr="00224E9C">
        <w:rPr>
          <w:rFonts w:asciiTheme="minorHAnsi" w:hAnsiTheme="minorHAnsi" w:cs="Arial"/>
          <w:color w:val="000000"/>
          <w:sz w:val="22"/>
          <w:szCs w:val="22"/>
          <w:lang w:eastAsia="en-IE"/>
        </w:rPr>
        <w:t>desupersaturation</w:t>
      </w:r>
      <w:proofErr w:type="spellEnd"/>
      <w:r w:rsidR="00593B8F" w:rsidRPr="00224E9C">
        <w:rPr>
          <w:rFonts w:asciiTheme="minorHAnsi" w:hAnsiTheme="minorHAnsi" w:cs="Arial"/>
          <w:color w:val="000000"/>
          <w:sz w:val="22"/>
          <w:szCs w:val="22"/>
          <w:lang w:eastAsia="en-IE"/>
        </w:rPr>
        <w:t xml:space="preserve"> profiles were used to estimate the growth kinetics as a function of temperature and supersaturation. Two solvent systems were tested to extract growth kinetics and were used for comparison. </w:t>
      </w:r>
      <w:r w:rsidR="00593B8F">
        <w:rPr>
          <w:rFonts w:asciiTheme="minorHAnsi" w:hAnsiTheme="minorHAnsi" w:cs="Arial"/>
          <w:bCs/>
          <w:color w:val="000000"/>
          <w:sz w:val="22"/>
          <w:szCs w:val="22"/>
          <w:lang w:eastAsia="en-IE"/>
        </w:rPr>
        <w:t>Furthermore, a</w:t>
      </w:r>
      <w:r w:rsidR="00593B8F" w:rsidRPr="00224E9C">
        <w:rPr>
          <w:rFonts w:asciiTheme="minorHAnsi" w:hAnsiTheme="minorHAnsi" w:cs="Arial"/>
          <w:bCs/>
          <w:color w:val="000000"/>
          <w:sz w:val="22"/>
          <w:szCs w:val="22"/>
          <w:lang w:eastAsia="en-IE"/>
        </w:rPr>
        <w:t>ctivity coefficients as a function of temperature and composition were considered in the kinetic model, which enabled to directly evaluate the solvent dependency effect.</w:t>
      </w:r>
      <w:r w:rsidR="00593B8F">
        <w:rPr>
          <w:rFonts w:asciiTheme="minorHAnsi" w:hAnsiTheme="minorHAnsi" w:cs="Arial"/>
          <w:bCs/>
          <w:color w:val="000000"/>
          <w:sz w:val="22"/>
          <w:szCs w:val="22"/>
          <w:lang w:eastAsia="en-IE"/>
        </w:rPr>
        <w:t xml:space="preserve"> Following satisfactory validation of crystal growth kinetics, </w:t>
      </w:r>
      <w:r w:rsidR="00593B8F" w:rsidRPr="00224E9C">
        <w:rPr>
          <w:rFonts w:asciiTheme="minorHAnsi" w:hAnsiTheme="minorHAnsi" w:cs="Arial"/>
          <w:color w:val="000000"/>
          <w:sz w:val="22"/>
          <w:szCs w:val="22"/>
          <w:lang w:eastAsia="en-IE"/>
        </w:rPr>
        <w:t xml:space="preserve">a continuously operated single-stage mixed suspension mixed product removal (MSMPR) crystallizer was used to extract the secondary nucleation kinetics. </w:t>
      </w:r>
    </w:p>
    <w:p w14:paraId="10A33E6D" w14:textId="65B4AF37" w:rsidR="00254055" w:rsidRDefault="00286846" w:rsidP="00254055">
      <w:pPr>
        <w:spacing w:after="120"/>
        <w:rPr>
          <w:rFonts w:asciiTheme="minorHAnsi" w:hAnsiTheme="minorHAnsi" w:cs="Arial"/>
          <w:color w:val="000000"/>
          <w:sz w:val="22"/>
          <w:szCs w:val="22"/>
          <w:lang w:eastAsia="en-IE"/>
        </w:rPr>
      </w:pPr>
      <w:r>
        <w:rPr>
          <w:rFonts w:asciiTheme="minorHAnsi" w:hAnsiTheme="minorHAnsi" w:cs="Arial"/>
          <w:iCs/>
          <w:color w:val="000000"/>
          <w:sz w:val="22"/>
          <w:szCs w:val="22"/>
          <w:lang w:eastAsia="en-IE"/>
        </w:rPr>
        <w:t xml:space="preserve"> </w:t>
      </w:r>
    </w:p>
    <w:p w14:paraId="7BE71FC7" w14:textId="77777777" w:rsidR="00254055" w:rsidRDefault="00254055" w:rsidP="00254055">
      <w:pPr>
        <w:spacing w:after="120"/>
        <w:rPr>
          <w:rFonts w:asciiTheme="minorHAnsi" w:eastAsia="MS PGothic" w:hAnsiTheme="minorHAnsi"/>
          <w:b/>
          <w:bCs/>
          <w:color w:val="000000"/>
          <w:sz w:val="22"/>
          <w:szCs w:val="22"/>
          <w:lang w:val="en-US"/>
        </w:rPr>
      </w:pPr>
    </w:p>
    <w:p w14:paraId="12D0C607" w14:textId="623A915A" w:rsidR="00704BDF" w:rsidRPr="00254055" w:rsidRDefault="00704BDF" w:rsidP="00254055">
      <w:pPr>
        <w:spacing w:after="120"/>
        <w:rPr>
          <w:rFonts w:asciiTheme="minorHAnsi" w:hAnsiTheme="minorHAnsi" w:cs="Arial"/>
          <w:color w:val="000000"/>
          <w:sz w:val="22"/>
          <w:szCs w:val="22"/>
          <w:lang w:eastAsia="en-IE"/>
        </w:rPr>
      </w:pPr>
      <w:r w:rsidRPr="008D0BEB">
        <w:rPr>
          <w:rFonts w:asciiTheme="minorHAnsi" w:eastAsia="MS PGothic" w:hAnsiTheme="minorHAnsi"/>
          <w:b/>
          <w:bCs/>
          <w:color w:val="000000"/>
          <w:sz w:val="22"/>
          <w:szCs w:val="22"/>
          <w:lang w:val="en-US"/>
        </w:rPr>
        <w:lastRenderedPageBreak/>
        <w:t>3. Results and discussion</w:t>
      </w:r>
    </w:p>
    <w:p w14:paraId="126DAD89" w14:textId="24E79D6C" w:rsidR="00C127E0" w:rsidRDefault="00AB316B" w:rsidP="009A40BE">
      <w:pPr>
        <w:spacing w:after="120"/>
        <w:rPr>
          <w:rFonts w:asciiTheme="minorHAnsi" w:hAnsiTheme="minorHAnsi" w:cs="Arial"/>
          <w:color w:val="000000"/>
          <w:sz w:val="22"/>
          <w:szCs w:val="22"/>
          <w:lang w:eastAsia="en-IE"/>
        </w:rPr>
      </w:pPr>
      <w:r>
        <w:rPr>
          <w:rFonts w:asciiTheme="minorHAnsi" w:hAnsiTheme="minorHAnsi" w:cs="Arial"/>
          <w:color w:val="000000"/>
          <w:sz w:val="22"/>
          <w:szCs w:val="22"/>
          <w:lang w:eastAsia="en-IE"/>
        </w:rPr>
        <w:t xml:space="preserve">Three seeded isothermal </w:t>
      </w:r>
      <w:proofErr w:type="spellStart"/>
      <w:r>
        <w:rPr>
          <w:rFonts w:asciiTheme="minorHAnsi" w:hAnsiTheme="minorHAnsi" w:cs="Arial"/>
          <w:color w:val="000000"/>
          <w:sz w:val="22"/>
          <w:szCs w:val="22"/>
          <w:lang w:eastAsia="en-IE"/>
        </w:rPr>
        <w:t>desupersaturation</w:t>
      </w:r>
      <w:proofErr w:type="spellEnd"/>
      <w:r>
        <w:rPr>
          <w:rFonts w:asciiTheme="minorHAnsi" w:hAnsiTheme="minorHAnsi" w:cs="Arial"/>
          <w:color w:val="000000"/>
          <w:sz w:val="22"/>
          <w:szCs w:val="22"/>
          <w:lang w:eastAsia="en-IE"/>
        </w:rPr>
        <w:t xml:space="preserve"> experiments were performed to estimate the crystal growth kinetics, which are outlined in Table 1. </w:t>
      </w:r>
      <w:r w:rsidR="00A441E4">
        <w:rPr>
          <w:rFonts w:asciiTheme="minorHAnsi" w:hAnsiTheme="minorHAnsi" w:cs="Arial"/>
          <w:color w:val="000000"/>
          <w:sz w:val="22"/>
          <w:szCs w:val="22"/>
          <w:lang w:eastAsia="en-IE"/>
        </w:rPr>
        <w:t xml:space="preserve"> A conservative approach of</w:t>
      </w:r>
      <w:r>
        <w:rPr>
          <w:rFonts w:asciiTheme="minorHAnsi" w:hAnsiTheme="minorHAnsi" w:cs="Arial"/>
          <w:color w:val="000000"/>
          <w:sz w:val="22"/>
          <w:szCs w:val="22"/>
          <w:lang w:eastAsia="en-IE"/>
        </w:rPr>
        <w:t xml:space="preserve"> using a high seed loading of </w:t>
      </w:r>
      <w:r w:rsidR="00A441E4">
        <w:rPr>
          <w:rFonts w:asciiTheme="minorHAnsi" w:hAnsiTheme="minorHAnsi" w:cs="Arial"/>
          <w:color w:val="000000"/>
          <w:sz w:val="22"/>
          <w:szCs w:val="22"/>
          <w:lang w:eastAsia="en-IE"/>
        </w:rPr>
        <w:t>50% allow</w:t>
      </w:r>
      <w:r>
        <w:rPr>
          <w:rFonts w:asciiTheme="minorHAnsi" w:hAnsiTheme="minorHAnsi" w:cs="Arial"/>
          <w:color w:val="000000"/>
          <w:sz w:val="22"/>
          <w:szCs w:val="22"/>
          <w:lang w:eastAsia="en-IE"/>
        </w:rPr>
        <w:t>ed</w:t>
      </w:r>
      <w:r w:rsidR="00A441E4">
        <w:rPr>
          <w:rFonts w:asciiTheme="minorHAnsi" w:hAnsiTheme="minorHAnsi" w:cs="Arial"/>
          <w:color w:val="000000"/>
          <w:sz w:val="22"/>
          <w:szCs w:val="22"/>
          <w:lang w:eastAsia="en-IE"/>
        </w:rPr>
        <w:t xml:space="preserve"> for the estimation of growth kinetics in the absence of nucleation</w:t>
      </w:r>
      <w:r>
        <w:rPr>
          <w:rFonts w:asciiTheme="minorHAnsi" w:hAnsiTheme="minorHAnsi" w:cs="Arial"/>
          <w:color w:val="000000"/>
          <w:sz w:val="22"/>
          <w:szCs w:val="22"/>
          <w:lang w:eastAsia="en-IE"/>
        </w:rPr>
        <w:t>. Furthermore, the temperature and initial relative supersaturation range covered in the parameter estimation was between 0 to 30°C and 0.226 to 0.670, which ensured that the entire phase diagram was covered and that the estimated parameters could describe the growth over a wide range of operating conditions.</w:t>
      </w:r>
      <w:r w:rsidR="00C127E0">
        <w:rPr>
          <w:rFonts w:asciiTheme="minorHAnsi" w:hAnsiTheme="minorHAnsi" w:cs="Arial"/>
          <w:color w:val="000000"/>
          <w:sz w:val="22"/>
          <w:szCs w:val="22"/>
          <w:lang w:eastAsia="en-IE"/>
        </w:rPr>
        <w:t xml:space="preserve"> One experiment (exp 4)</w:t>
      </w:r>
      <w:r w:rsidR="00254055">
        <w:rPr>
          <w:rFonts w:asciiTheme="minorHAnsi" w:hAnsiTheme="minorHAnsi" w:cs="Arial"/>
          <w:color w:val="000000"/>
          <w:sz w:val="22"/>
          <w:szCs w:val="22"/>
          <w:lang w:eastAsia="en-IE"/>
        </w:rPr>
        <w:t xml:space="preserve"> was performed to validate whether the </w:t>
      </w:r>
      <w:r w:rsidR="00A441E4">
        <w:rPr>
          <w:rFonts w:asciiTheme="minorHAnsi" w:hAnsiTheme="minorHAnsi" w:cs="Arial"/>
          <w:color w:val="000000"/>
          <w:sz w:val="22"/>
          <w:szCs w:val="22"/>
          <w:lang w:eastAsia="en-IE"/>
        </w:rPr>
        <w:t>growth is size dependent or independent b</w:t>
      </w:r>
      <w:r w:rsidR="00C127E0">
        <w:rPr>
          <w:rFonts w:asciiTheme="minorHAnsi" w:hAnsiTheme="minorHAnsi" w:cs="Arial"/>
          <w:color w:val="000000"/>
          <w:sz w:val="22"/>
          <w:szCs w:val="22"/>
          <w:lang w:eastAsia="en-IE"/>
        </w:rPr>
        <w:t>y using a larger seed fraction.</w:t>
      </w:r>
      <w:r w:rsidR="00980DC4">
        <w:rPr>
          <w:rFonts w:asciiTheme="minorHAnsi" w:hAnsiTheme="minorHAnsi" w:cs="Arial"/>
          <w:color w:val="000000"/>
          <w:sz w:val="22"/>
          <w:szCs w:val="22"/>
          <w:lang w:eastAsia="en-IE"/>
        </w:rPr>
        <w:t xml:space="preserve"> </w:t>
      </w:r>
    </w:p>
    <w:p w14:paraId="722582A8" w14:textId="20B22ECE" w:rsidR="004203F4" w:rsidRDefault="004203F4" w:rsidP="00C127E0">
      <w:pPr>
        <w:spacing w:after="120"/>
        <w:rPr>
          <w:rFonts w:asciiTheme="minorHAnsi" w:hAnsiTheme="minorHAnsi" w:cs="Arial"/>
          <w:color w:val="000000"/>
          <w:sz w:val="22"/>
          <w:szCs w:val="22"/>
          <w:lang w:eastAsia="en-IE"/>
        </w:rPr>
      </w:pPr>
      <w:r>
        <w:rPr>
          <w:rFonts w:asciiTheme="minorHAnsi" w:hAnsiTheme="minorHAnsi" w:cs="Arial"/>
          <w:color w:val="000000"/>
          <w:sz w:val="22"/>
          <w:szCs w:val="22"/>
          <w:lang w:eastAsia="en-IE"/>
        </w:rPr>
        <w:t>Table 1. Experimental conditions for parameter estimation for solvent system 1</w:t>
      </w:r>
    </w:p>
    <w:tbl>
      <w:tblPr>
        <w:tblW w:w="8484" w:type="dxa"/>
        <w:jc w:val="center"/>
        <w:tblLook w:val="04A0" w:firstRow="1" w:lastRow="0" w:firstColumn="1" w:lastColumn="0" w:noHBand="0" w:noVBand="1"/>
      </w:tblPr>
      <w:tblGrid>
        <w:gridCol w:w="2024"/>
        <w:gridCol w:w="2253"/>
        <w:gridCol w:w="1530"/>
        <w:gridCol w:w="2677"/>
      </w:tblGrid>
      <w:tr w:rsidR="00253122" w:rsidRPr="00253122" w14:paraId="192E2B78" w14:textId="77777777" w:rsidTr="00C127E0">
        <w:trPr>
          <w:trHeight w:val="230"/>
          <w:jc w:val="center"/>
        </w:trPr>
        <w:tc>
          <w:tcPr>
            <w:tcW w:w="2024" w:type="dxa"/>
            <w:tcBorders>
              <w:top w:val="single" w:sz="4" w:space="0" w:color="auto"/>
              <w:left w:val="nil"/>
              <w:bottom w:val="single" w:sz="4" w:space="0" w:color="auto"/>
              <w:right w:val="nil"/>
            </w:tcBorders>
            <w:shd w:val="clear" w:color="auto" w:fill="auto"/>
            <w:noWrap/>
            <w:hideMark/>
          </w:tcPr>
          <w:p w14:paraId="12207844" w14:textId="77777777" w:rsidR="00253122" w:rsidRPr="00253122" w:rsidRDefault="00253122" w:rsidP="00C127E0">
            <w:pPr>
              <w:tabs>
                <w:tab w:val="clear" w:pos="7100"/>
              </w:tabs>
              <w:spacing w:line="240" w:lineRule="auto"/>
              <w:jc w:val="center"/>
              <w:rPr>
                <w:rFonts w:ascii="Calibri" w:hAnsi="Calibri"/>
                <w:b/>
                <w:bCs/>
                <w:color w:val="000000"/>
                <w:sz w:val="22"/>
                <w:szCs w:val="22"/>
                <w:lang w:val="en-IE" w:eastAsia="en-IE"/>
              </w:rPr>
            </w:pPr>
            <w:r w:rsidRPr="00253122">
              <w:rPr>
                <w:rFonts w:ascii="Calibri" w:hAnsi="Calibri"/>
                <w:b/>
                <w:bCs/>
                <w:color w:val="000000"/>
                <w:sz w:val="22"/>
                <w:szCs w:val="22"/>
                <w:lang w:val="en-IE" w:eastAsia="en-IE"/>
              </w:rPr>
              <w:t>Experiment</w:t>
            </w:r>
          </w:p>
        </w:tc>
        <w:tc>
          <w:tcPr>
            <w:tcW w:w="2253" w:type="dxa"/>
            <w:tcBorders>
              <w:top w:val="single" w:sz="4" w:space="0" w:color="auto"/>
              <w:left w:val="nil"/>
              <w:bottom w:val="single" w:sz="4" w:space="0" w:color="auto"/>
              <w:right w:val="nil"/>
            </w:tcBorders>
            <w:shd w:val="clear" w:color="auto" w:fill="auto"/>
            <w:vAlign w:val="center"/>
            <w:hideMark/>
          </w:tcPr>
          <w:p w14:paraId="02B2809B" w14:textId="061F9AE4" w:rsidR="00253122" w:rsidRPr="00253122" w:rsidRDefault="00253122" w:rsidP="00C127E0">
            <w:pPr>
              <w:tabs>
                <w:tab w:val="clear" w:pos="7100"/>
              </w:tabs>
              <w:spacing w:line="240" w:lineRule="auto"/>
              <w:jc w:val="center"/>
              <w:rPr>
                <w:rFonts w:ascii="Calibri" w:hAnsi="Calibri"/>
                <w:b/>
                <w:bCs/>
                <w:color w:val="000000"/>
                <w:sz w:val="22"/>
                <w:szCs w:val="22"/>
                <w:lang w:val="en-IE" w:eastAsia="en-IE"/>
              </w:rPr>
            </w:pPr>
            <w:r w:rsidRPr="00253122">
              <w:rPr>
                <w:rFonts w:ascii="Calibri" w:hAnsi="Calibri"/>
                <w:b/>
                <w:bCs/>
                <w:color w:val="000000"/>
                <w:sz w:val="22"/>
                <w:szCs w:val="22"/>
                <w:lang w:val="en-IE" w:eastAsia="en-IE"/>
              </w:rPr>
              <w:t>Temperature</w:t>
            </w:r>
            <w:r w:rsidR="00C127E0">
              <w:rPr>
                <w:rFonts w:ascii="Calibri" w:hAnsi="Calibri"/>
                <w:b/>
                <w:bCs/>
                <w:color w:val="000000"/>
                <w:sz w:val="22"/>
                <w:szCs w:val="22"/>
                <w:lang w:val="en-IE" w:eastAsia="en-IE"/>
              </w:rPr>
              <w:t xml:space="preserve"> </w:t>
            </w:r>
            <w:r w:rsidRPr="00253122">
              <w:rPr>
                <w:rFonts w:ascii="Calibri" w:hAnsi="Calibri"/>
                <w:b/>
                <w:bCs/>
                <w:color w:val="000000"/>
                <w:sz w:val="22"/>
                <w:szCs w:val="22"/>
                <w:lang w:val="en-IE" w:eastAsia="en-IE"/>
              </w:rPr>
              <w:t>(°C)</w:t>
            </w:r>
          </w:p>
        </w:tc>
        <w:tc>
          <w:tcPr>
            <w:tcW w:w="1530" w:type="dxa"/>
            <w:tcBorders>
              <w:top w:val="single" w:sz="4" w:space="0" w:color="auto"/>
              <w:left w:val="nil"/>
              <w:bottom w:val="single" w:sz="4" w:space="0" w:color="auto"/>
              <w:right w:val="nil"/>
            </w:tcBorders>
            <w:shd w:val="clear" w:color="auto" w:fill="auto"/>
            <w:vAlign w:val="center"/>
            <w:hideMark/>
          </w:tcPr>
          <w:p w14:paraId="14FC5AC1" w14:textId="0283558B" w:rsidR="00253122" w:rsidRPr="00253122" w:rsidRDefault="00C127E0" w:rsidP="00C127E0">
            <w:pPr>
              <w:tabs>
                <w:tab w:val="clear" w:pos="7100"/>
              </w:tabs>
              <w:spacing w:line="240" w:lineRule="auto"/>
              <w:jc w:val="center"/>
              <w:rPr>
                <w:rFonts w:ascii="Calibri" w:hAnsi="Calibri"/>
                <w:b/>
                <w:bCs/>
                <w:color w:val="000000"/>
                <w:sz w:val="22"/>
                <w:szCs w:val="22"/>
                <w:lang w:val="en-IE" w:eastAsia="en-IE"/>
              </w:rPr>
            </w:pPr>
            <w:r w:rsidRPr="00253122">
              <w:rPr>
                <w:rFonts w:ascii="Calibri" w:hAnsi="Calibri"/>
                <w:b/>
                <w:bCs/>
                <w:color w:val="000000"/>
                <w:sz w:val="22"/>
                <w:szCs w:val="22"/>
                <w:lang w:val="en-IE" w:eastAsia="en-IE"/>
              </w:rPr>
              <w:t>R</w:t>
            </w:r>
            <w:r w:rsidR="00253122" w:rsidRPr="00253122">
              <w:rPr>
                <w:rFonts w:ascii="Calibri" w:hAnsi="Calibri"/>
                <w:b/>
                <w:bCs/>
                <w:color w:val="000000"/>
                <w:sz w:val="22"/>
                <w:szCs w:val="22"/>
                <w:lang w:val="en-IE" w:eastAsia="en-IE"/>
              </w:rPr>
              <w:t>elative</w:t>
            </w:r>
            <w:r>
              <w:rPr>
                <w:rFonts w:ascii="Calibri" w:hAnsi="Calibri"/>
                <w:b/>
                <w:bCs/>
                <w:color w:val="000000"/>
                <w:sz w:val="22"/>
                <w:szCs w:val="22"/>
                <w:lang w:val="en-IE" w:eastAsia="en-IE"/>
              </w:rPr>
              <w:t xml:space="preserve"> </w:t>
            </w:r>
            <w:r w:rsidR="00253122" w:rsidRPr="00253122">
              <w:rPr>
                <w:rFonts w:ascii="Calibri" w:hAnsi="Calibri"/>
                <w:b/>
                <w:bCs/>
                <w:color w:val="000000"/>
                <w:sz w:val="22"/>
                <w:szCs w:val="22"/>
                <w:lang w:val="en-IE" w:eastAsia="en-IE"/>
              </w:rPr>
              <w:t>S0 (-)</w:t>
            </w:r>
          </w:p>
        </w:tc>
        <w:tc>
          <w:tcPr>
            <w:tcW w:w="2677" w:type="dxa"/>
            <w:tcBorders>
              <w:top w:val="single" w:sz="4" w:space="0" w:color="auto"/>
              <w:left w:val="nil"/>
              <w:bottom w:val="single" w:sz="4" w:space="0" w:color="auto"/>
              <w:right w:val="nil"/>
            </w:tcBorders>
            <w:shd w:val="clear" w:color="auto" w:fill="auto"/>
            <w:vAlign w:val="center"/>
            <w:hideMark/>
          </w:tcPr>
          <w:p w14:paraId="30326A8B" w14:textId="037560E2" w:rsidR="00253122" w:rsidRPr="00253122" w:rsidRDefault="00253122" w:rsidP="00C127E0">
            <w:pPr>
              <w:tabs>
                <w:tab w:val="clear" w:pos="7100"/>
              </w:tabs>
              <w:spacing w:line="240" w:lineRule="auto"/>
              <w:jc w:val="center"/>
              <w:rPr>
                <w:rFonts w:ascii="Calibri" w:hAnsi="Calibri"/>
                <w:b/>
                <w:bCs/>
                <w:color w:val="000000"/>
                <w:sz w:val="22"/>
                <w:szCs w:val="22"/>
                <w:lang w:val="en-IE" w:eastAsia="en-IE"/>
              </w:rPr>
            </w:pPr>
            <w:r w:rsidRPr="00253122">
              <w:rPr>
                <w:rFonts w:ascii="Calibri" w:hAnsi="Calibri"/>
                <w:b/>
                <w:bCs/>
                <w:color w:val="000000"/>
                <w:sz w:val="22"/>
                <w:szCs w:val="22"/>
                <w:lang w:val="en-IE" w:eastAsia="en-IE"/>
              </w:rPr>
              <w:t>Seed Loading (%)</w:t>
            </w:r>
          </w:p>
        </w:tc>
      </w:tr>
      <w:tr w:rsidR="00253122" w:rsidRPr="00253122" w14:paraId="671DBFA6" w14:textId="77777777" w:rsidTr="00C127E0">
        <w:trPr>
          <w:trHeight w:val="319"/>
          <w:jc w:val="center"/>
        </w:trPr>
        <w:tc>
          <w:tcPr>
            <w:tcW w:w="2024" w:type="dxa"/>
            <w:tcBorders>
              <w:top w:val="single" w:sz="4" w:space="0" w:color="auto"/>
              <w:left w:val="nil"/>
              <w:bottom w:val="nil"/>
              <w:right w:val="nil"/>
            </w:tcBorders>
            <w:shd w:val="clear" w:color="auto" w:fill="auto"/>
            <w:noWrap/>
            <w:vAlign w:val="bottom"/>
            <w:hideMark/>
          </w:tcPr>
          <w:p w14:paraId="1B464D53"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1</w:t>
            </w:r>
          </w:p>
        </w:tc>
        <w:tc>
          <w:tcPr>
            <w:tcW w:w="2253" w:type="dxa"/>
            <w:tcBorders>
              <w:top w:val="single" w:sz="4" w:space="0" w:color="auto"/>
              <w:left w:val="nil"/>
              <w:bottom w:val="nil"/>
              <w:right w:val="nil"/>
            </w:tcBorders>
            <w:shd w:val="clear" w:color="auto" w:fill="auto"/>
            <w:noWrap/>
            <w:vAlign w:val="bottom"/>
            <w:hideMark/>
          </w:tcPr>
          <w:p w14:paraId="73111B80"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0</w:t>
            </w:r>
          </w:p>
        </w:tc>
        <w:tc>
          <w:tcPr>
            <w:tcW w:w="1530" w:type="dxa"/>
            <w:tcBorders>
              <w:top w:val="single" w:sz="4" w:space="0" w:color="auto"/>
              <w:left w:val="nil"/>
              <w:bottom w:val="nil"/>
              <w:right w:val="nil"/>
            </w:tcBorders>
            <w:shd w:val="clear" w:color="auto" w:fill="auto"/>
            <w:noWrap/>
            <w:vAlign w:val="center"/>
            <w:hideMark/>
          </w:tcPr>
          <w:p w14:paraId="72590019" w14:textId="1CDDE54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0.670</w:t>
            </w:r>
          </w:p>
        </w:tc>
        <w:tc>
          <w:tcPr>
            <w:tcW w:w="2677" w:type="dxa"/>
            <w:tcBorders>
              <w:top w:val="single" w:sz="4" w:space="0" w:color="auto"/>
              <w:left w:val="nil"/>
              <w:bottom w:val="nil"/>
              <w:right w:val="nil"/>
            </w:tcBorders>
            <w:shd w:val="clear" w:color="auto" w:fill="auto"/>
            <w:noWrap/>
            <w:vAlign w:val="bottom"/>
            <w:hideMark/>
          </w:tcPr>
          <w:p w14:paraId="5B65AFFF"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50</w:t>
            </w:r>
          </w:p>
        </w:tc>
      </w:tr>
      <w:tr w:rsidR="00253122" w:rsidRPr="00253122" w14:paraId="73417388" w14:textId="77777777" w:rsidTr="00C127E0">
        <w:trPr>
          <w:trHeight w:val="319"/>
          <w:jc w:val="center"/>
        </w:trPr>
        <w:tc>
          <w:tcPr>
            <w:tcW w:w="2024" w:type="dxa"/>
            <w:tcBorders>
              <w:top w:val="nil"/>
              <w:left w:val="nil"/>
              <w:bottom w:val="nil"/>
              <w:right w:val="nil"/>
            </w:tcBorders>
            <w:shd w:val="clear" w:color="auto" w:fill="auto"/>
            <w:noWrap/>
            <w:vAlign w:val="bottom"/>
            <w:hideMark/>
          </w:tcPr>
          <w:p w14:paraId="7B4E205D"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2</w:t>
            </w:r>
          </w:p>
        </w:tc>
        <w:tc>
          <w:tcPr>
            <w:tcW w:w="2253" w:type="dxa"/>
            <w:tcBorders>
              <w:top w:val="nil"/>
              <w:left w:val="nil"/>
              <w:bottom w:val="nil"/>
              <w:right w:val="nil"/>
            </w:tcBorders>
            <w:shd w:val="clear" w:color="auto" w:fill="auto"/>
            <w:noWrap/>
            <w:vAlign w:val="bottom"/>
            <w:hideMark/>
          </w:tcPr>
          <w:p w14:paraId="7F3C808C"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15</w:t>
            </w:r>
          </w:p>
        </w:tc>
        <w:tc>
          <w:tcPr>
            <w:tcW w:w="1530" w:type="dxa"/>
            <w:tcBorders>
              <w:top w:val="nil"/>
              <w:left w:val="nil"/>
              <w:bottom w:val="nil"/>
              <w:right w:val="nil"/>
            </w:tcBorders>
            <w:shd w:val="clear" w:color="auto" w:fill="auto"/>
            <w:noWrap/>
            <w:vAlign w:val="center"/>
            <w:hideMark/>
          </w:tcPr>
          <w:p w14:paraId="4F1C894C" w14:textId="6E9231BE"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0.474</w:t>
            </w:r>
          </w:p>
        </w:tc>
        <w:tc>
          <w:tcPr>
            <w:tcW w:w="2677" w:type="dxa"/>
            <w:tcBorders>
              <w:top w:val="nil"/>
              <w:left w:val="nil"/>
              <w:bottom w:val="nil"/>
              <w:right w:val="nil"/>
            </w:tcBorders>
            <w:shd w:val="clear" w:color="auto" w:fill="auto"/>
            <w:noWrap/>
            <w:vAlign w:val="bottom"/>
            <w:hideMark/>
          </w:tcPr>
          <w:p w14:paraId="14CC0DFE"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50</w:t>
            </w:r>
          </w:p>
        </w:tc>
      </w:tr>
      <w:tr w:rsidR="00253122" w:rsidRPr="00253122" w14:paraId="6D439D8A" w14:textId="77777777" w:rsidTr="00C127E0">
        <w:trPr>
          <w:trHeight w:val="319"/>
          <w:jc w:val="center"/>
        </w:trPr>
        <w:tc>
          <w:tcPr>
            <w:tcW w:w="2024" w:type="dxa"/>
            <w:tcBorders>
              <w:top w:val="nil"/>
              <w:left w:val="nil"/>
              <w:right w:val="nil"/>
            </w:tcBorders>
            <w:shd w:val="clear" w:color="auto" w:fill="auto"/>
            <w:noWrap/>
            <w:vAlign w:val="bottom"/>
            <w:hideMark/>
          </w:tcPr>
          <w:p w14:paraId="30FA1355"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3</w:t>
            </w:r>
          </w:p>
        </w:tc>
        <w:tc>
          <w:tcPr>
            <w:tcW w:w="2253" w:type="dxa"/>
            <w:tcBorders>
              <w:top w:val="nil"/>
              <w:left w:val="nil"/>
              <w:right w:val="nil"/>
            </w:tcBorders>
            <w:shd w:val="clear" w:color="auto" w:fill="auto"/>
            <w:noWrap/>
            <w:vAlign w:val="bottom"/>
            <w:hideMark/>
          </w:tcPr>
          <w:p w14:paraId="04C45F27"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30</w:t>
            </w:r>
          </w:p>
        </w:tc>
        <w:tc>
          <w:tcPr>
            <w:tcW w:w="1530" w:type="dxa"/>
            <w:tcBorders>
              <w:top w:val="nil"/>
              <w:left w:val="nil"/>
              <w:right w:val="nil"/>
            </w:tcBorders>
            <w:shd w:val="clear" w:color="auto" w:fill="auto"/>
            <w:noWrap/>
            <w:vAlign w:val="center"/>
            <w:hideMark/>
          </w:tcPr>
          <w:p w14:paraId="7C830247" w14:textId="6F0C3113"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0.22</w:t>
            </w:r>
            <w:r w:rsidR="00AB316B">
              <w:rPr>
                <w:rFonts w:ascii="Calibri" w:hAnsi="Calibri"/>
                <w:color w:val="000000"/>
                <w:sz w:val="22"/>
                <w:szCs w:val="22"/>
                <w:lang w:val="en-IE" w:eastAsia="en-IE"/>
              </w:rPr>
              <w:t>6</w:t>
            </w:r>
          </w:p>
        </w:tc>
        <w:tc>
          <w:tcPr>
            <w:tcW w:w="2677" w:type="dxa"/>
            <w:tcBorders>
              <w:top w:val="nil"/>
              <w:left w:val="nil"/>
              <w:right w:val="nil"/>
            </w:tcBorders>
            <w:shd w:val="clear" w:color="auto" w:fill="auto"/>
            <w:noWrap/>
            <w:vAlign w:val="bottom"/>
            <w:hideMark/>
          </w:tcPr>
          <w:p w14:paraId="48FB56F4"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50</w:t>
            </w:r>
          </w:p>
        </w:tc>
      </w:tr>
      <w:tr w:rsidR="00253122" w:rsidRPr="00253122" w14:paraId="29011A89" w14:textId="77777777" w:rsidTr="00C127E0">
        <w:trPr>
          <w:trHeight w:val="68"/>
          <w:jc w:val="center"/>
        </w:trPr>
        <w:tc>
          <w:tcPr>
            <w:tcW w:w="2024" w:type="dxa"/>
            <w:tcBorders>
              <w:top w:val="nil"/>
              <w:left w:val="nil"/>
              <w:bottom w:val="single" w:sz="4" w:space="0" w:color="auto"/>
              <w:right w:val="nil"/>
            </w:tcBorders>
            <w:shd w:val="clear" w:color="auto" w:fill="auto"/>
            <w:noWrap/>
            <w:vAlign w:val="bottom"/>
            <w:hideMark/>
          </w:tcPr>
          <w:p w14:paraId="55FF9B3C"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4</w:t>
            </w:r>
          </w:p>
        </w:tc>
        <w:tc>
          <w:tcPr>
            <w:tcW w:w="2253" w:type="dxa"/>
            <w:tcBorders>
              <w:top w:val="nil"/>
              <w:left w:val="nil"/>
              <w:bottom w:val="single" w:sz="4" w:space="0" w:color="auto"/>
              <w:right w:val="nil"/>
            </w:tcBorders>
            <w:shd w:val="clear" w:color="auto" w:fill="auto"/>
            <w:noWrap/>
            <w:vAlign w:val="bottom"/>
            <w:hideMark/>
          </w:tcPr>
          <w:p w14:paraId="49F34069"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30</w:t>
            </w:r>
          </w:p>
        </w:tc>
        <w:tc>
          <w:tcPr>
            <w:tcW w:w="1530" w:type="dxa"/>
            <w:tcBorders>
              <w:top w:val="nil"/>
              <w:left w:val="nil"/>
              <w:bottom w:val="single" w:sz="4" w:space="0" w:color="auto"/>
              <w:right w:val="nil"/>
            </w:tcBorders>
            <w:shd w:val="clear" w:color="auto" w:fill="auto"/>
            <w:noWrap/>
            <w:vAlign w:val="center"/>
            <w:hideMark/>
          </w:tcPr>
          <w:p w14:paraId="13FAE067" w14:textId="07B19C5A"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0.22</w:t>
            </w:r>
            <w:r w:rsidR="00AB316B">
              <w:rPr>
                <w:rFonts w:ascii="Calibri" w:hAnsi="Calibri"/>
                <w:color w:val="000000"/>
                <w:sz w:val="22"/>
                <w:szCs w:val="22"/>
                <w:lang w:val="en-IE" w:eastAsia="en-IE"/>
              </w:rPr>
              <w:t>6</w:t>
            </w:r>
          </w:p>
        </w:tc>
        <w:tc>
          <w:tcPr>
            <w:tcW w:w="2677" w:type="dxa"/>
            <w:tcBorders>
              <w:top w:val="nil"/>
              <w:left w:val="nil"/>
              <w:bottom w:val="single" w:sz="4" w:space="0" w:color="auto"/>
              <w:right w:val="nil"/>
            </w:tcBorders>
            <w:shd w:val="clear" w:color="auto" w:fill="auto"/>
            <w:noWrap/>
            <w:vAlign w:val="bottom"/>
            <w:hideMark/>
          </w:tcPr>
          <w:p w14:paraId="1A7F843F" w14:textId="77777777" w:rsidR="00253122" w:rsidRPr="00253122" w:rsidRDefault="00253122" w:rsidP="00C127E0">
            <w:pPr>
              <w:tabs>
                <w:tab w:val="clear" w:pos="7100"/>
              </w:tabs>
              <w:spacing w:line="240" w:lineRule="auto"/>
              <w:jc w:val="center"/>
              <w:rPr>
                <w:rFonts w:ascii="Calibri" w:hAnsi="Calibri"/>
                <w:color w:val="000000"/>
                <w:sz w:val="22"/>
                <w:szCs w:val="22"/>
                <w:lang w:val="en-IE" w:eastAsia="en-IE"/>
              </w:rPr>
            </w:pPr>
            <w:r w:rsidRPr="00253122">
              <w:rPr>
                <w:rFonts w:ascii="Calibri" w:hAnsi="Calibri"/>
                <w:color w:val="000000"/>
                <w:sz w:val="22"/>
                <w:szCs w:val="22"/>
                <w:lang w:val="en-IE" w:eastAsia="en-IE"/>
              </w:rPr>
              <w:t>50</w:t>
            </w:r>
          </w:p>
        </w:tc>
      </w:tr>
    </w:tbl>
    <w:p w14:paraId="5B68461B" w14:textId="77777777" w:rsidR="00980DC4" w:rsidRDefault="00980DC4" w:rsidP="009A40BE">
      <w:pPr>
        <w:spacing w:after="120"/>
        <w:rPr>
          <w:rFonts w:asciiTheme="minorHAnsi" w:hAnsiTheme="minorHAnsi" w:cs="Arial"/>
          <w:color w:val="000000"/>
          <w:sz w:val="22"/>
          <w:szCs w:val="22"/>
          <w:lang w:eastAsia="en-IE"/>
        </w:rPr>
      </w:pPr>
    </w:p>
    <w:p w14:paraId="0D26264A" w14:textId="26A26901" w:rsidR="00593B8F" w:rsidRPr="00F40077" w:rsidRDefault="008F4A17" w:rsidP="005F1760">
      <w:pPr>
        <w:spacing w:after="120"/>
        <w:rPr>
          <w:rFonts w:asciiTheme="minorHAnsi" w:hAnsiTheme="minorHAnsi" w:cs="Arial"/>
          <w:color w:val="000000"/>
          <w:sz w:val="22"/>
          <w:szCs w:val="22"/>
          <w:lang w:eastAsia="en-IE"/>
        </w:rPr>
      </w:pPr>
      <w:r w:rsidRPr="00224E9C">
        <w:rPr>
          <w:rFonts w:asciiTheme="minorHAnsi" w:hAnsiTheme="minorHAnsi" w:cs="Arial"/>
          <w:color w:val="000000"/>
          <w:sz w:val="22"/>
          <w:szCs w:val="22"/>
          <w:lang w:eastAsia="en-IE"/>
        </w:rPr>
        <w:t>During the continuous crystallization study, a recycling system was employed to significantly reduce the waste of raw materials during the MSMPR study prior to the onset of steady state, which can be very useful during the early stages of process development where limited amount of product is available. Furthermore, problems such as blocking of transfer line and feed inlet were eliminated, by applying a rapid intermittent withdrawal of slurry via dipped pipe</w:t>
      </w:r>
      <w:r w:rsidRPr="00224E9C">
        <w:rPr>
          <w:rFonts w:asciiTheme="minorHAnsi" w:hAnsiTheme="minorHAnsi" w:cs="Arial"/>
          <w:color w:val="000000"/>
          <w:sz w:val="22"/>
          <w:szCs w:val="22"/>
          <w:vertAlign w:val="superscript"/>
          <w:lang w:eastAsia="en-IE"/>
        </w:rPr>
        <w:t>1</w:t>
      </w:r>
      <w:r w:rsidRPr="00224E9C">
        <w:rPr>
          <w:rFonts w:asciiTheme="minorHAnsi" w:hAnsiTheme="minorHAnsi" w:cs="Arial"/>
          <w:color w:val="000000"/>
          <w:sz w:val="22"/>
          <w:szCs w:val="22"/>
          <w:lang w:eastAsia="en-IE"/>
        </w:rPr>
        <w:t>, and by using a tube-in-tube configuration to insulate the feed inlet line. Finally, a novel 3D printed jacketed nozzle was attached at the end of the feed inlet line to avoid the saturated solution from crystallizing which can lead to blockage.  Based on PBM and utilisation of the kinetic data</w:t>
      </w:r>
      <w:r w:rsidRPr="00224E9C">
        <w:rPr>
          <w:rFonts w:asciiTheme="minorHAnsi" w:hAnsiTheme="minorHAnsi" w:cs="Arial"/>
          <w:color w:val="000000"/>
          <w:sz w:val="22"/>
          <w:szCs w:val="22"/>
          <w:vertAlign w:val="superscript"/>
          <w:lang w:eastAsia="en-IE"/>
        </w:rPr>
        <w:t>2</w:t>
      </w:r>
      <w:r w:rsidRPr="00224E9C">
        <w:rPr>
          <w:rFonts w:asciiTheme="minorHAnsi" w:hAnsiTheme="minorHAnsi" w:cs="Arial"/>
          <w:color w:val="000000"/>
          <w:sz w:val="22"/>
          <w:szCs w:val="22"/>
          <w:lang w:eastAsia="en-IE"/>
        </w:rPr>
        <w:t xml:space="preserve">, CSD was simulated and residence time distribution, operating temperature and productivity of the MSMPR were optimised and finally experimentally verified. </w:t>
      </w:r>
      <w:r w:rsidR="00980DC4" w:rsidRPr="00224E9C">
        <w:rPr>
          <w:rFonts w:asciiTheme="minorHAnsi" w:hAnsiTheme="minorHAnsi" w:cs="Arial"/>
          <w:color w:val="000000"/>
          <w:sz w:val="22"/>
          <w:szCs w:val="22"/>
          <w:lang w:eastAsia="en-IE"/>
        </w:rPr>
        <w:t xml:space="preserve">Overall, a standardised workflow was developed for the kinetic assessment of an early development compound for continuous crystallization. </w:t>
      </w:r>
      <w:bookmarkStart w:id="0" w:name="_GoBack"/>
      <w:bookmarkEnd w:id="0"/>
    </w:p>
    <w:p w14:paraId="799F2D84" w14:textId="0DF108B8"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34B0225B" w14:textId="60E7A1EB" w:rsidR="00224E9C" w:rsidRDefault="00224E9C"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G. Hou, G. Power, M. Barrett, B. Glennon, G. Morris, Y. Zhao, </w:t>
      </w:r>
      <w:proofErr w:type="spellStart"/>
      <w:r w:rsidR="00A9023A">
        <w:rPr>
          <w:rFonts w:asciiTheme="minorHAnsi" w:hAnsiTheme="minorHAnsi"/>
          <w:color w:val="000000"/>
        </w:rPr>
        <w:t>Cryst</w:t>
      </w:r>
      <w:proofErr w:type="spellEnd"/>
      <w:r w:rsidR="00A9023A">
        <w:rPr>
          <w:rFonts w:asciiTheme="minorHAnsi" w:hAnsiTheme="minorHAnsi"/>
          <w:color w:val="000000"/>
        </w:rPr>
        <w:t xml:space="preserve"> Growth Des. 14 (2014) 1782-1793</w:t>
      </w:r>
    </w:p>
    <w:p w14:paraId="171607F5" w14:textId="78E610B3" w:rsidR="00224E9C" w:rsidRDefault="00A9023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G. Power, G. Hou, V. K. </w:t>
      </w:r>
      <w:proofErr w:type="spellStart"/>
      <w:r>
        <w:rPr>
          <w:rFonts w:asciiTheme="minorHAnsi" w:hAnsiTheme="minorHAnsi"/>
          <w:color w:val="000000"/>
        </w:rPr>
        <w:t>Kamaraju</w:t>
      </w:r>
      <w:proofErr w:type="spellEnd"/>
      <w:r>
        <w:rPr>
          <w:rFonts w:asciiTheme="minorHAnsi" w:hAnsiTheme="minorHAnsi"/>
          <w:color w:val="000000"/>
        </w:rPr>
        <w:t xml:space="preserve">, G. Morris, Y. Zhao, B. Glennon, </w:t>
      </w:r>
      <w:r w:rsidRPr="008D0BEB">
        <w:rPr>
          <w:rFonts w:asciiTheme="minorHAnsi" w:hAnsiTheme="minorHAnsi"/>
          <w:color w:val="000000"/>
        </w:rPr>
        <w:t xml:space="preserve">Chem. Eng. </w:t>
      </w:r>
      <w:r>
        <w:rPr>
          <w:rFonts w:asciiTheme="minorHAnsi" w:hAnsiTheme="minorHAnsi"/>
          <w:color w:val="000000"/>
        </w:rPr>
        <w:t>Sci. 133(2015) 125-139</w:t>
      </w:r>
    </w:p>
    <w:p w14:paraId="1196232A"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7CFC04C"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689413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8EB3" w14:textId="77777777" w:rsidR="002A3FB7" w:rsidRDefault="002A3FB7" w:rsidP="004F5E36">
      <w:r>
        <w:separator/>
      </w:r>
    </w:p>
  </w:endnote>
  <w:endnote w:type="continuationSeparator" w:id="0">
    <w:p w14:paraId="5030BB5E" w14:textId="77777777" w:rsidR="002A3FB7" w:rsidRDefault="002A3F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8353" w14:textId="77777777" w:rsidR="005D0FAF" w:rsidRDefault="005D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DD8E" w14:textId="77777777" w:rsidR="005D0FAF" w:rsidRDefault="005D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EF18" w14:textId="77777777" w:rsidR="005D0FAF" w:rsidRDefault="005D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7210" w14:textId="77777777" w:rsidR="002A3FB7" w:rsidRDefault="002A3FB7" w:rsidP="004F5E36">
      <w:r>
        <w:separator/>
      </w:r>
    </w:p>
  </w:footnote>
  <w:footnote w:type="continuationSeparator" w:id="0">
    <w:p w14:paraId="68098C23" w14:textId="77777777" w:rsidR="002A3FB7" w:rsidRDefault="002A3FB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BAC8" w14:textId="77777777" w:rsidR="005D0FAF" w:rsidRDefault="005D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FB30" w14:textId="77777777" w:rsidR="004D1162" w:rsidRDefault="00594E9F">
    <w:pPr>
      <w:pStyle w:val="Header"/>
    </w:pPr>
    <w:r>
      <w:rPr>
        <w:noProof/>
        <w:lang w:val="it-IT" w:eastAsia="it-IT"/>
      </w:rPr>
      <mc:AlternateContent>
        <mc:Choice Requires="wps">
          <w:drawing>
            <wp:anchor distT="0" distB="0" distL="114300" distR="114300" simplePos="0" relativeHeight="251666432" behindDoc="0" locked="0" layoutInCell="1" allowOverlap="1" wp14:anchorId="5ECBA896" wp14:editId="460F70C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5966B73E" wp14:editId="5490B8C3">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D3A3" w14:textId="77777777"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4F0CF89D" wp14:editId="3FAA8ED4">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F47BE65" w14:textId="77777777" w:rsidR="00C2112F" w:rsidRDefault="00C2112F" w:rsidP="00704BDF">
    <w:pPr>
      <w:ind w:left="-426" w:right="-285"/>
      <w:jc w:val="center"/>
      <w:rPr>
        <w:rFonts w:asciiTheme="minorHAnsi" w:hAnsiTheme="minorHAnsi"/>
        <w:b/>
        <w:i/>
        <w:color w:val="002060"/>
        <w:sz w:val="24"/>
        <w:szCs w:val="24"/>
        <w:lang w:val="en-US"/>
      </w:rPr>
    </w:pPr>
  </w:p>
  <w:p w14:paraId="7E603301" w14:textId="77777777" w:rsidR="005D0FAF" w:rsidRPr="00047DFD" w:rsidRDefault="00C2112F" w:rsidP="00047DFD">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047DFD" w:rsidRPr="00047DFD">
      <w:rPr>
        <w:rFonts w:asciiTheme="minorHAnsi" w:hAnsiTheme="minorHAnsi"/>
        <w:b/>
        <w:i/>
        <w:color w:val="002060"/>
        <w:sz w:val="24"/>
        <w:szCs w:val="24"/>
        <w:lang w:val="en-US"/>
      </w:rPr>
      <w:t>Crystallization fundamentals and industrial processes</w:t>
    </w:r>
  </w:p>
  <w:p w14:paraId="4B91B98E" w14:textId="77777777" w:rsidR="00704BDF" w:rsidRDefault="00704BDF" w:rsidP="005D0FAF">
    <w:pPr>
      <w:ind w:left="-426" w:right="-285"/>
      <w:jc w:val="center"/>
    </w:pPr>
    <w:r>
      <w:rPr>
        <w:noProof/>
        <w:lang w:val="it-IT" w:eastAsia="it-IT"/>
      </w:rPr>
      <mc:AlternateContent>
        <mc:Choice Requires="wps">
          <w:drawing>
            <wp:anchor distT="0" distB="0" distL="114300" distR="114300" simplePos="0" relativeHeight="251660288" behindDoc="0" locked="0" layoutInCell="1" allowOverlap="1" wp14:anchorId="0D363528" wp14:editId="73A206B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7DFD"/>
    <w:rsid w:val="00062A9A"/>
    <w:rsid w:val="0007509A"/>
    <w:rsid w:val="000A03B2"/>
    <w:rsid w:val="000D34BE"/>
    <w:rsid w:val="000E36F1"/>
    <w:rsid w:val="000E3A73"/>
    <w:rsid w:val="000E414A"/>
    <w:rsid w:val="000E7108"/>
    <w:rsid w:val="00130DEB"/>
    <w:rsid w:val="0013121F"/>
    <w:rsid w:val="00134DE4"/>
    <w:rsid w:val="00150E59"/>
    <w:rsid w:val="00184AD6"/>
    <w:rsid w:val="001B65C1"/>
    <w:rsid w:val="001C684B"/>
    <w:rsid w:val="001D53FC"/>
    <w:rsid w:val="001F2EC7"/>
    <w:rsid w:val="002065DB"/>
    <w:rsid w:val="00224E9C"/>
    <w:rsid w:val="002447EF"/>
    <w:rsid w:val="00251550"/>
    <w:rsid w:val="00253122"/>
    <w:rsid w:val="00254055"/>
    <w:rsid w:val="0027221A"/>
    <w:rsid w:val="00275B61"/>
    <w:rsid w:val="00286846"/>
    <w:rsid w:val="002A3FB7"/>
    <w:rsid w:val="002D1F12"/>
    <w:rsid w:val="003009B7"/>
    <w:rsid w:val="0030469C"/>
    <w:rsid w:val="003723D4"/>
    <w:rsid w:val="003A35B0"/>
    <w:rsid w:val="003A7D1C"/>
    <w:rsid w:val="003C43C8"/>
    <w:rsid w:val="0041481B"/>
    <w:rsid w:val="004203F4"/>
    <w:rsid w:val="0046164A"/>
    <w:rsid w:val="00462DCD"/>
    <w:rsid w:val="004D1162"/>
    <w:rsid w:val="004E4DD6"/>
    <w:rsid w:val="004F5E36"/>
    <w:rsid w:val="005119A5"/>
    <w:rsid w:val="005278B7"/>
    <w:rsid w:val="005346C8"/>
    <w:rsid w:val="00593B8F"/>
    <w:rsid w:val="00594E9F"/>
    <w:rsid w:val="005A082C"/>
    <w:rsid w:val="005B61E6"/>
    <w:rsid w:val="005C2E77"/>
    <w:rsid w:val="005C77E1"/>
    <w:rsid w:val="005D0FAF"/>
    <w:rsid w:val="005D6A2F"/>
    <w:rsid w:val="005E1A82"/>
    <w:rsid w:val="005F0A28"/>
    <w:rsid w:val="005F0E5E"/>
    <w:rsid w:val="005F1760"/>
    <w:rsid w:val="006009B0"/>
    <w:rsid w:val="00620DEE"/>
    <w:rsid w:val="00625639"/>
    <w:rsid w:val="0064184D"/>
    <w:rsid w:val="00660E3E"/>
    <w:rsid w:val="00662E74"/>
    <w:rsid w:val="006A58D2"/>
    <w:rsid w:val="006C5579"/>
    <w:rsid w:val="006E3881"/>
    <w:rsid w:val="00704BDF"/>
    <w:rsid w:val="00723E36"/>
    <w:rsid w:val="00736B13"/>
    <w:rsid w:val="007447F3"/>
    <w:rsid w:val="007661C8"/>
    <w:rsid w:val="007D52CD"/>
    <w:rsid w:val="00813288"/>
    <w:rsid w:val="008168FC"/>
    <w:rsid w:val="00845645"/>
    <w:rsid w:val="008479A2"/>
    <w:rsid w:val="008561D9"/>
    <w:rsid w:val="0087637F"/>
    <w:rsid w:val="00884FC0"/>
    <w:rsid w:val="008A1512"/>
    <w:rsid w:val="008D0BEB"/>
    <w:rsid w:val="008E566E"/>
    <w:rsid w:val="008F4A17"/>
    <w:rsid w:val="00901EB6"/>
    <w:rsid w:val="009450CE"/>
    <w:rsid w:val="0095164B"/>
    <w:rsid w:val="00980DC4"/>
    <w:rsid w:val="00996483"/>
    <w:rsid w:val="009A40BE"/>
    <w:rsid w:val="009E788A"/>
    <w:rsid w:val="00A1763D"/>
    <w:rsid w:val="00A17CEC"/>
    <w:rsid w:val="00A27EF0"/>
    <w:rsid w:val="00A441E4"/>
    <w:rsid w:val="00A76EFC"/>
    <w:rsid w:val="00A9023A"/>
    <w:rsid w:val="00A9626B"/>
    <w:rsid w:val="00A97F29"/>
    <w:rsid w:val="00AB0964"/>
    <w:rsid w:val="00AB316B"/>
    <w:rsid w:val="00AE377D"/>
    <w:rsid w:val="00B61DBF"/>
    <w:rsid w:val="00B9747B"/>
    <w:rsid w:val="00BC30C9"/>
    <w:rsid w:val="00BE3E58"/>
    <w:rsid w:val="00BE58A0"/>
    <w:rsid w:val="00C01616"/>
    <w:rsid w:val="00C0162B"/>
    <w:rsid w:val="00C127E0"/>
    <w:rsid w:val="00C2112F"/>
    <w:rsid w:val="00C345B1"/>
    <w:rsid w:val="00C40142"/>
    <w:rsid w:val="00C57182"/>
    <w:rsid w:val="00C655FD"/>
    <w:rsid w:val="00C867B1"/>
    <w:rsid w:val="00C94434"/>
    <w:rsid w:val="00CA1C95"/>
    <w:rsid w:val="00CA5A9C"/>
    <w:rsid w:val="00CD5FE2"/>
    <w:rsid w:val="00D02B4C"/>
    <w:rsid w:val="00D558C0"/>
    <w:rsid w:val="00D73826"/>
    <w:rsid w:val="00D84576"/>
    <w:rsid w:val="00DE0019"/>
    <w:rsid w:val="00DE264A"/>
    <w:rsid w:val="00E041E7"/>
    <w:rsid w:val="00E23CA1"/>
    <w:rsid w:val="00E409A8"/>
    <w:rsid w:val="00E7209D"/>
    <w:rsid w:val="00EA4908"/>
    <w:rsid w:val="00EA50E1"/>
    <w:rsid w:val="00EE0131"/>
    <w:rsid w:val="00F30C64"/>
    <w:rsid w:val="00F4007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99CC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Emphasis">
    <w:name w:val="Emphasis"/>
    <w:basedOn w:val="DefaultParagraphFont"/>
    <w:uiPriority w:val="20"/>
    <w:qFormat/>
    <w:locked/>
    <w:rsid w:val="00A90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 w:id="258489131">
      <w:bodyDiv w:val="1"/>
      <w:marLeft w:val="0"/>
      <w:marRight w:val="0"/>
      <w:marTop w:val="0"/>
      <w:marBottom w:val="0"/>
      <w:divBdr>
        <w:top w:val="none" w:sz="0" w:space="0" w:color="auto"/>
        <w:left w:val="none" w:sz="0" w:space="0" w:color="auto"/>
        <w:bottom w:val="none" w:sz="0" w:space="0" w:color="auto"/>
        <w:right w:val="none" w:sz="0" w:space="0" w:color="auto"/>
      </w:divBdr>
    </w:div>
    <w:div w:id="4351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D805-55B1-484B-AF06-A8F30837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Gladys Pascual</cp:lastModifiedBy>
  <cp:revision>3</cp:revision>
  <cp:lastPrinted>2015-05-12T18:31:00Z</cp:lastPrinted>
  <dcterms:created xsi:type="dcterms:W3CDTF">2019-04-30T16:50:00Z</dcterms:created>
  <dcterms:modified xsi:type="dcterms:W3CDTF">2019-04-30T16:55:00Z</dcterms:modified>
</cp:coreProperties>
</file>