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2228EB" w:rsidRDefault="002228EB" w:rsidP="00704BDF">
      <w:pPr>
        <w:snapToGrid w:val="0"/>
        <w:spacing w:after="120"/>
        <w:jc w:val="center"/>
        <w:rPr>
          <w:rFonts w:asciiTheme="minorHAnsi" w:eastAsia="MS PGothic" w:hAnsiTheme="minorHAnsi"/>
          <w:b/>
          <w:bCs/>
          <w:sz w:val="28"/>
          <w:szCs w:val="28"/>
          <w:lang w:val="en-US"/>
        </w:rPr>
      </w:pPr>
      <w:proofErr w:type="gramStart"/>
      <w:r w:rsidRPr="002228EB">
        <w:rPr>
          <w:rFonts w:asciiTheme="minorHAnsi" w:eastAsia="MS PGothic" w:hAnsiTheme="minorHAnsi"/>
          <w:b/>
          <w:bCs/>
          <w:sz w:val="28"/>
          <w:szCs w:val="28"/>
          <w:lang w:val="en-US"/>
        </w:rPr>
        <w:t>Bio-Cascading</w:t>
      </w:r>
      <w:proofErr w:type="gramEnd"/>
      <w:r w:rsidRPr="002228EB">
        <w:rPr>
          <w:rFonts w:asciiTheme="minorHAnsi" w:eastAsia="MS PGothic" w:hAnsiTheme="minorHAnsi"/>
          <w:b/>
          <w:bCs/>
          <w:sz w:val="28"/>
          <w:szCs w:val="28"/>
          <w:lang w:val="en-US"/>
        </w:rPr>
        <w:t xml:space="preserve"> of Heat-Treated Wood after Service Life to Obtain </w:t>
      </w:r>
      <w:proofErr w:type="spellStart"/>
      <w:r w:rsidRPr="002228EB">
        <w:rPr>
          <w:rFonts w:asciiTheme="minorHAnsi" w:eastAsia="MS PGothic" w:hAnsiTheme="minorHAnsi"/>
          <w:b/>
          <w:bCs/>
          <w:sz w:val="28"/>
          <w:szCs w:val="28"/>
          <w:lang w:val="en-US"/>
        </w:rPr>
        <w:t>Lignocellulosic</w:t>
      </w:r>
      <w:proofErr w:type="spellEnd"/>
      <w:r w:rsidRPr="002228EB">
        <w:rPr>
          <w:rFonts w:asciiTheme="minorHAnsi" w:eastAsia="MS PGothic" w:hAnsiTheme="minorHAnsi"/>
          <w:b/>
          <w:bCs/>
          <w:sz w:val="28"/>
          <w:szCs w:val="28"/>
          <w:lang w:val="en-US"/>
        </w:rPr>
        <w:t xml:space="preserve"> Derivatives </w:t>
      </w:r>
    </w:p>
    <w:p w:rsidR="002228EB" w:rsidRDefault="002228EB" w:rsidP="00704BDF">
      <w:pPr>
        <w:snapToGrid w:val="0"/>
        <w:spacing w:after="120"/>
        <w:jc w:val="center"/>
        <w:rPr>
          <w:rFonts w:asciiTheme="minorHAnsi" w:eastAsia="SimSun" w:hAnsiTheme="minorHAnsi"/>
          <w:color w:val="000000"/>
          <w:sz w:val="24"/>
          <w:szCs w:val="24"/>
          <w:u w:val="single"/>
          <w:lang w:val="en-US" w:eastAsia="zh-CN"/>
        </w:rPr>
      </w:pPr>
      <w:r w:rsidRPr="002228EB">
        <w:rPr>
          <w:rFonts w:asciiTheme="minorHAnsi" w:eastAsia="SimSun" w:hAnsiTheme="minorHAnsi"/>
          <w:color w:val="000000"/>
          <w:sz w:val="24"/>
          <w:szCs w:val="24"/>
          <w:u w:val="single"/>
          <w:lang w:val="en-US" w:eastAsia="zh-CN"/>
        </w:rPr>
        <w:t xml:space="preserve">Eduardo Robles*, Pedro L. De </w:t>
      </w:r>
      <w:proofErr w:type="spellStart"/>
      <w:r w:rsidRPr="002228EB">
        <w:rPr>
          <w:rFonts w:asciiTheme="minorHAnsi" w:eastAsia="SimSun" w:hAnsiTheme="minorHAnsi"/>
          <w:color w:val="000000"/>
          <w:sz w:val="24"/>
          <w:szCs w:val="24"/>
          <w:u w:val="single"/>
          <w:lang w:val="en-US" w:eastAsia="zh-CN"/>
        </w:rPr>
        <w:t>Hoyos</w:t>
      </w:r>
      <w:proofErr w:type="spellEnd"/>
      <w:r w:rsidRPr="002228EB">
        <w:rPr>
          <w:rFonts w:asciiTheme="minorHAnsi" w:eastAsia="SimSun" w:hAnsiTheme="minorHAnsi"/>
          <w:color w:val="000000"/>
          <w:sz w:val="24"/>
          <w:szCs w:val="24"/>
          <w:u w:val="single"/>
          <w:lang w:val="en-US" w:eastAsia="zh-CN"/>
        </w:rPr>
        <w:t xml:space="preserve"> </w:t>
      </w:r>
      <w:proofErr w:type="spellStart"/>
      <w:r w:rsidRPr="002228EB">
        <w:rPr>
          <w:rFonts w:asciiTheme="minorHAnsi" w:eastAsia="SimSun" w:hAnsiTheme="minorHAnsi"/>
          <w:color w:val="000000"/>
          <w:sz w:val="24"/>
          <w:szCs w:val="24"/>
          <w:u w:val="single"/>
          <w:lang w:val="en-US" w:eastAsia="zh-CN"/>
        </w:rPr>
        <w:t>Martínez</w:t>
      </w:r>
      <w:proofErr w:type="spellEnd"/>
      <w:r w:rsidRPr="002228EB">
        <w:rPr>
          <w:rFonts w:asciiTheme="minorHAnsi" w:eastAsia="SimSun" w:hAnsiTheme="minorHAnsi"/>
          <w:color w:val="000000"/>
          <w:sz w:val="24"/>
          <w:szCs w:val="24"/>
          <w:u w:val="single"/>
          <w:lang w:val="en-US" w:eastAsia="zh-CN"/>
        </w:rPr>
        <w:t xml:space="preserve">, Javier </w:t>
      </w:r>
      <w:proofErr w:type="spellStart"/>
      <w:r w:rsidRPr="002228EB">
        <w:rPr>
          <w:rFonts w:asciiTheme="minorHAnsi" w:eastAsia="SimSun" w:hAnsiTheme="minorHAnsi"/>
          <w:color w:val="000000"/>
          <w:sz w:val="24"/>
          <w:szCs w:val="24"/>
          <w:u w:val="single"/>
          <w:lang w:val="en-US" w:eastAsia="zh-CN"/>
        </w:rPr>
        <w:t>Fernández</w:t>
      </w:r>
      <w:proofErr w:type="spellEnd"/>
      <w:r w:rsidRPr="002228EB">
        <w:rPr>
          <w:rFonts w:asciiTheme="minorHAnsi" w:eastAsia="SimSun" w:hAnsiTheme="minorHAnsi"/>
          <w:color w:val="000000"/>
          <w:sz w:val="24"/>
          <w:szCs w:val="24"/>
          <w:u w:val="single"/>
          <w:lang w:val="en-US" w:eastAsia="zh-CN"/>
        </w:rPr>
        <w:t xml:space="preserve">, René Herrera, </w:t>
      </w:r>
      <w:proofErr w:type="spellStart"/>
      <w:r w:rsidRPr="002228EB">
        <w:rPr>
          <w:rFonts w:asciiTheme="minorHAnsi" w:eastAsia="SimSun" w:hAnsiTheme="minorHAnsi"/>
          <w:color w:val="000000"/>
          <w:sz w:val="24"/>
          <w:szCs w:val="24"/>
          <w:u w:val="single"/>
          <w:lang w:val="en-US" w:eastAsia="zh-CN"/>
        </w:rPr>
        <w:t>Oihana</w:t>
      </w:r>
      <w:proofErr w:type="spellEnd"/>
      <w:r w:rsidRPr="002228EB">
        <w:rPr>
          <w:rFonts w:asciiTheme="minorHAnsi" w:eastAsia="SimSun" w:hAnsiTheme="minorHAnsi"/>
          <w:color w:val="000000"/>
          <w:sz w:val="24"/>
          <w:szCs w:val="24"/>
          <w:u w:val="single"/>
          <w:lang w:val="en-US" w:eastAsia="zh-CN"/>
        </w:rPr>
        <w:t xml:space="preserve"> </w:t>
      </w:r>
      <w:proofErr w:type="spellStart"/>
      <w:r w:rsidRPr="002228EB">
        <w:rPr>
          <w:rFonts w:asciiTheme="minorHAnsi" w:eastAsia="SimSun" w:hAnsiTheme="minorHAnsi"/>
          <w:color w:val="000000"/>
          <w:sz w:val="24"/>
          <w:szCs w:val="24"/>
          <w:u w:val="single"/>
          <w:lang w:val="en-US" w:eastAsia="zh-CN"/>
        </w:rPr>
        <w:t>Gordobil</w:t>
      </w:r>
      <w:proofErr w:type="spellEnd"/>
      <w:r w:rsidRPr="002228EB">
        <w:rPr>
          <w:rFonts w:asciiTheme="minorHAnsi" w:eastAsia="SimSun" w:hAnsiTheme="minorHAnsi"/>
          <w:color w:val="000000"/>
          <w:sz w:val="24"/>
          <w:szCs w:val="24"/>
          <w:u w:val="single"/>
          <w:lang w:val="en-US" w:eastAsia="zh-CN"/>
        </w:rPr>
        <w:t xml:space="preserve">, </w:t>
      </w:r>
      <w:proofErr w:type="spellStart"/>
      <w:r w:rsidRPr="002228EB">
        <w:rPr>
          <w:rFonts w:asciiTheme="minorHAnsi" w:eastAsia="SimSun" w:hAnsiTheme="minorHAnsi"/>
          <w:color w:val="000000"/>
          <w:sz w:val="24"/>
          <w:szCs w:val="24"/>
          <w:u w:val="single"/>
          <w:lang w:val="en-US" w:eastAsia="zh-CN"/>
        </w:rPr>
        <w:t>Jalel</w:t>
      </w:r>
      <w:proofErr w:type="spellEnd"/>
      <w:r w:rsidRPr="002228EB">
        <w:rPr>
          <w:rFonts w:asciiTheme="minorHAnsi" w:eastAsia="SimSun" w:hAnsiTheme="minorHAnsi"/>
          <w:color w:val="000000"/>
          <w:sz w:val="24"/>
          <w:szCs w:val="24"/>
          <w:u w:val="single"/>
          <w:lang w:val="en-US" w:eastAsia="zh-CN"/>
        </w:rPr>
        <w:t xml:space="preserve"> </w:t>
      </w:r>
      <w:proofErr w:type="spellStart"/>
      <w:r w:rsidRPr="002228EB">
        <w:rPr>
          <w:rFonts w:asciiTheme="minorHAnsi" w:eastAsia="SimSun" w:hAnsiTheme="minorHAnsi"/>
          <w:color w:val="000000"/>
          <w:sz w:val="24"/>
          <w:szCs w:val="24"/>
          <w:u w:val="single"/>
          <w:lang w:val="en-US" w:eastAsia="zh-CN"/>
        </w:rPr>
        <w:t>Labidi</w:t>
      </w:r>
      <w:proofErr w:type="spellEnd"/>
    </w:p>
    <w:p w:rsidR="00FA2CF3" w:rsidRPr="00FA2CF3" w:rsidRDefault="002228EB" w:rsidP="00FA2CF3">
      <w:pPr>
        <w:snapToGrid w:val="0"/>
        <w:spacing w:after="120"/>
        <w:jc w:val="center"/>
        <w:rPr>
          <w:rFonts w:asciiTheme="minorHAnsi" w:eastAsia="MS PGothic" w:hAnsiTheme="minorHAnsi"/>
          <w:i/>
          <w:iCs/>
          <w:color w:val="000000"/>
          <w:sz w:val="20"/>
          <w:lang w:val="en-US"/>
        </w:rPr>
      </w:pPr>
      <w:proofErr w:type="spellStart"/>
      <w:r w:rsidRPr="00FA2CF3">
        <w:rPr>
          <w:rFonts w:asciiTheme="minorHAnsi" w:eastAsia="MS PGothic" w:hAnsiTheme="minorHAnsi"/>
          <w:i/>
          <w:iCs/>
          <w:color w:val="000000"/>
          <w:sz w:val="20"/>
          <w:lang w:val="en-US"/>
        </w:rPr>
        <w:t>Biorefinery</w:t>
      </w:r>
      <w:proofErr w:type="spellEnd"/>
      <w:r w:rsidRPr="00FA2CF3">
        <w:rPr>
          <w:rFonts w:asciiTheme="minorHAnsi" w:eastAsia="MS PGothic" w:hAnsiTheme="minorHAnsi"/>
          <w:i/>
          <w:iCs/>
          <w:color w:val="000000"/>
          <w:sz w:val="20"/>
          <w:lang w:val="en-US"/>
        </w:rPr>
        <w:t xml:space="preserve"> Processes Group, Chemical and Environmental Engineering Department, Faculty of Engineering </w:t>
      </w:r>
      <w:proofErr w:type="spellStart"/>
      <w:r w:rsidRPr="00FA2CF3">
        <w:rPr>
          <w:rFonts w:asciiTheme="minorHAnsi" w:eastAsia="MS PGothic" w:hAnsiTheme="minorHAnsi"/>
          <w:i/>
          <w:iCs/>
          <w:color w:val="000000"/>
          <w:sz w:val="20"/>
          <w:lang w:val="en-US"/>
        </w:rPr>
        <w:t>Gipuzkoa</w:t>
      </w:r>
      <w:proofErr w:type="spellEnd"/>
      <w:r w:rsidRPr="00FA2CF3">
        <w:rPr>
          <w:rFonts w:asciiTheme="minorHAnsi" w:eastAsia="MS PGothic" w:hAnsiTheme="minorHAnsi"/>
          <w:i/>
          <w:iCs/>
          <w:color w:val="000000"/>
          <w:sz w:val="20"/>
          <w:lang w:val="en-US"/>
        </w:rPr>
        <w:t xml:space="preserve">, University of the Basque Country UPV/EHU, Plaza Europa 1, 20018 </w:t>
      </w:r>
      <w:proofErr w:type="spellStart"/>
      <w:r w:rsidRPr="00FA2CF3">
        <w:rPr>
          <w:rFonts w:asciiTheme="minorHAnsi" w:eastAsia="MS PGothic" w:hAnsiTheme="minorHAnsi"/>
          <w:i/>
          <w:iCs/>
          <w:color w:val="000000"/>
          <w:sz w:val="20"/>
          <w:lang w:val="en-US"/>
        </w:rPr>
        <w:t>Donostia</w:t>
      </w:r>
      <w:proofErr w:type="spellEnd"/>
      <w:r w:rsidRPr="00FA2CF3">
        <w:rPr>
          <w:rFonts w:asciiTheme="minorHAnsi" w:eastAsia="MS PGothic" w:hAnsiTheme="minorHAnsi"/>
          <w:i/>
          <w:iCs/>
          <w:color w:val="000000"/>
          <w:sz w:val="20"/>
          <w:lang w:val="en-US"/>
        </w:rPr>
        <w:t>, Spain</w:t>
      </w:r>
    </w:p>
    <w:p w:rsidR="00FA2CF3" w:rsidRPr="00FA2CF3" w:rsidRDefault="00FA2CF3" w:rsidP="00FA2CF3">
      <w:pPr>
        <w:snapToGrid w:val="0"/>
        <w:spacing w:after="120"/>
        <w:jc w:val="center"/>
        <w:rPr>
          <w:rFonts w:asciiTheme="minorHAnsi" w:eastAsia="MS PGothic" w:hAnsiTheme="minorHAnsi"/>
          <w:i/>
          <w:iCs/>
          <w:color w:val="000000"/>
          <w:sz w:val="20"/>
          <w:lang w:val="en-US"/>
        </w:rPr>
      </w:pPr>
      <w:hyperlink r:id="rId10" w:history="1">
        <w:r w:rsidRPr="00FA2CF3">
          <w:rPr>
            <w:rFonts w:asciiTheme="minorHAnsi" w:hAnsiTheme="minorHAnsi"/>
            <w:i/>
            <w:color w:val="000000"/>
            <w:sz w:val="20"/>
            <w:lang w:val="en-US"/>
          </w:rPr>
          <w:t>*joseeduardo.robles@ehu.eus</w:t>
        </w:r>
      </w:hyperlink>
    </w:p>
    <w:p w:rsidR="00704BDF" w:rsidRPr="00EC66CC" w:rsidRDefault="00704BDF" w:rsidP="002228EB">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704BDF" w:rsidP="00704BDF">
      <w:pPr>
        <w:pStyle w:val="AbstractBody"/>
        <w:numPr>
          <w:ilvl w:val="0"/>
          <w:numId w:val="16"/>
        </w:numPr>
        <w:rPr>
          <w:rFonts w:asciiTheme="minorHAnsi" w:hAnsiTheme="minorHAnsi"/>
        </w:rPr>
      </w:pPr>
      <w:r w:rsidRPr="00EC66CC">
        <w:rPr>
          <w:rFonts w:asciiTheme="minorHAnsi" w:hAnsiTheme="minorHAnsi"/>
        </w:rPr>
        <w:t xml:space="preserve">Include </w:t>
      </w:r>
      <w:r w:rsidRPr="00EC66CC">
        <w:rPr>
          <w:rFonts w:asciiTheme="minorHAnsi" w:eastAsia="SimSun" w:hAnsiTheme="minorHAnsi"/>
          <w:lang w:eastAsia="zh-CN"/>
        </w:rPr>
        <w:t>3</w:t>
      </w:r>
      <w:r w:rsidRPr="00EC66CC">
        <w:rPr>
          <w:rFonts w:asciiTheme="minorHAnsi" w:hAnsiTheme="minorHAnsi"/>
        </w:rPr>
        <w:t xml:space="preserve"> to </w:t>
      </w:r>
      <w:r w:rsidRPr="00EC66CC">
        <w:rPr>
          <w:rFonts w:asciiTheme="minorHAnsi" w:eastAsia="SimSun" w:hAnsiTheme="minorHAnsi"/>
          <w:lang w:eastAsia="zh-CN"/>
        </w:rPr>
        <w:t>4</w:t>
      </w:r>
      <w:r w:rsidRPr="00EC66CC">
        <w:rPr>
          <w:rFonts w:asciiTheme="minorHAnsi" w:hAnsiTheme="minorHAnsi"/>
        </w:rPr>
        <w:t xml:space="preserve"> highlights in bullets format. [</w:t>
      </w:r>
      <w:r>
        <w:rPr>
          <w:rFonts w:asciiTheme="minorHAnsi" w:hAnsiTheme="minorHAnsi"/>
        </w:rPr>
        <w:t>Calibri</w:t>
      </w:r>
      <w:r w:rsidRPr="00EC66CC">
        <w:rPr>
          <w:rFonts w:asciiTheme="minorHAnsi" w:hAnsiTheme="minorHAnsi"/>
        </w:rPr>
        <w:t xml:space="preserve"> 10].</w:t>
      </w:r>
    </w:p>
    <w:p w:rsidR="00704BDF" w:rsidRPr="00EC66CC" w:rsidRDefault="00704BDF" w:rsidP="00704BDF">
      <w:pPr>
        <w:pStyle w:val="AbstractBody"/>
        <w:numPr>
          <w:ilvl w:val="0"/>
          <w:numId w:val="16"/>
        </w:numPr>
        <w:rPr>
          <w:rFonts w:asciiTheme="minorHAnsi" w:hAnsiTheme="minorHAnsi"/>
        </w:rPr>
      </w:pPr>
      <w:r w:rsidRPr="00EC66CC">
        <w:rPr>
          <w:rFonts w:asciiTheme="minorHAnsi" w:hAnsiTheme="minorHAnsi"/>
        </w:rPr>
        <w:t xml:space="preserve">Max. </w:t>
      </w:r>
      <w:proofErr w:type="gramStart"/>
      <w:r w:rsidRPr="00EC66CC">
        <w:rPr>
          <w:rFonts w:asciiTheme="minorHAnsi" w:hAnsiTheme="minorHAnsi"/>
        </w:rPr>
        <w:t>90</w:t>
      </w:r>
      <w:proofErr w:type="gramEnd"/>
      <w:r w:rsidRPr="00EC66CC">
        <w:rPr>
          <w:rFonts w:asciiTheme="minorHAnsi" w:hAnsiTheme="minorHAnsi"/>
        </w:rPr>
        <w:t xml:space="preserve"> characters per highlight including spaces. </w:t>
      </w:r>
    </w:p>
    <w:p w:rsidR="00704BDF" w:rsidRPr="00EC66CC" w:rsidRDefault="00704BDF" w:rsidP="00704BDF">
      <w:pPr>
        <w:pStyle w:val="AbstractBody"/>
        <w:numPr>
          <w:ilvl w:val="0"/>
          <w:numId w:val="16"/>
        </w:numPr>
        <w:rPr>
          <w:rFonts w:asciiTheme="minorHAnsi" w:hAnsiTheme="minorHAnsi"/>
        </w:rPr>
      </w:pPr>
      <w:r w:rsidRPr="00EC66CC">
        <w:rPr>
          <w:rFonts w:asciiTheme="minorHAnsi" w:hAnsiTheme="minorHAnsi"/>
        </w:rPr>
        <w:t xml:space="preserve">Only the core results should be covered. </w:t>
      </w:r>
    </w:p>
    <w:p w:rsidR="00704BDF" w:rsidRPr="00EC66CC" w:rsidRDefault="00704BDF" w:rsidP="00704BDF">
      <w:pPr>
        <w:pStyle w:val="AbstractBody"/>
        <w:numPr>
          <w:ilvl w:val="0"/>
          <w:numId w:val="16"/>
        </w:numPr>
        <w:rPr>
          <w:rFonts w:asciiTheme="minorHAnsi" w:hAnsiTheme="minorHAnsi"/>
        </w:rPr>
      </w:pPr>
      <w:r w:rsidRPr="00EC66CC">
        <w:rPr>
          <w:rFonts w:asciiTheme="minorHAnsi" w:hAnsiTheme="minorHAnsi"/>
        </w:rPr>
        <w:t>Please do not change the selected fonts.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FA2CF3" w:rsidRPr="00FA2CF3" w:rsidRDefault="00FA2CF3" w:rsidP="00FA2CF3">
      <w:pPr>
        <w:snapToGrid w:val="0"/>
        <w:spacing w:after="120"/>
        <w:rPr>
          <w:rFonts w:asciiTheme="minorHAnsi" w:eastAsia="MS PGothic" w:hAnsiTheme="minorHAnsi"/>
          <w:color w:val="000000"/>
          <w:sz w:val="22"/>
          <w:szCs w:val="22"/>
          <w:lang w:val="en-US"/>
        </w:rPr>
      </w:pPr>
      <w:r w:rsidRPr="00FA2CF3">
        <w:rPr>
          <w:rFonts w:asciiTheme="minorHAnsi" w:eastAsia="MS PGothic" w:hAnsiTheme="minorHAnsi"/>
          <w:color w:val="000000"/>
          <w:sz w:val="22"/>
          <w:szCs w:val="22"/>
          <w:lang w:val="en-US"/>
        </w:rPr>
        <w:t>The use of wood-based products in Europe is projected to increase threefold worldwide between 2010 and 2050. The need for innovative products from fewer resources to help reducing pressure on forests is attracting the attention of scientific community to provide a value-added use of wood-based products after their traditional service life. In this sense, cascading of wood is an efficient use of these resources from the point of view of natural resource higher value uses that allow the reuse and recycling of products and raw materials. In this work, heat-treated wood (</w:t>
      </w:r>
      <w:proofErr w:type="spellStart"/>
      <w:r w:rsidRPr="002D10E9">
        <w:rPr>
          <w:rFonts w:asciiTheme="minorHAnsi" w:eastAsia="MS PGothic" w:hAnsiTheme="minorHAnsi"/>
          <w:i/>
          <w:color w:val="000000"/>
          <w:sz w:val="22"/>
          <w:szCs w:val="22"/>
          <w:lang w:val="en-US"/>
        </w:rPr>
        <w:t>Pinus</w:t>
      </w:r>
      <w:proofErr w:type="spellEnd"/>
      <w:r w:rsidRPr="002D10E9">
        <w:rPr>
          <w:rFonts w:asciiTheme="minorHAnsi" w:eastAsia="MS PGothic" w:hAnsiTheme="minorHAnsi"/>
          <w:i/>
          <w:color w:val="000000"/>
          <w:sz w:val="22"/>
          <w:szCs w:val="22"/>
          <w:lang w:val="en-US"/>
        </w:rPr>
        <w:t xml:space="preserve"> </w:t>
      </w:r>
      <w:proofErr w:type="spellStart"/>
      <w:r w:rsidRPr="002D10E9">
        <w:rPr>
          <w:rFonts w:asciiTheme="minorHAnsi" w:eastAsia="MS PGothic" w:hAnsiTheme="minorHAnsi"/>
          <w:i/>
          <w:color w:val="000000"/>
          <w:sz w:val="22"/>
          <w:szCs w:val="22"/>
          <w:lang w:val="en-US"/>
        </w:rPr>
        <w:t>radiata</w:t>
      </w:r>
      <w:proofErr w:type="spellEnd"/>
      <w:r w:rsidRPr="002D10E9">
        <w:rPr>
          <w:rFonts w:asciiTheme="minorHAnsi" w:eastAsia="MS PGothic" w:hAnsiTheme="minorHAnsi"/>
          <w:i/>
          <w:color w:val="000000"/>
          <w:sz w:val="22"/>
          <w:szCs w:val="22"/>
          <w:lang w:val="en-US"/>
        </w:rPr>
        <w:t xml:space="preserve"> </w:t>
      </w:r>
      <w:r w:rsidRPr="00FA2CF3">
        <w:rPr>
          <w:rFonts w:asciiTheme="minorHAnsi" w:eastAsia="MS PGothic" w:hAnsiTheme="minorHAnsi"/>
          <w:color w:val="000000"/>
          <w:sz w:val="22"/>
          <w:szCs w:val="22"/>
          <w:lang w:val="en-US"/>
        </w:rPr>
        <w:t xml:space="preserve">L., 212 ºC) after one year of weathering exposure was subjected to a multi-stage </w:t>
      </w:r>
      <w:proofErr w:type="spellStart"/>
      <w:r w:rsidRPr="00FA2CF3">
        <w:rPr>
          <w:rFonts w:asciiTheme="minorHAnsi" w:eastAsia="MS PGothic" w:hAnsiTheme="minorHAnsi"/>
          <w:color w:val="000000"/>
          <w:sz w:val="22"/>
          <w:szCs w:val="22"/>
          <w:lang w:val="en-US"/>
        </w:rPr>
        <w:t>lignocellulosic</w:t>
      </w:r>
      <w:proofErr w:type="spellEnd"/>
      <w:r w:rsidRPr="00FA2CF3">
        <w:rPr>
          <w:rFonts w:asciiTheme="minorHAnsi" w:eastAsia="MS PGothic" w:hAnsiTheme="minorHAnsi"/>
          <w:color w:val="000000"/>
          <w:sz w:val="22"/>
          <w:szCs w:val="22"/>
          <w:lang w:val="en-US"/>
        </w:rPr>
        <w:t xml:space="preserve"> fractioning following the cascading and the </w:t>
      </w:r>
      <w:proofErr w:type="spellStart"/>
      <w:r w:rsidRPr="00FA2CF3">
        <w:rPr>
          <w:rFonts w:asciiTheme="minorHAnsi" w:eastAsia="MS PGothic" w:hAnsiTheme="minorHAnsi"/>
          <w:color w:val="000000"/>
          <w:sz w:val="22"/>
          <w:szCs w:val="22"/>
          <w:lang w:val="en-US"/>
        </w:rPr>
        <w:t>biorefinery</w:t>
      </w:r>
      <w:proofErr w:type="spellEnd"/>
      <w:r w:rsidRPr="00FA2CF3">
        <w:rPr>
          <w:rFonts w:asciiTheme="minorHAnsi" w:eastAsia="MS PGothic" w:hAnsiTheme="minorHAnsi"/>
          <w:color w:val="000000"/>
          <w:sz w:val="22"/>
          <w:szCs w:val="22"/>
          <w:lang w:val="en-US"/>
        </w:rPr>
        <w:t xml:space="preserve"> principles. This fractioning allowed the obtaining of </w:t>
      </w:r>
      <w:r w:rsidR="000B5537" w:rsidRPr="00FA2CF3">
        <w:rPr>
          <w:rFonts w:asciiTheme="minorHAnsi" w:eastAsia="MS PGothic" w:hAnsiTheme="minorHAnsi"/>
          <w:color w:val="000000"/>
          <w:sz w:val="22"/>
          <w:szCs w:val="22"/>
          <w:lang w:val="en-US"/>
        </w:rPr>
        <w:t>hemicelluloses</w:t>
      </w:r>
      <w:r w:rsidRPr="00FA2CF3">
        <w:rPr>
          <w:rFonts w:asciiTheme="minorHAnsi" w:eastAsia="MS PGothic" w:hAnsiTheme="minorHAnsi"/>
          <w:color w:val="000000"/>
          <w:sz w:val="22"/>
          <w:szCs w:val="22"/>
          <w:lang w:val="en-US"/>
        </w:rPr>
        <w:t xml:space="preserve"> </w:t>
      </w:r>
      <w:r w:rsidR="002D10E9">
        <w:rPr>
          <w:rFonts w:asciiTheme="minorHAnsi" w:eastAsia="MS PGothic" w:hAnsiTheme="minorHAnsi"/>
          <w:color w:val="000000"/>
          <w:sz w:val="22"/>
          <w:szCs w:val="22"/>
          <w:lang w:val="en-US"/>
        </w:rPr>
        <w:t xml:space="preserve">and </w:t>
      </w:r>
      <w:r w:rsidRPr="00FA2CF3">
        <w:rPr>
          <w:rFonts w:asciiTheme="minorHAnsi" w:eastAsia="MS PGothic" w:hAnsiTheme="minorHAnsi"/>
          <w:color w:val="000000"/>
          <w:sz w:val="22"/>
          <w:szCs w:val="22"/>
          <w:lang w:val="en-US"/>
        </w:rPr>
        <w:t xml:space="preserve">lignin as </w:t>
      </w:r>
      <w:r w:rsidR="00B67ED2">
        <w:rPr>
          <w:rFonts w:asciiTheme="minorHAnsi" w:eastAsia="MS PGothic" w:hAnsiTheme="minorHAnsi"/>
          <w:color w:val="000000"/>
          <w:sz w:val="22"/>
          <w:szCs w:val="22"/>
          <w:lang w:val="en-US"/>
        </w:rPr>
        <w:t>chemical precursors</w:t>
      </w:r>
      <w:r w:rsidRPr="00FA2CF3">
        <w:rPr>
          <w:rFonts w:asciiTheme="minorHAnsi" w:eastAsia="MS PGothic" w:hAnsiTheme="minorHAnsi"/>
          <w:color w:val="000000"/>
          <w:sz w:val="22"/>
          <w:szCs w:val="22"/>
          <w:lang w:val="en-US"/>
        </w:rPr>
        <w:t>, which were analyzed in their yield and quality. To determine the quality of the obtained products, the same fractioning was done to natural wood and heat-treated wood with no weathering exposure, as well as the natural wood after being exposed to the same conditions.</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FA2CF3" w:rsidRDefault="00FA2CF3" w:rsidP="00704BDF">
      <w:pPr>
        <w:snapToGrid w:val="0"/>
        <w:spacing w:before="240" w:line="300" w:lineRule="auto"/>
        <w:rPr>
          <w:rFonts w:asciiTheme="minorHAnsi" w:eastAsia="MS PGothic" w:hAnsiTheme="minorHAnsi"/>
          <w:color w:val="000000"/>
          <w:sz w:val="22"/>
          <w:szCs w:val="22"/>
          <w:lang w:val="en-US"/>
        </w:rPr>
      </w:pPr>
      <w:r w:rsidRPr="00FA2CF3">
        <w:rPr>
          <w:rFonts w:asciiTheme="minorHAnsi" w:eastAsia="MS PGothic" w:hAnsiTheme="minorHAnsi"/>
          <w:color w:val="000000"/>
          <w:sz w:val="22"/>
          <w:szCs w:val="22"/>
          <w:lang w:val="en-US"/>
        </w:rPr>
        <w:t>Monterey pine (</w:t>
      </w:r>
      <w:proofErr w:type="spellStart"/>
      <w:r w:rsidRPr="00FA2CF3">
        <w:rPr>
          <w:rFonts w:asciiTheme="minorHAnsi" w:eastAsia="MS PGothic" w:hAnsiTheme="minorHAnsi"/>
          <w:color w:val="000000"/>
          <w:sz w:val="22"/>
          <w:szCs w:val="22"/>
          <w:lang w:val="en-US"/>
        </w:rPr>
        <w:t>Pinus</w:t>
      </w:r>
      <w:proofErr w:type="spellEnd"/>
      <w:r w:rsidRPr="00FA2CF3">
        <w:rPr>
          <w:rFonts w:asciiTheme="minorHAnsi" w:eastAsia="MS PGothic" w:hAnsiTheme="minorHAnsi"/>
          <w:color w:val="000000"/>
          <w:sz w:val="22"/>
          <w:szCs w:val="22"/>
          <w:lang w:val="en-US"/>
        </w:rPr>
        <w:t xml:space="preserve"> </w:t>
      </w:r>
      <w:proofErr w:type="spellStart"/>
      <w:r w:rsidRPr="00FA2CF3">
        <w:rPr>
          <w:rFonts w:asciiTheme="minorHAnsi" w:eastAsia="MS PGothic" w:hAnsiTheme="minorHAnsi"/>
          <w:color w:val="000000"/>
          <w:sz w:val="22"/>
          <w:szCs w:val="22"/>
          <w:lang w:val="en-US"/>
        </w:rPr>
        <w:t>radiata</w:t>
      </w:r>
      <w:proofErr w:type="spellEnd"/>
      <w:r w:rsidRPr="00FA2CF3">
        <w:rPr>
          <w:rFonts w:asciiTheme="minorHAnsi" w:eastAsia="MS PGothic" w:hAnsiTheme="minorHAnsi"/>
          <w:color w:val="000000"/>
          <w:sz w:val="22"/>
          <w:szCs w:val="22"/>
          <w:lang w:val="en-US"/>
        </w:rPr>
        <w:t xml:space="preserve"> D. Don) was harvested from the forest areas of the Basque Country (Spain) was debarked, sawed, stored and conditioned before the heat-treatment. Pine boards were thermally modified according to industrial production standards a heat-treatment chamber with steam presence and under inert N</w:t>
      </w:r>
      <w:r w:rsidRPr="00B67ED2">
        <w:rPr>
          <w:rFonts w:asciiTheme="minorHAnsi" w:eastAsia="MS PGothic" w:hAnsiTheme="minorHAnsi"/>
          <w:color w:val="000000"/>
          <w:sz w:val="22"/>
          <w:szCs w:val="22"/>
          <w:vertAlign w:val="subscript"/>
          <w:lang w:val="en-US"/>
        </w:rPr>
        <w:t>2</w:t>
      </w:r>
      <w:r w:rsidRPr="00FA2CF3">
        <w:rPr>
          <w:rFonts w:asciiTheme="minorHAnsi" w:eastAsia="MS PGothic" w:hAnsiTheme="minorHAnsi"/>
          <w:color w:val="000000"/>
          <w:sz w:val="22"/>
          <w:szCs w:val="22"/>
          <w:lang w:val="en-US"/>
        </w:rPr>
        <w:t xml:space="preserve"> atmosphere</w:t>
      </w:r>
      <w:r w:rsidR="002D10E9">
        <w:rPr>
          <w:rFonts w:asciiTheme="minorHAnsi" w:eastAsia="MS PGothic" w:hAnsiTheme="minorHAnsi"/>
          <w:color w:val="000000"/>
          <w:sz w:val="22"/>
          <w:szCs w:val="22"/>
          <w:lang w:val="en-US"/>
        </w:rPr>
        <w:t xml:space="preserve"> [1]</w:t>
      </w:r>
      <w:r w:rsidRPr="00FA2CF3">
        <w:rPr>
          <w:rFonts w:asciiTheme="minorHAnsi" w:eastAsia="MS PGothic" w:hAnsiTheme="minorHAnsi"/>
          <w:color w:val="000000"/>
          <w:sz w:val="22"/>
          <w:szCs w:val="22"/>
          <w:lang w:val="en-US"/>
        </w:rPr>
        <w:t>. Monterrey pine samples (natural and thermally modified) were exposed to natural weather</w:t>
      </w:r>
      <w:r w:rsidR="000B5537">
        <w:rPr>
          <w:rFonts w:asciiTheme="minorHAnsi" w:eastAsia="MS PGothic" w:hAnsiTheme="minorHAnsi"/>
          <w:color w:val="000000"/>
          <w:sz w:val="22"/>
          <w:szCs w:val="22"/>
          <w:lang w:val="en-US"/>
        </w:rPr>
        <w:t xml:space="preserve"> </w:t>
      </w:r>
      <w:r w:rsidR="002D10E9">
        <w:rPr>
          <w:rFonts w:asciiTheme="minorHAnsi" w:eastAsia="MS PGothic" w:hAnsiTheme="minorHAnsi"/>
          <w:color w:val="000000"/>
          <w:sz w:val="22"/>
          <w:szCs w:val="22"/>
          <w:lang w:val="en-US"/>
        </w:rPr>
        <w:t>[2].</w:t>
      </w:r>
    </w:p>
    <w:p w:rsidR="00FA2CF3" w:rsidRDefault="00FA2CF3" w:rsidP="00FA2CF3">
      <w:pPr>
        <w:snapToGrid w:val="0"/>
        <w:spacing w:before="240" w:line="300" w:lineRule="auto"/>
        <w:rPr>
          <w:rFonts w:asciiTheme="minorHAnsi" w:eastAsia="MS PGothic" w:hAnsiTheme="minorHAnsi"/>
          <w:color w:val="000000"/>
          <w:sz w:val="22"/>
          <w:szCs w:val="22"/>
          <w:lang w:val="en-US"/>
        </w:rPr>
      </w:pPr>
      <w:r w:rsidRPr="00FA2CF3">
        <w:rPr>
          <w:rFonts w:asciiTheme="minorHAnsi" w:eastAsia="MS PGothic" w:hAnsiTheme="minorHAnsi"/>
          <w:color w:val="000000"/>
          <w:sz w:val="22"/>
          <w:szCs w:val="22"/>
          <w:lang w:val="en-US"/>
        </w:rPr>
        <w:t>Organosolv process was conducted using a mixture of ethanol/water (65:35 v/v) as white liquor, at 200 ºC during 90 min and a fiber to liquid ratio of 1:10 (w/v) 0</w:t>
      </w:r>
      <w:r w:rsidR="00B67ED2">
        <w:rPr>
          <w:rFonts w:asciiTheme="minorHAnsi" w:eastAsia="MS PGothic" w:hAnsiTheme="minorHAnsi"/>
          <w:color w:val="000000"/>
          <w:sz w:val="22"/>
          <w:szCs w:val="22"/>
          <w:lang w:val="en-US"/>
        </w:rPr>
        <w:t>.05M MgSO4 was used as catalyst</w:t>
      </w:r>
      <w:r w:rsidRPr="00FA2CF3">
        <w:rPr>
          <w:rFonts w:asciiTheme="minorHAnsi" w:eastAsia="MS PGothic" w:hAnsiTheme="minorHAnsi"/>
          <w:color w:val="000000"/>
          <w:sz w:val="22"/>
          <w:szCs w:val="22"/>
          <w:lang w:val="en-US"/>
        </w:rPr>
        <w:t xml:space="preserve">. Liquid fraction was separated via filtration and the solid fraction was washed several times until driving the remaining fibers to a neutral pH level. Lignin (L1) was precipitated by adding </w:t>
      </w:r>
      <w:proofErr w:type="gramStart"/>
      <w:r w:rsidRPr="00FA2CF3">
        <w:rPr>
          <w:rFonts w:asciiTheme="minorHAnsi" w:eastAsia="MS PGothic" w:hAnsiTheme="minorHAnsi"/>
          <w:color w:val="000000"/>
          <w:sz w:val="22"/>
          <w:szCs w:val="22"/>
          <w:lang w:val="en-US"/>
        </w:rPr>
        <w:t>2</w:t>
      </w:r>
      <w:proofErr w:type="gramEnd"/>
      <w:r w:rsidRPr="00FA2CF3">
        <w:rPr>
          <w:rFonts w:asciiTheme="minorHAnsi" w:eastAsia="MS PGothic" w:hAnsiTheme="minorHAnsi"/>
          <w:color w:val="000000"/>
          <w:sz w:val="22"/>
          <w:szCs w:val="22"/>
          <w:lang w:val="en-US"/>
        </w:rPr>
        <w:t xml:space="preserve"> volumes </w:t>
      </w:r>
      <w:r w:rsidRPr="00FA2CF3">
        <w:rPr>
          <w:rFonts w:asciiTheme="minorHAnsi" w:eastAsia="MS PGothic" w:hAnsiTheme="minorHAnsi"/>
          <w:color w:val="000000"/>
          <w:sz w:val="22"/>
          <w:szCs w:val="22"/>
          <w:lang w:val="en-US"/>
        </w:rPr>
        <w:lastRenderedPageBreak/>
        <w:t>of acidified water (pH 2), after which solid fraction was filtered with a 0.22 µm membrane. Filtrate was concentrated and then added to 4 volumes of ethanol and kept at 3 ºC during 24 h, precipitated solid (H2) was separated by centrifugation.</w:t>
      </w:r>
    </w:p>
    <w:p w:rsidR="00FA2CF3" w:rsidRPr="00FA2CF3" w:rsidRDefault="00FA2CF3" w:rsidP="00FA2CF3">
      <w:pPr>
        <w:snapToGrid w:val="0"/>
        <w:spacing w:before="240" w:line="300" w:lineRule="auto"/>
        <w:rPr>
          <w:rFonts w:asciiTheme="minorHAnsi" w:eastAsia="MS PGothic" w:hAnsiTheme="minorHAnsi"/>
          <w:color w:val="000000"/>
          <w:sz w:val="22"/>
          <w:szCs w:val="22"/>
          <w:lang w:val="en-US"/>
        </w:rPr>
      </w:pPr>
      <w:r w:rsidRPr="00FA2CF3">
        <w:rPr>
          <w:rFonts w:asciiTheme="minorHAnsi" w:eastAsia="MS PGothic" w:hAnsiTheme="minorHAnsi"/>
          <w:color w:val="000000"/>
          <w:sz w:val="22"/>
          <w:szCs w:val="22"/>
          <w:lang w:val="en-US"/>
        </w:rPr>
        <w:t>A Totally Chlorine Free Bleaching (TCF) sequence was selected, which was based on two alkaline oxygen stages, (E</w:t>
      </w:r>
      <w:r w:rsidRPr="00B67ED2">
        <w:rPr>
          <w:rFonts w:asciiTheme="minorHAnsi" w:eastAsia="MS PGothic" w:hAnsiTheme="minorHAnsi"/>
          <w:color w:val="000000"/>
          <w:sz w:val="22"/>
          <w:szCs w:val="22"/>
          <w:vertAlign w:val="subscript"/>
          <w:lang w:val="en-US"/>
        </w:rPr>
        <w:t>O</w:t>
      </w:r>
      <w:r w:rsidRPr="00FA2CF3">
        <w:rPr>
          <w:rFonts w:asciiTheme="minorHAnsi" w:eastAsia="MS PGothic" w:hAnsiTheme="minorHAnsi"/>
          <w:color w:val="000000"/>
          <w:sz w:val="22"/>
          <w:szCs w:val="22"/>
          <w:lang w:val="en-US"/>
        </w:rPr>
        <w:t>), one peroxide stage (P) with secondary chelating reaction (P</w:t>
      </w:r>
      <w:r w:rsidRPr="00B67ED2">
        <w:rPr>
          <w:rFonts w:asciiTheme="minorHAnsi" w:eastAsia="MS PGothic" w:hAnsiTheme="minorHAnsi"/>
          <w:color w:val="000000"/>
          <w:sz w:val="22"/>
          <w:szCs w:val="22"/>
          <w:vertAlign w:val="subscript"/>
          <w:lang w:val="en-US"/>
        </w:rPr>
        <w:t>OQ</w:t>
      </w:r>
      <w:r w:rsidRPr="00FA2CF3">
        <w:rPr>
          <w:rFonts w:asciiTheme="minorHAnsi" w:eastAsia="MS PGothic" w:hAnsiTheme="minorHAnsi"/>
          <w:color w:val="000000"/>
          <w:sz w:val="22"/>
          <w:szCs w:val="22"/>
          <w:lang w:val="en-US"/>
        </w:rPr>
        <w:t>) and an alkaline peroxide stage under oxygen atmosphere (P</w:t>
      </w:r>
      <w:r w:rsidRPr="00B67ED2">
        <w:rPr>
          <w:rFonts w:asciiTheme="minorHAnsi" w:eastAsia="MS PGothic" w:hAnsiTheme="minorHAnsi"/>
          <w:color w:val="000000"/>
          <w:sz w:val="22"/>
          <w:szCs w:val="22"/>
          <w:vertAlign w:val="subscript"/>
          <w:lang w:val="en-US"/>
        </w:rPr>
        <w:t>O</w:t>
      </w:r>
      <w:r w:rsidRPr="00FA2CF3">
        <w:rPr>
          <w:rFonts w:asciiTheme="minorHAnsi" w:eastAsia="MS PGothic" w:hAnsiTheme="minorHAnsi"/>
          <w:color w:val="000000"/>
          <w:sz w:val="22"/>
          <w:szCs w:val="22"/>
          <w:lang w:val="en-US"/>
        </w:rPr>
        <w:t xml:space="preserve">). </w:t>
      </w:r>
      <w:r w:rsidR="00B67ED2">
        <w:rPr>
          <w:rFonts w:asciiTheme="minorHAnsi" w:eastAsia="MS PGothic" w:hAnsiTheme="minorHAnsi"/>
          <w:color w:val="000000"/>
          <w:sz w:val="22"/>
          <w:szCs w:val="22"/>
          <w:lang w:val="en-US"/>
        </w:rPr>
        <w:t>Lignin</w:t>
      </w:r>
      <w:r w:rsidRPr="00FA2CF3">
        <w:rPr>
          <w:rFonts w:asciiTheme="minorHAnsi" w:eastAsia="MS PGothic" w:hAnsiTheme="minorHAnsi"/>
          <w:color w:val="000000"/>
          <w:sz w:val="22"/>
          <w:szCs w:val="22"/>
          <w:lang w:val="en-US"/>
        </w:rPr>
        <w:t xml:space="preserve"> was precipitated from the</w:t>
      </w:r>
      <w:r w:rsidR="002D10E9">
        <w:rPr>
          <w:rFonts w:asciiTheme="minorHAnsi" w:eastAsia="MS PGothic" w:hAnsiTheme="minorHAnsi"/>
          <w:color w:val="000000"/>
          <w:sz w:val="22"/>
          <w:szCs w:val="22"/>
          <w:lang w:val="en-US"/>
        </w:rPr>
        <w:t xml:space="preserve"> first liquor</w:t>
      </w:r>
      <w:r w:rsidRPr="00FA2CF3">
        <w:rPr>
          <w:rFonts w:asciiTheme="minorHAnsi" w:eastAsia="MS PGothic" w:hAnsiTheme="minorHAnsi"/>
          <w:color w:val="000000"/>
          <w:sz w:val="22"/>
          <w:szCs w:val="22"/>
          <w:lang w:val="en-US"/>
        </w:rPr>
        <w:t xml:space="preserve"> (L2) by acidifying them dropwise until pH ~2. </w:t>
      </w:r>
    </w:p>
    <w:p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2D10E9" w:rsidRDefault="00585A6A"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Lignin </w:t>
      </w:r>
      <w:r w:rsidR="000B5537">
        <w:rPr>
          <w:rFonts w:asciiTheme="minorHAnsi" w:eastAsia="MS PGothic" w:hAnsiTheme="minorHAnsi"/>
          <w:color w:val="000000"/>
          <w:sz w:val="22"/>
          <w:szCs w:val="22"/>
          <w:lang w:val="en-US"/>
        </w:rPr>
        <w:t>yields showed a higher recovery of lignin during Organosolv process (</w:t>
      </w:r>
      <w:r w:rsidR="002D10E9" w:rsidRPr="002D10E9">
        <w:rPr>
          <w:rFonts w:asciiTheme="minorHAnsi" w:eastAsia="MS PGothic" w:hAnsiTheme="minorHAnsi"/>
          <w:color w:val="000000"/>
          <w:sz w:val="22"/>
          <w:szCs w:val="22"/>
          <w:lang w:val="en-US"/>
        </w:rPr>
        <w:t>Table 1</w:t>
      </w:r>
      <w:r w:rsidR="000B5537">
        <w:rPr>
          <w:rFonts w:asciiTheme="minorHAnsi" w:eastAsia="MS PGothic" w:hAnsiTheme="minorHAnsi"/>
          <w:color w:val="000000"/>
          <w:sz w:val="22"/>
          <w:szCs w:val="22"/>
          <w:lang w:val="en-US"/>
        </w:rPr>
        <w:t xml:space="preserve">) </w:t>
      </w:r>
      <w:r w:rsidR="000B5537" w:rsidRPr="000B5537">
        <w:rPr>
          <w:rFonts w:asciiTheme="minorHAnsi" w:eastAsia="MS PGothic" w:hAnsiTheme="minorHAnsi"/>
          <w:color w:val="000000"/>
          <w:sz w:val="22"/>
          <w:szCs w:val="22"/>
          <w:lang w:val="en-US"/>
        </w:rPr>
        <w:t>especially in the case of pine, either weathered or not. I</w:t>
      </w:r>
      <w:r w:rsidR="000B5537" w:rsidRPr="000B5537">
        <w:t xml:space="preserve"> </w:t>
      </w:r>
      <w:r w:rsidR="000B5537" w:rsidRPr="000B5537">
        <w:rPr>
          <w:rFonts w:asciiTheme="minorHAnsi" w:eastAsia="MS PGothic" w:hAnsiTheme="minorHAnsi"/>
          <w:color w:val="000000"/>
          <w:sz w:val="22"/>
          <w:szCs w:val="22"/>
          <w:lang w:val="en-US"/>
        </w:rPr>
        <w:t xml:space="preserve">In case of lignin from P extracted during </w:t>
      </w:r>
      <w:proofErr w:type="spellStart"/>
      <w:r w:rsidR="000B5537" w:rsidRPr="000B5537">
        <w:rPr>
          <w:rFonts w:asciiTheme="minorHAnsi" w:eastAsia="MS PGothic" w:hAnsiTheme="minorHAnsi"/>
          <w:color w:val="000000"/>
          <w:sz w:val="22"/>
          <w:szCs w:val="22"/>
          <w:lang w:val="en-US"/>
        </w:rPr>
        <w:t>organosolv</w:t>
      </w:r>
      <w:proofErr w:type="spellEnd"/>
      <w:r w:rsidR="000B5537" w:rsidRPr="000B5537">
        <w:rPr>
          <w:rFonts w:asciiTheme="minorHAnsi" w:eastAsia="MS PGothic" w:hAnsiTheme="minorHAnsi"/>
          <w:color w:val="000000"/>
          <w:sz w:val="22"/>
          <w:szCs w:val="22"/>
          <w:lang w:val="en-US"/>
        </w:rPr>
        <w:t xml:space="preserve">, it can be seen that Pw has a lower recovery (~16% less) regarding the original mass. Organosolv lignin from </w:t>
      </w:r>
      <w:proofErr w:type="spellStart"/>
      <w:r w:rsidR="000B5537" w:rsidRPr="000B5537">
        <w:rPr>
          <w:rFonts w:asciiTheme="minorHAnsi" w:eastAsia="MS PGothic" w:hAnsiTheme="minorHAnsi"/>
          <w:color w:val="000000"/>
          <w:sz w:val="22"/>
          <w:szCs w:val="22"/>
          <w:lang w:val="en-US"/>
        </w:rPr>
        <w:t>thermotreated</w:t>
      </w:r>
      <w:proofErr w:type="spellEnd"/>
      <w:r w:rsidR="000B5537" w:rsidRPr="000B5537">
        <w:rPr>
          <w:rFonts w:asciiTheme="minorHAnsi" w:eastAsia="MS PGothic" w:hAnsiTheme="minorHAnsi"/>
          <w:color w:val="000000"/>
          <w:sz w:val="22"/>
          <w:szCs w:val="22"/>
          <w:lang w:val="en-US"/>
        </w:rPr>
        <w:t xml:space="preserve"> wood showed lower yields than that of normal pinewood in absolute values.</w:t>
      </w:r>
      <w:r w:rsidR="000B5537">
        <w:rPr>
          <w:rFonts w:asciiTheme="minorHAnsi" w:eastAsia="MS PGothic" w:hAnsiTheme="minorHAnsi"/>
          <w:color w:val="000000"/>
          <w:sz w:val="22"/>
          <w:szCs w:val="22"/>
          <w:lang w:val="en-US"/>
        </w:rPr>
        <w:t xml:space="preserve"> Table 1 also</w:t>
      </w:r>
      <w:r w:rsidR="002D10E9">
        <w:rPr>
          <w:rFonts w:asciiTheme="minorHAnsi" w:eastAsia="MS PGothic" w:hAnsiTheme="minorHAnsi"/>
          <w:color w:val="000000"/>
          <w:sz w:val="22"/>
          <w:szCs w:val="22"/>
          <w:lang w:val="en-US"/>
        </w:rPr>
        <w:t xml:space="preserve"> presents the content of </w:t>
      </w:r>
      <w:r>
        <w:rPr>
          <w:rFonts w:asciiTheme="minorHAnsi" w:eastAsia="MS PGothic" w:hAnsiTheme="minorHAnsi"/>
          <w:color w:val="000000"/>
          <w:sz w:val="22"/>
          <w:szCs w:val="22"/>
          <w:lang w:val="en-US"/>
        </w:rPr>
        <w:t xml:space="preserve">acid insoluble lignin (AIL), acid soluble lignin (ASL), carbohydrates, ashes, molecular weight (Mw) and </w:t>
      </w:r>
      <w:proofErr w:type="spellStart"/>
      <w:r>
        <w:rPr>
          <w:rFonts w:asciiTheme="minorHAnsi" w:eastAsia="MS PGothic" w:hAnsiTheme="minorHAnsi"/>
          <w:color w:val="000000"/>
          <w:sz w:val="22"/>
          <w:szCs w:val="22"/>
          <w:lang w:val="en-US"/>
        </w:rPr>
        <w:t>polydispersity</w:t>
      </w:r>
      <w:proofErr w:type="spellEnd"/>
      <w:r>
        <w:rPr>
          <w:rFonts w:asciiTheme="minorHAnsi" w:eastAsia="MS PGothic" w:hAnsiTheme="minorHAnsi"/>
          <w:color w:val="000000"/>
          <w:sz w:val="22"/>
          <w:szCs w:val="22"/>
          <w:lang w:val="en-US"/>
        </w:rPr>
        <w:t xml:space="preserve"> index (</w:t>
      </w:r>
      <w:r w:rsidRPr="00737F59">
        <w:rPr>
          <w:rFonts w:asciiTheme="majorHAnsi" w:hAnsiTheme="majorHAnsi"/>
          <w:color w:val="000000"/>
          <w:sz w:val="22"/>
        </w:rPr>
        <w:t>Mw Mn</w:t>
      </w:r>
      <w:r w:rsidRPr="00737F59">
        <w:rPr>
          <w:rFonts w:asciiTheme="majorHAnsi" w:hAnsiTheme="majorHAnsi"/>
          <w:color w:val="000000"/>
          <w:sz w:val="22"/>
          <w:vertAlign w:val="superscript"/>
        </w:rPr>
        <w:t>-1</w:t>
      </w:r>
      <w:r>
        <w:rPr>
          <w:rFonts w:asciiTheme="minorHAnsi" w:eastAsia="MS PGothic" w:hAnsiTheme="minorHAnsi"/>
          <w:color w:val="000000"/>
          <w:sz w:val="22"/>
          <w:szCs w:val="22"/>
          <w:lang w:val="en-US"/>
        </w:rPr>
        <w:t>)</w:t>
      </w:r>
      <w:r w:rsidR="000B5537">
        <w:rPr>
          <w:rFonts w:asciiTheme="minorHAnsi" w:eastAsia="MS PGothic" w:hAnsiTheme="minorHAnsi"/>
          <w:color w:val="000000"/>
          <w:sz w:val="22"/>
          <w:szCs w:val="22"/>
          <w:lang w:val="en-US"/>
        </w:rPr>
        <w:t>.</w:t>
      </w:r>
    </w:p>
    <w:p w:rsidR="000B5537" w:rsidRDefault="000B5537" w:rsidP="00704BDF">
      <w:pPr>
        <w:snapToGrid w:val="0"/>
        <w:spacing w:before="240" w:line="300" w:lineRule="auto"/>
        <w:rPr>
          <w:rFonts w:asciiTheme="minorHAnsi" w:eastAsia="MS PGothic" w:hAnsiTheme="minorHAnsi"/>
          <w:color w:val="000000"/>
          <w:sz w:val="22"/>
          <w:szCs w:val="22"/>
          <w:lang w:val="en-US"/>
        </w:rPr>
      </w:pPr>
    </w:p>
    <w:p w:rsidR="00585A6A" w:rsidRPr="00DE0019" w:rsidRDefault="00585A6A" w:rsidP="00585A6A">
      <w:pPr>
        <w:snapToGrid w:val="0"/>
        <w:spacing w:after="120"/>
        <w:jc w:val="center"/>
        <w:rPr>
          <w:rFonts w:asciiTheme="minorHAnsi" w:eastAsia="MS PGothic" w:hAnsiTheme="minorHAnsi"/>
          <w:color w:val="000000"/>
          <w:szCs w:val="18"/>
          <w:lang w:val="en-US"/>
        </w:rPr>
      </w:pPr>
      <w:proofErr w:type="gramStart"/>
      <w:r>
        <w:rPr>
          <w:rFonts w:asciiTheme="minorHAnsi" w:eastAsia="MS PGothic" w:hAnsiTheme="minorHAnsi"/>
          <w:b/>
          <w:color w:val="000000"/>
          <w:szCs w:val="18"/>
          <w:lang w:val="en-US"/>
        </w:rPr>
        <w:t xml:space="preserve">Table </w:t>
      </w:r>
      <w:r w:rsidRPr="00DE0019">
        <w:rPr>
          <w:rFonts w:asciiTheme="minorHAnsi" w:eastAsia="MS PGothic" w:hAnsiTheme="minorHAnsi"/>
          <w:b/>
          <w:color w:val="000000"/>
          <w:szCs w:val="18"/>
          <w:lang w:val="en-US"/>
        </w:rPr>
        <w:t xml:space="preserve"> 1</w:t>
      </w:r>
      <w:proofErr w:type="gramEnd"/>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proofErr w:type="gramStart"/>
      <w:r>
        <w:rPr>
          <w:rFonts w:asciiTheme="minorHAnsi" w:eastAsia="MS PGothic" w:hAnsiTheme="minorHAnsi"/>
          <w:color w:val="000000"/>
          <w:szCs w:val="18"/>
          <w:lang w:val="en-US"/>
        </w:rPr>
        <w:t>main</w:t>
      </w:r>
      <w:proofErr w:type="gramEnd"/>
      <w:r>
        <w:rPr>
          <w:rFonts w:asciiTheme="minorHAnsi" w:eastAsia="MS PGothic" w:hAnsiTheme="minorHAnsi"/>
          <w:color w:val="000000"/>
          <w:szCs w:val="18"/>
          <w:lang w:val="en-US"/>
        </w:rPr>
        <w:t xml:space="preserve"> purity indicators of the recovered lignins. </w:t>
      </w:r>
    </w:p>
    <w:tbl>
      <w:tblPr>
        <w:tblStyle w:val="TableGrid"/>
        <w:tblW w:w="878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530"/>
        <w:gridCol w:w="949"/>
        <w:gridCol w:w="1073"/>
        <w:gridCol w:w="767"/>
        <w:gridCol w:w="1605"/>
        <w:gridCol w:w="865"/>
        <w:gridCol w:w="1200"/>
        <w:gridCol w:w="1200"/>
      </w:tblGrid>
      <w:tr w:rsidR="000B5537" w:rsidRPr="00737F59" w:rsidTr="000B5537">
        <w:trPr>
          <w:trHeight w:val="315"/>
          <w:jc w:val="center"/>
        </w:trPr>
        <w:tc>
          <w:tcPr>
            <w:tcW w:w="598" w:type="dxa"/>
            <w:tcBorders>
              <w:bottom w:val="single" w:sz="4" w:space="0" w:color="auto"/>
            </w:tcBorders>
            <w:noWrap/>
            <w:vAlign w:val="center"/>
            <w:hideMark/>
          </w:tcPr>
          <w:p w:rsidR="000B5537" w:rsidRPr="00737F59" w:rsidRDefault="000B5537" w:rsidP="00AE1925">
            <w:pPr>
              <w:spacing w:line="240" w:lineRule="auto"/>
              <w:jc w:val="center"/>
              <w:rPr>
                <w:rFonts w:asciiTheme="majorHAnsi" w:hAnsiTheme="majorHAnsi"/>
                <w:color w:val="000000"/>
                <w:sz w:val="22"/>
              </w:rPr>
            </w:pPr>
          </w:p>
        </w:tc>
        <w:tc>
          <w:tcPr>
            <w:tcW w:w="530" w:type="dxa"/>
            <w:tcBorders>
              <w:bottom w:val="single" w:sz="4" w:space="0" w:color="auto"/>
            </w:tcBorders>
            <w:noWrap/>
            <w:vAlign w:val="center"/>
            <w:hideMark/>
          </w:tcPr>
          <w:p w:rsidR="000B5537" w:rsidRPr="00737F59" w:rsidRDefault="000B5537" w:rsidP="00AE1925">
            <w:pPr>
              <w:spacing w:line="240" w:lineRule="auto"/>
              <w:jc w:val="center"/>
              <w:rPr>
                <w:rFonts w:asciiTheme="majorHAnsi" w:hAnsiTheme="majorHAnsi"/>
                <w:color w:val="000000"/>
                <w:sz w:val="22"/>
              </w:rPr>
            </w:pPr>
          </w:p>
        </w:tc>
        <w:tc>
          <w:tcPr>
            <w:tcW w:w="949" w:type="dxa"/>
            <w:tcBorders>
              <w:bottom w:val="single" w:sz="4" w:space="0" w:color="auto"/>
            </w:tcBorders>
          </w:tcPr>
          <w:p w:rsidR="000B5537" w:rsidRDefault="000B5537" w:rsidP="00AE1925">
            <w:pPr>
              <w:spacing w:line="240" w:lineRule="auto"/>
              <w:jc w:val="center"/>
              <w:rPr>
                <w:rFonts w:asciiTheme="majorHAnsi" w:hAnsiTheme="majorHAnsi"/>
                <w:color w:val="000000"/>
                <w:sz w:val="22"/>
              </w:rPr>
            </w:pPr>
            <w:r>
              <w:rPr>
                <w:rFonts w:asciiTheme="majorHAnsi" w:hAnsiTheme="majorHAnsi"/>
                <w:color w:val="000000"/>
                <w:sz w:val="22"/>
              </w:rPr>
              <w:t>Yield</w:t>
            </w:r>
          </w:p>
          <w:p w:rsidR="000B5537" w:rsidRPr="00737F59" w:rsidRDefault="000B5537" w:rsidP="00AE1925">
            <w:pPr>
              <w:spacing w:line="240" w:lineRule="auto"/>
              <w:jc w:val="center"/>
              <w:rPr>
                <w:rFonts w:asciiTheme="majorHAnsi" w:hAnsiTheme="majorHAnsi"/>
                <w:color w:val="000000"/>
                <w:sz w:val="22"/>
              </w:rPr>
            </w:pPr>
            <w:r>
              <w:rPr>
                <w:rFonts w:asciiTheme="majorHAnsi" w:hAnsiTheme="majorHAnsi"/>
                <w:color w:val="000000"/>
                <w:sz w:val="22"/>
              </w:rPr>
              <w:t>[%]</w:t>
            </w:r>
          </w:p>
        </w:tc>
        <w:tc>
          <w:tcPr>
            <w:tcW w:w="1073" w:type="dxa"/>
            <w:tcBorders>
              <w:bottom w:val="single" w:sz="4" w:space="0" w:color="auto"/>
            </w:tcBorders>
            <w:vAlign w:val="center"/>
          </w:tcPr>
          <w:p w:rsidR="000B5537" w:rsidRDefault="000B5537" w:rsidP="00AE1925">
            <w:pPr>
              <w:spacing w:line="240" w:lineRule="auto"/>
              <w:jc w:val="center"/>
              <w:rPr>
                <w:rFonts w:asciiTheme="majorHAnsi" w:hAnsiTheme="majorHAnsi"/>
                <w:color w:val="000000"/>
                <w:sz w:val="22"/>
              </w:rPr>
            </w:pPr>
            <w:r w:rsidRPr="00737F59">
              <w:rPr>
                <w:rFonts w:asciiTheme="majorHAnsi" w:hAnsiTheme="majorHAnsi"/>
                <w:color w:val="000000"/>
                <w:sz w:val="22"/>
              </w:rPr>
              <w:t>AIL</w:t>
            </w:r>
          </w:p>
          <w:p w:rsidR="000B5537" w:rsidRPr="00737F59" w:rsidRDefault="000B5537" w:rsidP="00AE1925">
            <w:pPr>
              <w:spacing w:line="240" w:lineRule="auto"/>
              <w:jc w:val="center"/>
              <w:rPr>
                <w:rFonts w:asciiTheme="majorHAnsi" w:hAnsiTheme="majorHAnsi"/>
                <w:color w:val="000000"/>
                <w:sz w:val="22"/>
              </w:rPr>
            </w:pPr>
            <w:r>
              <w:rPr>
                <w:rFonts w:asciiTheme="majorHAnsi" w:hAnsiTheme="majorHAnsi"/>
                <w:color w:val="000000"/>
                <w:sz w:val="22"/>
              </w:rPr>
              <w:t>[%]</w:t>
            </w:r>
          </w:p>
        </w:tc>
        <w:tc>
          <w:tcPr>
            <w:tcW w:w="767" w:type="dxa"/>
            <w:tcBorders>
              <w:bottom w:val="single" w:sz="4" w:space="0" w:color="auto"/>
            </w:tcBorders>
            <w:vAlign w:val="center"/>
          </w:tcPr>
          <w:p w:rsidR="000B5537" w:rsidRDefault="000B5537" w:rsidP="00AE1925">
            <w:pPr>
              <w:spacing w:line="240" w:lineRule="auto"/>
              <w:jc w:val="center"/>
              <w:rPr>
                <w:rFonts w:asciiTheme="majorHAnsi" w:hAnsiTheme="majorHAnsi"/>
                <w:color w:val="000000"/>
                <w:sz w:val="22"/>
              </w:rPr>
            </w:pPr>
            <w:r w:rsidRPr="00737F59">
              <w:rPr>
                <w:rFonts w:asciiTheme="majorHAnsi" w:hAnsiTheme="majorHAnsi"/>
                <w:color w:val="000000"/>
                <w:sz w:val="22"/>
              </w:rPr>
              <w:t>ASL</w:t>
            </w:r>
          </w:p>
          <w:p w:rsidR="000B5537" w:rsidRPr="00737F59" w:rsidRDefault="000B5537" w:rsidP="00AE1925">
            <w:pPr>
              <w:spacing w:line="240" w:lineRule="auto"/>
              <w:jc w:val="center"/>
              <w:rPr>
                <w:rFonts w:asciiTheme="majorHAnsi" w:hAnsiTheme="majorHAnsi"/>
                <w:color w:val="000000"/>
                <w:sz w:val="22"/>
              </w:rPr>
            </w:pPr>
            <w:r>
              <w:rPr>
                <w:rFonts w:asciiTheme="majorHAnsi" w:hAnsiTheme="majorHAnsi"/>
                <w:color w:val="000000"/>
                <w:sz w:val="22"/>
              </w:rPr>
              <w:t>[%]</w:t>
            </w:r>
          </w:p>
        </w:tc>
        <w:tc>
          <w:tcPr>
            <w:tcW w:w="1605" w:type="dxa"/>
            <w:tcBorders>
              <w:bottom w:val="single" w:sz="4" w:space="0" w:color="auto"/>
            </w:tcBorders>
            <w:vAlign w:val="center"/>
          </w:tcPr>
          <w:p w:rsidR="000B5537" w:rsidRDefault="000B5537" w:rsidP="00AE1925">
            <w:pPr>
              <w:spacing w:line="240" w:lineRule="auto"/>
              <w:jc w:val="center"/>
              <w:rPr>
                <w:rFonts w:asciiTheme="majorHAnsi" w:hAnsiTheme="majorHAnsi"/>
                <w:color w:val="000000"/>
                <w:sz w:val="22"/>
              </w:rPr>
            </w:pPr>
            <w:r w:rsidRPr="00737F59">
              <w:rPr>
                <w:rFonts w:asciiTheme="majorHAnsi" w:hAnsiTheme="majorHAnsi"/>
                <w:color w:val="000000"/>
                <w:sz w:val="22"/>
              </w:rPr>
              <w:t>Carbohydrates</w:t>
            </w:r>
          </w:p>
          <w:p w:rsidR="000B5537" w:rsidRPr="00737F59" w:rsidRDefault="000B5537" w:rsidP="00AE1925">
            <w:pPr>
              <w:spacing w:line="240" w:lineRule="auto"/>
              <w:jc w:val="center"/>
              <w:rPr>
                <w:rFonts w:asciiTheme="majorHAnsi" w:hAnsiTheme="majorHAnsi"/>
                <w:color w:val="000000"/>
                <w:sz w:val="22"/>
              </w:rPr>
            </w:pPr>
            <w:r>
              <w:rPr>
                <w:rFonts w:asciiTheme="majorHAnsi" w:hAnsiTheme="majorHAnsi"/>
                <w:color w:val="000000"/>
                <w:sz w:val="22"/>
              </w:rPr>
              <w:t>[%]</w:t>
            </w:r>
          </w:p>
        </w:tc>
        <w:tc>
          <w:tcPr>
            <w:tcW w:w="865" w:type="dxa"/>
            <w:tcBorders>
              <w:bottom w:val="single" w:sz="4" w:space="0" w:color="auto"/>
            </w:tcBorders>
            <w:vAlign w:val="center"/>
          </w:tcPr>
          <w:p w:rsidR="000B5537" w:rsidRDefault="000B5537" w:rsidP="00AE1925">
            <w:pPr>
              <w:spacing w:line="240" w:lineRule="auto"/>
              <w:jc w:val="center"/>
              <w:rPr>
                <w:rFonts w:asciiTheme="majorHAnsi" w:hAnsiTheme="majorHAnsi"/>
                <w:color w:val="000000"/>
                <w:sz w:val="22"/>
              </w:rPr>
            </w:pPr>
            <w:r w:rsidRPr="00737F59">
              <w:rPr>
                <w:rFonts w:asciiTheme="majorHAnsi" w:hAnsiTheme="majorHAnsi"/>
                <w:color w:val="000000"/>
                <w:sz w:val="22"/>
              </w:rPr>
              <w:t>Ashes</w:t>
            </w:r>
          </w:p>
          <w:p w:rsidR="000B5537" w:rsidRPr="00737F59" w:rsidRDefault="000B5537" w:rsidP="00AE1925">
            <w:pPr>
              <w:spacing w:line="240" w:lineRule="auto"/>
              <w:jc w:val="center"/>
              <w:rPr>
                <w:rFonts w:asciiTheme="majorHAnsi" w:hAnsiTheme="majorHAnsi"/>
                <w:color w:val="000000"/>
                <w:sz w:val="22"/>
              </w:rPr>
            </w:pPr>
            <w:r>
              <w:rPr>
                <w:rFonts w:asciiTheme="majorHAnsi" w:hAnsiTheme="majorHAnsi"/>
                <w:color w:val="000000"/>
                <w:sz w:val="22"/>
              </w:rPr>
              <w:t>[%]</w:t>
            </w:r>
          </w:p>
        </w:tc>
        <w:tc>
          <w:tcPr>
            <w:tcW w:w="1200" w:type="dxa"/>
            <w:tcBorders>
              <w:bottom w:val="single" w:sz="4" w:space="0" w:color="auto"/>
            </w:tcBorders>
            <w:noWrap/>
            <w:vAlign w:val="center"/>
            <w:hideMark/>
          </w:tcPr>
          <w:p w:rsidR="000B5537" w:rsidRDefault="000B5537" w:rsidP="00AE1925">
            <w:pPr>
              <w:spacing w:line="240" w:lineRule="auto"/>
              <w:jc w:val="center"/>
              <w:rPr>
                <w:rFonts w:asciiTheme="majorHAnsi" w:hAnsiTheme="majorHAnsi"/>
                <w:color w:val="000000"/>
                <w:sz w:val="22"/>
              </w:rPr>
            </w:pPr>
            <w:r w:rsidRPr="00737F59">
              <w:rPr>
                <w:rFonts w:asciiTheme="majorHAnsi" w:hAnsiTheme="majorHAnsi"/>
                <w:color w:val="000000"/>
                <w:sz w:val="22"/>
              </w:rPr>
              <w:t>Mw</w:t>
            </w:r>
          </w:p>
          <w:p w:rsidR="000B5537" w:rsidRPr="00737F59"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 xml:space="preserve">[g </w:t>
            </w:r>
            <w:proofErr w:type="spellStart"/>
            <w:r>
              <w:rPr>
                <w:rFonts w:asciiTheme="majorHAnsi" w:hAnsiTheme="majorHAnsi"/>
                <w:color w:val="000000"/>
                <w:sz w:val="22"/>
              </w:rPr>
              <w:t>mol</w:t>
            </w:r>
            <w:proofErr w:type="spellEnd"/>
            <w:r w:rsidRPr="000B5537">
              <w:rPr>
                <w:rFonts w:asciiTheme="majorHAnsi" w:hAnsiTheme="majorHAnsi"/>
                <w:color w:val="000000"/>
                <w:sz w:val="22"/>
                <w:vertAlign w:val="superscript"/>
              </w:rPr>
              <w:t xml:space="preserve"> -1</w:t>
            </w:r>
            <w:r>
              <w:rPr>
                <w:rFonts w:asciiTheme="majorHAnsi" w:hAnsiTheme="majorHAnsi"/>
                <w:color w:val="000000"/>
                <w:sz w:val="22"/>
              </w:rPr>
              <w:t>]</w:t>
            </w:r>
          </w:p>
        </w:tc>
        <w:tc>
          <w:tcPr>
            <w:tcW w:w="1200" w:type="dxa"/>
            <w:tcBorders>
              <w:bottom w:val="single" w:sz="4" w:space="0" w:color="auto"/>
            </w:tcBorders>
            <w:noWrap/>
            <w:vAlign w:val="center"/>
            <w:hideMark/>
          </w:tcPr>
          <w:p w:rsidR="000B5537" w:rsidRPr="00737F59" w:rsidRDefault="000B5537" w:rsidP="00AE1925">
            <w:pPr>
              <w:spacing w:line="240" w:lineRule="auto"/>
              <w:jc w:val="center"/>
              <w:rPr>
                <w:rFonts w:asciiTheme="majorHAnsi" w:hAnsiTheme="majorHAnsi"/>
                <w:color w:val="000000"/>
                <w:sz w:val="22"/>
              </w:rPr>
            </w:pPr>
            <w:r w:rsidRPr="00737F59">
              <w:rPr>
                <w:rFonts w:asciiTheme="majorHAnsi" w:hAnsiTheme="majorHAnsi"/>
                <w:color w:val="000000"/>
                <w:sz w:val="22"/>
              </w:rPr>
              <w:t>Mw Mn</w:t>
            </w:r>
            <w:r w:rsidRPr="00737F59">
              <w:rPr>
                <w:rFonts w:asciiTheme="majorHAnsi" w:hAnsiTheme="majorHAnsi"/>
                <w:color w:val="000000"/>
                <w:sz w:val="22"/>
                <w:vertAlign w:val="superscript"/>
              </w:rPr>
              <w:t>-1</w:t>
            </w:r>
          </w:p>
        </w:tc>
      </w:tr>
      <w:tr w:rsidR="000B5537" w:rsidRPr="00737F59" w:rsidTr="00A60C30">
        <w:trPr>
          <w:trHeight w:val="315"/>
          <w:jc w:val="center"/>
        </w:trPr>
        <w:tc>
          <w:tcPr>
            <w:tcW w:w="598" w:type="dxa"/>
            <w:vMerge w:val="restart"/>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P</w:t>
            </w:r>
            <w:r>
              <w:rPr>
                <w:rFonts w:asciiTheme="majorHAnsi" w:hAnsiTheme="majorHAnsi"/>
                <w:color w:val="000000"/>
                <w:sz w:val="22"/>
              </w:rPr>
              <w:t>o</w:t>
            </w:r>
          </w:p>
        </w:tc>
        <w:tc>
          <w:tcPr>
            <w:tcW w:w="530" w:type="dxa"/>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L1</w:t>
            </w:r>
          </w:p>
        </w:tc>
        <w:tc>
          <w:tcPr>
            <w:tcW w:w="949" w:type="dxa"/>
            <w:tcBorders>
              <w:top w:val="single" w:sz="4" w:space="0" w:color="auto"/>
              <w:bottom w:val="nil"/>
            </w:tcBorders>
            <w:vAlign w:val="bottom"/>
          </w:tcPr>
          <w:p w:rsidR="000B5537" w:rsidRPr="000B5537"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17.92</w:t>
            </w:r>
          </w:p>
        </w:tc>
        <w:tc>
          <w:tcPr>
            <w:tcW w:w="1073"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93.37</w:t>
            </w:r>
          </w:p>
        </w:tc>
        <w:tc>
          <w:tcPr>
            <w:tcW w:w="767"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0.88</w:t>
            </w:r>
          </w:p>
        </w:tc>
        <w:tc>
          <w:tcPr>
            <w:tcW w:w="1605"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1.84</w:t>
            </w:r>
          </w:p>
        </w:tc>
        <w:tc>
          <w:tcPr>
            <w:tcW w:w="865"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1.13</w:t>
            </w:r>
          </w:p>
        </w:tc>
        <w:tc>
          <w:tcPr>
            <w:tcW w:w="1200" w:type="dxa"/>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5534</w:t>
            </w:r>
          </w:p>
        </w:tc>
        <w:tc>
          <w:tcPr>
            <w:tcW w:w="1200" w:type="dxa"/>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4.43</w:t>
            </w:r>
          </w:p>
        </w:tc>
      </w:tr>
      <w:tr w:rsidR="000B5537" w:rsidRPr="00737F59" w:rsidTr="00A60C30">
        <w:trPr>
          <w:trHeight w:val="315"/>
          <w:jc w:val="center"/>
        </w:trPr>
        <w:tc>
          <w:tcPr>
            <w:tcW w:w="598" w:type="dxa"/>
            <w:vMerge/>
            <w:tcBorders>
              <w:top w:val="nil"/>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p>
        </w:tc>
        <w:tc>
          <w:tcPr>
            <w:tcW w:w="530" w:type="dxa"/>
            <w:tcBorders>
              <w:top w:val="nil"/>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L2</w:t>
            </w:r>
          </w:p>
        </w:tc>
        <w:tc>
          <w:tcPr>
            <w:tcW w:w="949" w:type="dxa"/>
            <w:tcBorders>
              <w:top w:val="nil"/>
              <w:bottom w:val="nil"/>
            </w:tcBorders>
            <w:vAlign w:val="bottom"/>
          </w:tcPr>
          <w:p w:rsidR="000B5537" w:rsidRPr="000B5537"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8.67</w:t>
            </w:r>
          </w:p>
        </w:tc>
        <w:tc>
          <w:tcPr>
            <w:tcW w:w="1073" w:type="dxa"/>
            <w:tcBorders>
              <w:top w:val="nil"/>
              <w:bottom w:val="nil"/>
            </w:tcBorders>
            <w:vAlign w:val="center"/>
          </w:tcPr>
          <w:p w:rsidR="000B5537" w:rsidRPr="00737F59"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83.34</w:t>
            </w:r>
          </w:p>
        </w:tc>
        <w:tc>
          <w:tcPr>
            <w:tcW w:w="767" w:type="dxa"/>
            <w:tcBorders>
              <w:top w:val="nil"/>
              <w:bottom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1.46</w:t>
            </w:r>
          </w:p>
        </w:tc>
        <w:tc>
          <w:tcPr>
            <w:tcW w:w="1605" w:type="dxa"/>
            <w:tcBorders>
              <w:top w:val="nil"/>
              <w:bottom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3.01</w:t>
            </w:r>
          </w:p>
        </w:tc>
        <w:tc>
          <w:tcPr>
            <w:tcW w:w="865" w:type="dxa"/>
            <w:tcBorders>
              <w:top w:val="nil"/>
              <w:bottom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1.15</w:t>
            </w:r>
          </w:p>
        </w:tc>
        <w:tc>
          <w:tcPr>
            <w:tcW w:w="1200" w:type="dxa"/>
            <w:tcBorders>
              <w:top w:val="nil"/>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2772</w:t>
            </w:r>
          </w:p>
        </w:tc>
        <w:tc>
          <w:tcPr>
            <w:tcW w:w="1200" w:type="dxa"/>
            <w:tcBorders>
              <w:top w:val="nil"/>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2.94</w:t>
            </w:r>
          </w:p>
        </w:tc>
      </w:tr>
      <w:tr w:rsidR="000B5537" w:rsidRPr="00737F59" w:rsidTr="00A60C30">
        <w:trPr>
          <w:trHeight w:val="315"/>
          <w:jc w:val="center"/>
        </w:trPr>
        <w:tc>
          <w:tcPr>
            <w:tcW w:w="598" w:type="dxa"/>
            <w:vMerge w:val="restart"/>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proofErr w:type="spellStart"/>
            <w:r w:rsidRPr="00737F59">
              <w:rPr>
                <w:rFonts w:asciiTheme="majorHAnsi" w:hAnsiTheme="majorHAnsi"/>
                <w:color w:val="000000"/>
                <w:sz w:val="22"/>
              </w:rPr>
              <w:t>Pw</w:t>
            </w:r>
            <w:proofErr w:type="spellEnd"/>
          </w:p>
        </w:tc>
        <w:tc>
          <w:tcPr>
            <w:tcW w:w="530" w:type="dxa"/>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L1</w:t>
            </w:r>
          </w:p>
        </w:tc>
        <w:tc>
          <w:tcPr>
            <w:tcW w:w="949" w:type="dxa"/>
            <w:tcBorders>
              <w:top w:val="single" w:sz="4" w:space="0" w:color="auto"/>
              <w:bottom w:val="nil"/>
            </w:tcBorders>
            <w:vAlign w:val="bottom"/>
          </w:tcPr>
          <w:p w:rsidR="000B5537" w:rsidRPr="000B5537"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15.03</w:t>
            </w:r>
          </w:p>
        </w:tc>
        <w:tc>
          <w:tcPr>
            <w:tcW w:w="1073"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93.89</w:t>
            </w:r>
          </w:p>
        </w:tc>
        <w:tc>
          <w:tcPr>
            <w:tcW w:w="767"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0.53</w:t>
            </w:r>
          </w:p>
        </w:tc>
        <w:tc>
          <w:tcPr>
            <w:tcW w:w="1605"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1.83</w:t>
            </w:r>
          </w:p>
        </w:tc>
        <w:tc>
          <w:tcPr>
            <w:tcW w:w="865"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0.29</w:t>
            </w:r>
          </w:p>
        </w:tc>
        <w:tc>
          <w:tcPr>
            <w:tcW w:w="1200" w:type="dxa"/>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7401</w:t>
            </w:r>
          </w:p>
        </w:tc>
        <w:tc>
          <w:tcPr>
            <w:tcW w:w="1200" w:type="dxa"/>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5.32</w:t>
            </w:r>
          </w:p>
        </w:tc>
      </w:tr>
      <w:tr w:rsidR="000B5537" w:rsidRPr="00737F59" w:rsidTr="00A60C30">
        <w:trPr>
          <w:trHeight w:val="315"/>
          <w:jc w:val="center"/>
        </w:trPr>
        <w:tc>
          <w:tcPr>
            <w:tcW w:w="598" w:type="dxa"/>
            <w:vMerge/>
            <w:tcBorders>
              <w:top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p>
        </w:tc>
        <w:tc>
          <w:tcPr>
            <w:tcW w:w="530" w:type="dxa"/>
            <w:tcBorders>
              <w:top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L2</w:t>
            </w:r>
          </w:p>
        </w:tc>
        <w:tc>
          <w:tcPr>
            <w:tcW w:w="949" w:type="dxa"/>
            <w:tcBorders>
              <w:top w:val="nil"/>
            </w:tcBorders>
            <w:vAlign w:val="bottom"/>
          </w:tcPr>
          <w:p w:rsidR="000B5537" w:rsidRPr="000B5537"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5.29</w:t>
            </w:r>
          </w:p>
        </w:tc>
        <w:tc>
          <w:tcPr>
            <w:tcW w:w="1073" w:type="dxa"/>
            <w:tcBorders>
              <w:top w:val="nil"/>
            </w:tcBorders>
            <w:vAlign w:val="center"/>
          </w:tcPr>
          <w:p w:rsidR="000B5537" w:rsidRPr="00737F59"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93.05</w:t>
            </w:r>
          </w:p>
        </w:tc>
        <w:tc>
          <w:tcPr>
            <w:tcW w:w="767" w:type="dxa"/>
            <w:tcBorders>
              <w:top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1.20</w:t>
            </w:r>
          </w:p>
        </w:tc>
        <w:tc>
          <w:tcPr>
            <w:tcW w:w="1605" w:type="dxa"/>
            <w:tcBorders>
              <w:top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4.44</w:t>
            </w:r>
          </w:p>
        </w:tc>
        <w:tc>
          <w:tcPr>
            <w:tcW w:w="865" w:type="dxa"/>
            <w:tcBorders>
              <w:top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0.65</w:t>
            </w:r>
          </w:p>
        </w:tc>
        <w:tc>
          <w:tcPr>
            <w:tcW w:w="1200" w:type="dxa"/>
            <w:tcBorders>
              <w:top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10049</w:t>
            </w:r>
          </w:p>
        </w:tc>
        <w:tc>
          <w:tcPr>
            <w:tcW w:w="1200" w:type="dxa"/>
            <w:tcBorders>
              <w:top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8.68</w:t>
            </w:r>
          </w:p>
        </w:tc>
      </w:tr>
      <w:tr w:rsidR="000B5537" w:rsidRPr="00737F59" w:rsidTr="00A60C30">
        <w:trPr>
          <w:trHeight w:val="300"/>
          <w:jc w:val="center"/>
        </w:trPr>
        <w:tc>
          <w:tcPr>
            <w:tcW w:w="598" w:type="dxa"/>
            <w:vMerge w:val="restart"/>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T</w:t>
            </w:r>
            <w:r>
              <w:rPr>
                <w:rFonts w:asciiTheme="majorHAnsi" w:hAnsiTheme="majorHAnsi"/>
                <w:color w:val="000000"/>
                <w:sz w:val="22"/>
              </w:rPr>
              <w:t>o</w:t>
            </w:r>
          </w:p>
        </w:tc>
        <w:tc>
          <w:tcPr>
            <w:tcW w:w="530" w:type="dxa"/>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L1</w:t>
            </w:r>
          </w:p>
        </w:tc>
        <w:tc>
          <w:tcPr>
            <w:tcW w:w="949" w:type="dxa"/>
            <w:tcBorders>
              <w:top w:val="single" w:sz="4" w:space="0" w:color="auto"/>
              <w:bottom w:val="nil"/>
            </w:tcBorders>
            <w:vAlign w:val="bottom"/>
          </w:tcPr>
          <w:p w:rsidR="000B5537" w:rsidRPr="000B5537"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8.54</w:t>
            </w:r>
          </w:p>
        </w:tc>
        <w:tc>
          <w:tcPr>
            <w:tcW w:w="1073"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93.36</w:t>
            </w:r>
          </w:p>
        </w:tc>
        <w:tc>
          <w:tcPr>
            <w:tcW w:w="767"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0.74</w:t>
            </w:r>
          </w:p>
        </w:tc>
        <w:tc>
          <w:tcPr>
            <w:tcW w:w="1605"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1.73</w:t>
            </w:r>
          </w:p>
        </w:tc>
        <w:tc>
          <w:tcPr>
            <w:tcW w:w="865"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0.51</w:t>
            </w:r>
          </w:p>
        </w:tc>
        <w:tc>
          <w:tcPr>
            <w:tcW w:w="1200" w:type="dxa"/>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1453</w:t>
            </w:r>
          </w:p>
        </w:tc>
        <w:tc>
          <w:tcPr>
            <w:tcW w:w="1200" w:type="dxa"/>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2.36</w:t>
            </w:r>
          </w:p>
        </w:tc>
      </w:tr>
      <w:tr w:rsidR="000B5537" w:rsidRPr="00737F59" w:rsidTr="00A60C30">
        <w:trPr>
          <w:trHeight w:val="315"/>
          <w:jc w:val="center"/>
        </w:trPr>
        <w:tc>
          <w:tcPr>
            <w:tcW w:w="598" w:type="dxa"/>
            <w:vMerge/>
            <w:tcBorders>
              <w:top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p>
        </w:tc>
        <w:tc>
          <w:tcPr>
            <w:tcW w:w="530" w:type="dxa"/>
            <w:tcBorders>
              <w:top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L2</w:t>
            </w:r>
          </w:p>
        </w:tc>
        <w:tc>
          <w:tcPr>
            <w:tcW w:w="949" w:type="dxa"/>
            <w:tcBorders>
              <w:top w:val="nil"/>
            </w:tcBorders>
            <w:vAlign w:val="bottom"/>
          </w:tcPr>
          <w:p w:rsidR="000B5537" w:rsidRPr="000B5537"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9.06</w:t>
            </w:r>
          </w:p>
        </w:tc>
        <w:tc>
          <w:tcPr>
            <w:tcW w:w="1073" w:type="dxa"/>
            <w:tcBorders>
              <w:top w:val="nil"/>
            </w:tcBorders>
            <w:vAlign w:val="center"/>
          </w:tcPr>
          <w:p w:rsidR="000B5537" w:rsidRPr="00737F59"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92.82</w:t>
            </w:r>
          </w:p>
        </w:tc>
        <w:tc>
          <w:tcPr>
            <w:tcW w:w="767" w:type="dxa"/>
            <w:tcBorders>
              <w:top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1.08</w:t>
            </w:r>
          </w:p>
        </w:tc>
        <w:tc>
          <w:tcPr>
            <w:tcW w:w="1605" w:type="dxa"/>
            <w:tcBorders>
              <w:top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5.27</w:t>
            </w:r>
          </w:p>
        </w:tc>
        <w:tc>
          <w:tcPr>
            <w:tcW w:w="865" w:type="dxa"/>
            <w:tcBorders>
              <w:top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1.06</w:t>
            </w:r>
          </w:p>
        </w:tc>
        <w:tc>
          <w:tcPr>
            <w:tcW w:w="1200" w:type="dxa"/>
            <w:tcBorders>
              <w:top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3477</w:t>
            </w:r>
          </w:p>
        </w:tc>
        <w:tc>
          <w:tcPr>
            <w:tcW w:w="1200" w:type="dxa"/>
            <w:tcBorders>
              <w:top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4.16</w:t>
            </w:r>
          </w:p>
        </w:tc>
      </w:tr>
      <w:tr w:rsidR="000B5537" w:rsidRPr="00737F59" w:rsidTr="00A60C30">
        <w:trPr>
          <w:trHeight w:val="315"/>
          <w:jc w:val="center"/>
        </w:trPr>
        <w:tc>
          <w:tcPr>
            <w:tcW w:w="598" w:type="dxa"/>
            <w:vMerge w:val="restart"/>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Tw</w:t>
            </w:r>
          </w:p>
        </w:tc>
        <w:tc>
          <w:tcPr>
            <w:tcW w:w="530" w:type="dxa"/>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L1</w:t>
            </w:r>
          </w:p>
        </w:tc>
        <w:tc>
          <w:tcPr>
            <w:tcW w:w="949" w:type="dxa"/>
            <w:tcBorders>
              <w:top w:val="single" w:sz="4" w:space="0" w:color="auto"/>
              <w:bottom w:val="nil"/>
            </w:tcBorders>
            <w:vAlign w:val="bottom"/>
          </w:tcPr>
          <w:p w:rsidR="000B5537" w:rsidRPr="000B5537"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9.80</w:t>
            </w:r>
          </w:p>
        </w:tc>
        <w:tc>
          <w:tcPr>
            <w:tcW w:w="1073"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94.62</w:t>
            </w:r>
          </w:p>
        </w:tc>
        <w:tc>
          <w:tcPr>
            <w:tcW w:w="767"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0.95</w:t>
            </w:r>
          </w:p>
        </w:tc>
        <w:tc>
          <w:tcPr>
            <w:tcW w:w="1605"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2.58</w:t>
            </w:r>
          </w:p>
        </w:tc>
        <w:tc>
          <w:tcPr>
            <w:tcW w:w="865" w:type="dxa"/>
            <w:tcBorders>
              <w:top w:val="single" w:sz="4" w:space="0" w:color="auto"/>
              <w:bottom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0.25</w:t>
            </w:r>
          </w:p>
        </w:tc>
        <w:tc>
          <w:tcPr>
            <w:tcW w:w="1200" w:type="dxa"/>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4307</w:t>
            </w:r>
          </w:p>
        </w:tc>
        <w:tc>
          <w:tcPr>
            <w:tcW w:w="1200" w:type="dxa"/>
            <w:tcBorders>
              <w:top w:val="single" w:sz="4" w:space="0" w:color="auto"/>
              <w:bottom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3.71</w:t>
            </w:r>
          </w:p>
        </w:tc>
      </w:tr>
      <w:tr w:rsidR="000B5537" w:rsidRPr="00737F59" w:rsidTr="00A60C30">
        <w:trPr>
          <w:trHeight w:val="315"/>
          <w:jc w:val="center"/>
        </w:trPr>
        <w:tc>
          <w:tcPr>
            <w:tcW w:w="598" w:type="dxa"/>
            <w:vMerge/>
            <w:tcBorders>
              <w:top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p>
        </w:tc>
        <w:tc>
          <w:tcPr>
            <w:tcW w:w="530" w:type="dxa"/>
            <w:tcBorders>
              <w:top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L2</w:t>
            </w:r>
          </w:p>
        </w:tc>
        <w:tc>
          <w:tcPr>
            <w:tcW w:w="949" w:type="dxa"/>
            <w:tcBorders>
              <w:top w:val="nil"/>
            </w:tcBorders>
            <w:vAlign w:val="bottom"/>
          </w:tcPr>
          <w:p w:rsidR="000B5537" w:rsidRPr="000B5537"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7.14</w:t>
            </w:r>
          </w:p>
        </w:tc>
        <w:tc>
          <w:tcPr>
            <w:tcW w:w="1073" w:type="dxa"/>
            <w:tcBorders>
              <w:top w:val="nil"/>
            </w:tcBorders>
            <w:vAlign w:val="center"/>
          </w:tcPr>
          <w:p w:rsidR="000B5537" w:rsidRPr="00737F59" w:rsidRDefault="000B5537" w:rsidP="000B5537">
            <w:pPr>
              <w:spacing w:line="240" w:lineRule="auto"/>
              <w:jc w:val="center"/>
              <w:rPr>
                <w:rFonts w:asciiTheme="majorHAnsi" w:hAnsiTheme="majorHAnsi"/>
                <w:color w:val="000000"/>
                <w:sz w:val="22"/>
              </w:rPr>
            </w:pPr>
            <w:r>
              <w:rPr>
                <w:rFonts w:asciiTheme="majorHAnsi" w:hAnsiTheme="majorHAnsi"/>
                <w:color w:val="000000"/>
                <w:sz w:val="22"/>
              </w:rPr>
              <w:t>89.92</w:t>
            </w:r>
          </w:p>
        </w:tc>
        <w:tc>
          <w:tcPr>
            <w:tcW w:w="767" w:type="dxa"/>
            <w:tcBorders>
              <w:top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1.29</w:t>
            </w:r>
          </w:p>
        </w:tc>
        <w:tc>
          <w:tcPr>
            <w:tcW w:w="1605" w:type="dxa"/>
            <w:tcBorders>
              <w:top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6.11</w:t>
            </w:r>
          </w:p>
        </w:tc>
        <w:tc>
          <w:tcPr>
            <w:tcW w:w="865" w:type="dxa"/>
            <w:tcBorders>
              <w:top w:val="nil"/>
            </w:tcBorders>
            <w:vAlign w:val="center"/>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0.49</w:t>
            </w:r>
          </w:p>
        </w:tc>
        <w:tc>
          <w:tcPr>
            <w:tcW w:w="1200" w:type="dxa"/>
            <w:tcBorders>
              <w:top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3465</w:t>
            </w:r>
          </w:p>
        </w:tc>
        <w:tc>
          <w:tcPr>
            <w:tcW w:w="1200" w:type="dxa"/>
            <w:tcBorders>
              <w:top w:val="nil"/>
            </w:tcBorders>
            <w:noWrap/>
            <w:vAlign w:val="center"/>
            <w:hideMark/>
          </w:tcPr>
          <w:p w:rsidR="000B5537" w:rsidRPr="00737F59" w:rsidRDefault="000B5537" w:rsidP="000B5537">
            <w:pPr>
              <w:spacing w:line="240" w:lineRule="auto"/>
              <w:jc w:val="center"/>
              <w:rPr>
                <w:rFonts w:asciiTheme="majorHAnsi" w:hAnsiTheme="majorHAnsi"/>
                <w:color w:val="000000"/>
                <w:sz w:val="22"/>
              </w:rPr>
            </w:pPr>
            <w:r w:rsidRPr="00737F59">
              <w:rPr>
                <w:rFonts w:asciiTheme="majorHAnsi" w:hAnsiTheme="majorHAnsi"/>
                <w:color w:val="000000"/>
                <w:sz w:val="22"/>
              </w:rPr>
              <w:t>3.88</w:t>
            </w:r>
          </w:p>
        </w:tc>
      </w:tr>
    </w:tbl>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2D10E9"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recovery of lignin from Organosolv treatment and mild-alkaline bleaching sequence resulted in very different technical ligni</w:t>
      </w:r>
      <w:bookmarkStart w:id="0" w:name="_GoBack"/>
      <w:bookmarkEnd w:id="0"/>
      <w:r>
        <w:rPr>
          <w:rFonts w:asciiTheme="minorHAnsi" w:eastAsia="MS PGothic" w:hAnsiTheme="minorHAnsi"/>
          <w:color w:val="000000"/>
          <w:sz w:val="22"/>
          <w:szCs w:val="22"/>
          <w:lang w:val="en-US"/>
        </w:rPr>
        <w:t xml:space="preserve">ns, with different possible applications.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2D10E9" w:rsidRPr="002D10E9" w:rsidRDefault="002D10E9" w:rsidP="002D10E9">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olor w:val="000000"/>
          <w:lang w:val="es-ES"/>
        </w:rPr>
      </w:pPr>
      <w:r w:rsidRPr="002D10E9">
        <w:rPr>
          <w:rFonts w:asciiTheme="minorHAnsi" w:hAnsiTheme="minorHAnsi"/>
          <w:color w:val="000000"/>
          <w:lang w:val="es-ES"/>
        </w:rPr>
        <w:t xml:space="preserve">Herrera, R.; </w:t>
      </w:r>
      <w:proofErr w:type="spellStart"/>
      <w:r w:rsidRPr="002D10E9">
        <w:rPr>
          <w:rFonts w:asciiTheme="minorHAnsi" w:hAnsiTheme="minorHAnsi"/>
          <w:color w:val="000000"/>
          <w:lang w:val="es-ES"/>
        </w:rPr>
        <w:t>Erdocia</w:t>
      </w:r>
      <w:proofErr w:type="spellEnd"/>
      <w:r w:rsidRPr="002D10E9">
        <w:rPr>
          <w:rFonts w:asciiTheme="minorHAnsi" w:hAnsiTheme="minorHAnsi"/>
          <w:color w:val="000000"/>
          <w:lang w:val="es-ES"/>
        </w:rPr>
        <w:t xml:space="preserve">, X.; Llano-Ponte, R.; </w:t>
      </w:r>
      <w:proofErr w:type="spellStart"/>
      <w:r w:rsidRPr="002D10E9">
        <w:rPr>
          <w:rFonts w:asciiTheme="minorHAnsi" w:hAnsiTheme="minorHAnsi"/>
          <w:color w:val="000000"/>
          <w:lang w:val="es-ES"/>
        </w:rPr>
        <w:t>Labidi</w:t>
      </w:r>
      <w:proofErr w:type="spellEnd"/>
      <w:r w:rsidRPr="002D10E9">
        <w:rPr>
          <w:rFonts w:asciiTheme="minorHAnsi" w:hAnsiTheme="minorHAnsi"/>
          <w:color w:val="000000"/>
          <w:lang w:val="es-ES"/>
        </w:rPr>
        <w:t xml:space="preserve">, J. J. Anal. </w:t>
      </w:r>
      <w:proofErr w:type="spellStart"/>
      <w:r w:rsidRPr="002D10E9">
        <w:rPr>
          <w:rFonts w:asciiTheme="minorHAnsi" w:hAnsiTheme="minorHAnsi"/>
          <w:color w:val="000000"/>
          <w:lang w:val="es-ES"/>
        </w:rPr>
        <w:t>Appl</w:t>
      </w:r>
      <w:proofErr w:type="spellEnd"/>
      <w:r w:rsidRPr="002D10E9">
        <w:rPr>
          <w:rFonts w:asciiTheme="minorHAnsi" w:hAnsiTheme="minorHAnsi"/>
          <w:color w:val="000000"/>
          <w:lang w:val="es-ES"/>
        </w:rPr>
        <w:t xml:space="preserve">. </w:t>
      </w:r>
      <w:proofErr w:type="spellStart"/>
      <w:r w:rsidRPr="002D10E9">
        <w:rPr>
          <w:rFonts w:asciiTheme="minorHAnsi" w:hAnsiTheme="minorHAnsi"/>
          <w:color w:val="000000"/>
          <w:lang w:val="es-ES"/>
        </w:rPr>
        <w:t>Pyrolysis</w:t>
      </w:r>
      <w:proofErr w:type="spellEnd"/>
      <w:r w:rsidRPr="002D10E9">
        <w:rPr>
          <w:rFonts w:asciiTheme="minorHAnsi" w:hAnsiTheme="minorHAnsi"/>
          <w:color w:val="000000"/>
          <w:lang w:val="es-ES"/>
        </w:rPr>
        <w:t xml:space="preserve"> 107, 256–266</w:t>
      </w:r>
      <w:r>
        <w:rPr>
          <w:rFonts w:asciiTheme="minorHAnsi" w:hAnsiTheme="minorHAnsi"/>
          <w:color w:val="000000"/>
          <w:lang w:val="es-ES"/>
        </w:rPr>
        <w:t xml:space="preserve">, </w:t>
      </w:r>
      <w:r w:rsidRPr="002D10E9">
        <w:rPr>
          <w:rFonts w:asciiTheme="minorHAnsi" w:hAnsiTheme="minorHAnsi"/>
          <w:color w:val="000000"/>
          <w:lang w:val="es-ES"/>
        </w:rPr>
        <w:t>2014. https://doi.org/10.1016/J.JAAP.2014.03.010.</w:t>
      </w:r>
    </w:p>
    <w:p w:rsidR="002D10E9" w:rsidRPr="00585A6A" w:rsidRDefault="002D10E9" w:rsidP="002D10E9">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olor w:val="000000"/>
          <w:lang w:val="es-ES"/>
        </w:rPr>
      </w:pPr>
      <w:r w:rsidRPr="00585A6A">
        <w:rPr>
          <w:rFonts w:asciiTheme="minorHAnsi" w:hAnsiTheme="minorHAnsi"/>
          <w:color w:val="000000"/>
          <w:lang w:val="es-ES"/>
        </w:rPr>
        <w:t>Herrera, R.; Arrese, A.; de Hoyos-Martinez, P. L.; Labidi, J.; Llano-Ponte, R. Constr. Build. Mater., 172, 233–242</w:t>
      </w:r>
      <w:r w:rsidRPr="00585A6A">
        <w:rPr>
          <w:rFonts w:asciiTheme="minorHAnsi" w:hAnsiTheme="minorHAnsi"/>
          <w:color w:val="000000"/>
          <w:lang w:val="es-ES"/>
        </w:rPr>
        <w:t xml:space="preserve">, </w:t>
      </w:r>
      <w:r w:rsidRPr="00585A6A">
        <w:rPr>
          <w:rFonts w:asciiTheme="minorHAnsi" w:hAnsiTheme="minorHAnsi"/>
          <w:color w:val="000000"/>
          <w:lang w:val="es-ES"/>
        </w:rPr>
        <w:t>2018.</w:t>
      </w:r>
    </w:p>
    <w:sectPr w:rsidR="002D10E9" w:rsidRPr="00585A6A"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960" w:rsidRDefault="003F3960" w:rsidP="004F5E36">
      <w:r>
        <w:separator/>
      </w:r>
    </w:p>
  </w:endnote>
  <w:endnote w:type="continuationSeparator" w:id="0">
    <w:p w:rsidR="003F3960" w:rsidRDefault="003F396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960" w:rsidRDefault="003F3960" w:rsidP="004F5E36">
      <w:r>
        <w:separator/>
      </w:r>
    </w:p>
  </w:footnote>
  <w:footnote w:type="continuationSeparator" w:id="0">
    <w:p w:rsidR="003F3960" w:rsidRDefault="003F3960"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s-ES" w:eastAsia="es-E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s-ES" w:eastAsia="es-E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s-ES" w:eastAsia="es-E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0NDI1MzA1NzI3NzNV0lEKTi0uzszPAykwrAUAiZ1BpSwAAAA="/>
  </w:docVars>
  <w:rsids>
    <w:rsidRoot w:val="000E414A"/>
    <w:rsid w:val="000027C0"/>
    <w:rsid w:val="000117CB"/>
    <w:rsid w:val="0003148D"/>
    <w:rsid w:val="00062A9A"/>
    <w:rsid w:val="000A03B2"/>
    <w:rsid w:val="000B5537"/>
    <w:rsid w:val="000D34BE"/>
    <w:rsid w:val="000E36F1"/>
    <w:rsid w:val="000E3A73"/>
    <w:rsid w:val="000E414A"/>
    <w:rsid w:val="0013121F"/>
    <w:rsid w:val="00134DE4"/>
    <w:rsid w:val="00150E59"/>
    <w:rsid w:val="00184AD6"/>
    <w:rsid w:val="001B65C1"/>
    <w:rsid w:val="001C684B"/>
    <w:rsid w:val="001D53FC"/>
    <w:rsid w:val="001F2EC7"/>
    <w:rsid w:val="002065DB"/>
    <w:rsid w:val="002228EB"/>
    <w:rsid w:val="002447EF"/>
    <w:rsid w:val="00251550"/>
    <w:rsid w:val="0027221A"/>
    <w:rsid w:val="00275B61"/>
    <w:rsid w:val="002D10E9"/>
    <w:rsid w:val="002D1F12"/>
    <w:rsid w:val="003009B7"/>
    <w:rsid w:val="0030469C"/>
    <w:rsid w:val="003723D4"/>
    <w:rsid w:val="003A7D1C"/>
    <w:rsid w:val="003F3960"/>
    <w:rsid w:val="0046164A"/>
    <w:rsid w:val="00462DCD"/>
    <w:rsid w:val="004D1162"/>
    <w:rsid w:val="004E4DD6"/>
    <w:rsid w:val="004F5E36"/>
    <w:rsid w:val="005119A5"/>
    <w:rsid w:val="005278B7"/>
    <w:rsid w:val="005346C8"/>
    <w:rsid w:val="00585A6A"/>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67ED2"/>
    <w:rsid w:val="00BC30C9"/>
    <w:rsid w:val="00BD1818"/>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A2CF3"/>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328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FA2CF3"/>
    <w:rPr>
      <w:color w:val="0000FF" w:themeColor="hyperlink"/>
      <w:u w:val="single"/>
    </w:rPr>
  </w:style>
  <w:style w:type="paragraph" w:styleId="ListParagraph">
    <w:name w:val="List Paragraph"/>
    <w:basedOn w:val="Normal"/>
    <w:uiPriority w:val="34"/>
    <w:qFormat/>
    <w:locked/>
    <w:rsid w:val="002D1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seeduardo.robles@ehu.eus"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C14CA-7D2B-4E51-93EC-B98A9BFF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731</Words>
  <Characters>4024</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Eduardo ROBLES</cp:lastModifiedBy>
  <cp:revision>3</cp:revision>
  <cp:lastPrinted>2015-05-12T18:31:00Z</cp:lastPrinted>
  <dcterms:created xsi:type="dcterms:W3CDTF">2019-04-30T15:44:00Z</dcterms:created>
  <dcterms:modified xsi:type="dcterms:W3CDTF">2019-04-30T16:42:00Z</dcterms:modified>
</cp:coreProperties>
</file>