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3128DF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Study of differential gene expression profile of </w:t>
      </w:r>
      <w:r w:rsidRPr="003128DF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E. coli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growing in glucose and acetate.</w:t>
      </w:r>
    </w:p>
    <w:p w:rsidR="00DE0019" w:rsidRPr="0044508A" w:rsidRDefault="0044508A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44508A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Gema Lozano Terol</w:t>
      </w:r>
      <w:r w:rsidRPr="0044508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</w:t>
      </w:r>
      <w:r w:rsidRPr="0044508A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Julia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Gallego-Jara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Ana Écija-Conesa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Manuel Cánovas Díaz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and Teresa</w:t>
      </w:r>
      <w:r w:rsidRPr="0044508A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de Diego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Pr="0044508A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.</w:t>
      </w:r>
      <w:r w:rsidR="00DE0019" w:rsidRPr="0044508A">
        <w:rPr>
          <w:rFonts w:eastAsia="SimSun"/>
          <w:color w:val="000000"/>
          <w:lang w:val="es-ES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="0044508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44508A" w:rsidRPr="0044508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Biochemistry and Molecular Biology (B) and Immunology, Faculty of Chemistry, University of Murcia, Campus of </w:t>
      </w:r>
      <w:proofErr w:type="spellStart"/>
      <w:r w:rsidR="0044508A" w:rsidRPr="0044508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Espinardo</w:t>
      </w:r>
      <w:proofErr w:type="spellEnd"/>
      <w:r w:rsidR="0044508A" w:rsidRPr="0044508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Regional Campus of International Excellence ‘‘Campus Mare Nostrum’’, P.O. Box 4021, Murcia E-30100, Spain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44508A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44508A" w:rsidRPr="00B43BD4">
          <w:rPr>
            <w:rStyle w:val="Hipervnculo"/>
            <w:rFonts w:asciiTheme="minorHAnsi" w:eastAsia="MS PGothic" w:hAnsiTheme="minorHAnsi"/>
            <w:bCs/>
            <w:i/>
            <w:iCs/>
            <w:sz w:val="20"/>
            <w:lang w:val="en-US"/>
          </w:rPr>
          <w:t>gema.lozano@um.es</w:t>
        </w:r>
      </w:hyperlink>
      <w:r w:rsidR="0044508A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3128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gene expression profile exhibited great differences between both conditions. </w:t>
      </w:r>
    </w:p>
    <w:p w:rsidR="00704BDF" w:rsidRDefault="00A1487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 increment in gene expression under acetate growth was observed. </w:t>
      </w:r>
    </w:p>
    <w:p w:rsidR="00A1487F" w:rsidRPr="00EC66CC" w:rsidRDefault="00A1487F" w:rsidP="00A1487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A1487F">
        <w:rPr>
          <w:rFonts w:asciiTheme="minorHAnsi" w:hAnsiTheme="minorHAnsi"/>
        </w:rPr>
        <w:t>EutD</w:t>
      </w:r>
      <w:proofErr w:type="spellEnd"/>
      <w:r w:rsidRPr="00A1487F">
        <w:rPr>
          <w:rFonts w:asciiTheme="minorHAnsi" w:hAnsiTheme="minorHAnsi"/>
        </w:rPr>
        <w:t xml:space="preserve"> and </w:t>
      </w:r>
      <w:proofErr w:type="spellStart"/>
      <w:r w:rsidRPr="00A1487F">
        <w:rPr>
          <w:rFonts w:asciiTheme="minorHAnsi" w:hAnsiTheme="minorHAnsi"/>
        </w:rPr>
        <w:t>PrcP</w:t>
      </w:r>
      <w:proofErr w:type="spellEnd"/>
      <w:r w:rsidRPr="00A1487F">
        <w:rPr>
          <w:rFonts w:asciiTheme="minorHAnsi" w:hAnsiTheme="minorHAnsi"/>
        </w:rPr>
        <w:t xml:space="preserve"> could be part of the </w:t>
      </w:r>
      <w:r>
        <w:rPr>
          <w:rFonts w:asciiTheme="minorHAnsi" w:hAnsiTheme="minorHAnsi"/>
        </w:rPr>
        <w:t>underground metabolism through alternative enzymatic activities.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44508A" w:rsidRPr="0044508A" w:rsidRDefault="0044508A" w:rsidP="0044508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44508A">
        <w:rPr>
          <w:rFonts w:asciiTheme="minorHAnsi" w:eastAsia="MS PGothic" w:hAnsiTheme="minorHAnsi"/>
          <w:bCs/>
          <w:i/>
          <w:color w:val="000000"/>
          <w:sz w:val="22"/>
          <w:szCs w:val="22"/>
        </w:rPr>
        <w:t>Escherichia coli</w:t>
      </w:r>
      <w:r w:rsidRPr="0044508A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(</w:t>
      </w:r>
      <w:r w:rsidRPr="0044508A">
        <w:rPr>
          <w:rFonts w:asciiTheme="minorHAnsi" w:eastAsia="MS PGothic" w:hAnsiTheme="minorHAnsi"/>
          <w:bCs/>
          <w:i/>
          <w:color w:val="000000"/>
          <w:sz w:val="22"/>
          <w:szCs w:val="22"/>
        </w:rPr>
        <w:t>E. coli</w:t>
      </w:r>
      <w:r w:rsidRPr="0044508A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) metabolism carbon fluxes are an important factor to take into account, since this bacteria is widely employed as a model organism in industrial and biotechnological processes. In this sense, </w:t>
      </w:r>
      <w:r w:rsidRPr="0044508A">
        <w:rPr>
          <w:rFonts w:asciiTheme="minorHAnsi" w:eastAsia="MS PGothic" w:hAnsiTheme="minorHAnsi"/>
          <w:bCs/>
          <w:i/>
          <w:color w:val="000000"/>
          <w:sz w:val="22"/>
          <w:szCs w:val="22"/>
        </w:rPr>
        <w:t>E. coli</w:t>
      </w:r>
      <w:r w:rsidRPr="0044508A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can metabolize diverse carbon sources such as acetate, which is a poor carbon source, or glucose. Under glucose limitation conditions, </w:t>
      </w:r>
      <w:r w:rsidRPr="0044508A">
        <w:rPr>
          <w:rFonts w:asciiTheme="minorHAnsi" w:eastAsia="MS PGothic" w:hAnsiTheme="minorHAnsi"/>
          <w:bCs/>
          <w:i/>
          <w:color w:val="000000"/>
          <w:sz w:val="22"/>
          <w:szCs w:val="22"/>
        </w:rPr>
        <w:t>E. coli</w:t>
      </w:r>
      <w:r w:rsidRPr="0044508A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develops carbon stress responses</w:t>
      </w:r>
      <w:r w:rsidR="00C31E51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[1]</w:t>
      </w:r>
      <w:r w:rsidRPr="0044508A">
        <w:rPr>
          <w:rFonts w:asciiTheme="minorHAnsi" w:eastAsia="MS PGothic" w:hAnsiTheme="minorHAnsi"/>
          <w:bCs/>
          <w:color w:val="000000"/>
          <w:sz w:val="22"/>
          <w:szCs w:val="22"/>
        </w:rPr>
        <w:t>, so this bacteria exhibits an expansion in gene expression</w:t>
      </w:r>
      <w:r w:rsidR="00C31E51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[2]</w:t>
      </w:r>
      <w:r w:rsidRPr="0044508A">
        <w:rPr>
          <w:rFonts w:asciiTheme="minorHAnsi" w:eastAsia="MS PGothic" w:hAnsiTheme="minorHAnsi"/>
          <w:bCs/>
          <w:color w:val="000000"/>
          <w:sz w:val="22"/>
          <w:szCs w:val="22"/>
        </w:rPr>
        <w:t>, the emergence of new pathways and alternative enzymatic activities. Thereby, diverse activities and new pathways could be part of underground reactions</w:t>
      </w:r>
      <w:r w:rsidRPr="0044508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which may be connected to the existing network, increasing the potential of employing diverse and new carbon sources</w:t>
      </w:r>
      <w:r w:rsidR="00C31E5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[3]</w:t>
      </w:r>
      <w:r w:rsidRPr="0044508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93227D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In this work, a gene expression study through a </w:t>
      </w:r>
      <w:r w:rsidR="003128DF" w:rsidRPr="003128D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streptavidin-biotin-based </w:t>
      </w:r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microarray assay has been carried out to know the differences between the genetic global expression in </w:t>
      </w:r>
      <w:r w:rsidRPr="0093227D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>E. coli</w:t>
      </w:r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K12 MG</w:t>
      </w:r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>1655 growing in minimal medium M9 supplemented with glucose or acetate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as carbon source</w:t>
      </w:r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>.</w:t>
      </w:r>
      <w:r w:rsidR="003128DF" w:rsidRPr="003128DF">
        <w:t xml:space="preserve"> </w:t>
      </w:r>
      <w:r w:rsidR="003128DF">
        <w:rPr>
          <w:rFonts w:asciiTheme="minorHAnsi" w:eastAsia="MS PGothic" w:hAnsiTheme="minorHAnsi"/>
          <w:bCs/>
          <w:color w:val="000000"/>
          <w:sz w:val="22"/>
          <w:szCs w:val="22"/>
        </w:rPr>
        <w:t>H</w:t>
      </w:r>
      <w:r w:rsidR="003128DF" w:rsidRPr="003128DF">
        <w:rPr>
          <w:rFonts w:asciiTheme="minorHAnsi" w:eastAsia="MS PGothic" w:hAnsiTheme="minorHAnsi"/>
          <w:bCs/>
          <w:color w:val="000000"/>
          <w:sz w:val="22"/>
          <w:szCs w:val="22"/>
        </w:rPr>
        <w:t>igh density arrays "</w:t>
      </w:r>
      <w:proofErr w:type="spellStart"/>
      <w:r w:rsidR="003128DF" w:rsidRPr="003128DF">
        <w:rPr>
          <w:rFonts w:asciiTheme="minorHAnsi" w:eastAsia="MS PGothic" w:hAnsiTheme="minorHAnsi"/>
          <w:bCs/>
          <w:color w:val="000000"/>
          <w:sz w:val="22"/>
          <w:szCs w:val="22"/>
        </w:rPr>
        <w:t>GeneChip</w:t>
      </w:r>
      <w:proofErr w:type="spellEnd"/>
      <w:r w:rsidR="003128DF" w:rsidRPr="003128DF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E. coli Genome 2.0 Arrays" (P / N 900550, </w:t>
      </w:r>
      <w:proofErr w:type="spellStart"/>
      <w:r w:rsidR="003128DF" w:rsidRPr="003128DF">
        <w:rPr>
          <w:rFonts w:asciiTheme="minorHAnsi" w:eastAsia="MS PGothic" w:hAnsiTheme="minorHAnsi"/>
          <w:bCs/>
          <w:color w:val="000000"/>
          <w:sz w:val="22"/>
          <w:szCs w:val="22"/>
        </w:rPr>
        <w:t>Affymetrix</w:t>
      </w:r>
      <w:proofErr w:type="spellEnd"/>
      <w:r w:rsidR="003128DF" w:rsidRPr="003128DF">
        <w:rPr>
          <w:rFonts w:asciiTheme="minorHAnsi" w:eastAsia="MS PGothic" w:hAnsiTheme="minorHAnsi"/>
          <w:bCs/>
          <w:color w:val="000000"/>
          <w:sz w:val="22"/>
          <w:szCs w:val="22"/>
        </w:rPr>
        <w:t>, Incorporated) were used</w:t>
      </w:r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93227D" w:rsidRPr="0093227D" w:rsidRDefault="0093227D" w:rsidP="0093227D">
      <w:pPr>
        <w:snapToGrid w:val="0"/>
        <w:spacing w:after="120"/>
        <w:rPr>
          <w:rFonts w:asciiTheme="minorHAnsi" w:eastAsia="MS PGothic" w:hAnsiTheme="minorHAnsi"/>
          <w:bCs/>
          <w:color w:val="000000"/>
          <w:sz w:val="22"/>
          <w:szCs w:val="22"/>
        </w:rPr>
      </w:pPr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The transcription profiles of </w:t>
      </w:r>
      <w:r w:rsidRPr="0093227D">
        <w:rPr>
          <w:rFonts w:asciiTheme="minorHAnsi" w:eastAsia="MS PGothic" w:hAnsiTheme="minorHAnsi"/>
          <w:bCs/>
          <w:i/>
          <w:color w:val="000000"/>
          <w:sz w:val="22"/>
          <w:szCs w:val="22"/>
        </w:rPr>
        <w:t>E. coli</w:t>
      </w:r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K12 </w:t>
      </w:r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MG1655 </w:t>
      </w:r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growing in acetate supplemented medium exhibited great </w:t>
      </w:r>
      <w:bookmarkStart w:id="0" w:name="_Hlk3818344"/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differences in gene expression </w:t>
      </w:r>
      <w:bookmarkEnd w:id="0"/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respect to the strain growing in glucose supplemented medium. </w:t>
      </w:r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This behavior may be attributable to the increase in the number of genes expressed which allow a large scale carbon-scavenging to metabolize “low quality” carbon source</w:t>
      </w:r>
      <w:r w:rsidR="00C31E5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[2]</w:t>
      </w:r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 The adaptation process may involve a refined regulatory response to only activate genes of acetate metabolism (</w:t>
      </w:r>
      <w:proofErr w:type="spellStart"/>
      <w:r w:rsidRPr="0093227D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>acs</w:t>
      </w:r>
      <w:proofErr w:type="spellEnd"/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93227D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>ackA</w:t>
      </w:r>
      <w:proofErr w:type="spellEnd"/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93227D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>actP</w:t>
      </w:r>
      <w:proofErr w:type="spellEnd"/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), but we observed an increment in the expression of genes, which belong to other pathways</w:t>
      </w:r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, such as </w:t>
      </w:r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</w:t>
      </w:r>
      <w:proofErr w:type="spellStart"/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glyoxylate</w:t>
      </w:r>
      <w:proofErr w:type="spellEnd"/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shunt, </w:t>
      </w:r>
      <w:proofErr w:type="spellStart"/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methylglyoxylate</w:t>
      </w:r>
      <w:proofErr w:type="spellEnd"/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shunt, TCA cycle, </w:t>
      </w:r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lastRenderedPageBreak/>
        <w:t xml:space="preserve">and </w:t>
      </w:r>
      <w:proofErr w:type="spellStart"/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gluconeogenic</w:t>
      </w:r>
      <w:proofErr w:type="spellEnd"/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flux, suggesting that these pathways are at least partially controlled at the transcriptional level.</w:t>
      </w:r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Furthermore, </w:t>
      </w:r>
      <w:proofErr w:type="spellStart"/>
      <w:r w:rsidRPr="0093227D">
        <w:rPr>
          <w:rFonts w:asciiTheme="minorHAnsi" w:eastAsia="MS PGothic" w:hAnsiTheme="minorHAnsi"/>
          <w:bCs/>
          <w:i/>
          <w:color w:val="000000"/>
          <w:sz w:val="22"/>
          <w:szCs w:val="22"/>
        </w:rPr>
        <w:t>eutD</w:t>
      </w:r>
      <w:proofErr w:type="spellEnd"/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and </w:t>
      </w:r>
      <w:proofErr w:type="spellStart"/>
      <w:r w:rsidRPr="0093227D">
        <w:rPr>
          <w:rFonts w:asciiTheme="minorHAnsi" w:eastAsia="MS PGothic" w:hAnsiTheme="minorHAnsi"/>
          <w:bCs/>
          <w:i/>
          <w:color w:val="000000"/>
          <w:sz w:val="22"/>
          <w:szCs w:val="22"/>
        </w:rPr>
        <w:t>prcP</w:t>
      </w:r>
      <w:proofErr w:type="spellEnd"/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genes were overexpressed in acetate growing. These two genes belong to the ethanolamine and propionate metabolism, respectively, so in acetate growing</w:t>
      </w:r>
      <w:r w:rsidRPr="0093227D">
        <w:rPr>
          <w:rFonts w:asciiTheme="minorHAnsi" w:eastAsia="MS PGothic" w:hAnsiTheme="minorHAnsi"/>
          <w:bCs/>
          <w:i/>
          <w:color w:val="000000"/>
          <w:sz w:val="22"/>
          <w:szCs w:val="22"/>
        </w:rPr>
        <w:t xml:space="preserve"> </w:t>
      </w:r>
      <w:proofErr w:type="spellStart"/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>EutD</w:t>
      </w:r>
      <w:proofErr w:type="spellEnd"/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and </w:t>
      </w:r>
      <w:proofErr w:type="spellStart"/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>PrcP</w:t>
      </w:r>
      <w:proofErr w:type="spellEnd"/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must present other alternative enzymatic activities and could be part of the underground metabolism reactions.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93227D" w:rsidRPr="0093227D" w:rsidRDefault="0093227D" w:rsidP="0093227D">
      <w:pPr>
        <w:snapToGrid w:val="0"/>
        <w:spacing w:after="12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gene expression change in acetate compared to glucose was used to assess the metabolic flux distribution in key pathways. </w:t>
      </w:r>
      <w:r w:rsidRPr="0093227D">
        <w:rPr>
          <w:rFonts w:asciiTheme="minorHAnsi" w:eastAsia="MS PGothic" w:hAnsiTheme="minorHAnsi"/>
          <w:bCs/>
          <w:color w:val="000000"/>
          <w:sz w:val="22"/>
          <w:szCs w:val="22"/>
        </w:rPr>
        <w:t>Furthermore, the results suggest</w:t>
      </w:r>
      <w:r w:rsidRPr="009322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difficulties to identify adaptive mechanisms only through examination of expression changes, since there are other mechanisms that regulate metabolism, such as post-translational regulation, enzyme kinetics and allosteric control.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proofErr w:type="gramStart"/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[</w:t>
      </w:r>
      <w:proofErr w:type="gramEnd"/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Calibri 10]</w:t>
      </w:r>
    </w:p>
    <w:p w:rsidR="0093227D" w:rsidRPr="0093227D" w:rsidRDefault="0093227D" w:rsidP="0093227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noProof/>
          <w:sz w:val="20"/>
        </w:rPr>
      </w:pPr>
      <w:r w:rsidRPr="0093227D">
        <w:rPr>
          <w:rFonts w:asciiTheme="minorHAnsi" w:hAnsiTheme="minorHAnsi" w:cstheme="minorHAnsi"/>
          <w:sz w:val="20"/>
          <w:lang w:val="es-ES"/>
        </w:rPr>
        <w:fldChar w:fldCharType="begin" w:fldLock="1"/>
      </w:r>
      <w:r w:rsidRPr="0093227D">
        <w:rPr>
          <w:rFonts w:asciiTheme="minorHAnsi" w:hAnsiTheme="minorHAnsi" w:cstheme="minorHAnsi"/>
          <w:sz w:val="20"/>
          <w:lang w:val="es-ES"/>
        </w:rPr>
        <w:instrText xml:space="preserve">ADDIN Mendeley Bibliography CSL_BIBLIOGRAPHY </w:instrText>
      </w:r>
      <w:r w:rsidRPr="0093227D">
        <w:rPr>
          <w:rFonts w:asciiTheme="minorHAnsi" w:hAnsiTheme="minorHAnsi" w:cstheme="minorHAnsi"/>
          <w:sz w:val="20"/>
          <w:lang w:val="es-ES"/>
        </w:rPr>
        <w:fldChar w:fldCharType="separate"/>
      </w:r>
      <w:r w:rsidRPr="0093227D">
        <w:rPr>
          <w:rFonts w:asciiTheme="minorHAnsi" w:hAnsiTheme="minorHAnsi" w:cstheme="minorHAnsi"/>
          <w:noProof/>
          <w:sz w:val="20"/>
          <w:lang w:val="es-ES"/>
        </w:rPr>
        <w:tab/>
        <w:t xml:space="preserve">Martínez-Gómez, K. </w:t>
      </w:r>
      <w:r w:rsidRPr="0093227D">
        <w:rPr>
          <w:rFonts w:asciiTheme="minorHAnsi" w:hAnsiTheme="minorHAnsi" w:cstheme="minorHAnsi"/>
          <w:i/>
          <w:iCs/>
          <w:noProof/>
          <w:sz w:val="20"/>
          <w:lang w:val="es-ES"/>
        </w:rPr>
        <w:t>et al.</w:t>
      </w:r>
      <w:r w:rsidRPr="0093227D">
        <w:rPr>
          <w:rFonts w:asciiTheme="minorHAnsi" w:hAnsiTheme="minorHAnsi" w:cstheme="minorHAnsi"/>
          <w:noProof/>
          <w:sz w:val="20"/>
          <w:lang w:val="es-ES"/>
        </w:rPr>
        <w:t xml:space="preserve"> </w:t>
      </w:r>
      <w:r w:rsidRPr="0093227D">
        <w:rPr>
          <w:rFonts w:asciiTheme="minorHAnsi" w:hAnsiTheme="minorHAnsi" w:cstheme="minorHAnsi"/>
          <w:noProof/>
          <w:sz w:val="20"/>
        </w:rPr>
        <w:t xml:space="preserve">New insights into </w:t>
      </w:r>
      <w:r w:rsidRPr="0093227D">
        <w:rPr>
          <w:rFonts w:asciiTheme="minorHAnsi" w:hAnsiTheme="minorHAnsi" w:cstheme="minorHAnsi"/>
          <w:i/>
          <w:iCs/>
          <w:noProof/>
          <w:sz w:val="20"/>
        </w:rPr>
        <w:t>Escherichia coli</w:t>
      </w:r>
      <w:r w:rsidRPr="0093227D">
        <w:rPr>
          <w:rFonts w:asciiTheme="minorHAnsi" w:hAnsiTheme="minorHAnsi" w:cstheme="minorHAnsi"/>
          <w:noProof/>
          <w:sz w:val="20"/>
        </w:rPr>
        <w:t xml:space="preserve"> metabolism: carbon scavenging, acetate metabolism and carbon recycling responses during growth on glycerol. </w:t>
      </w:r>
      <w:r w:rsidRPr="0093227D">
        <w:rPr>
          <w:rFonts w:asciiTheme="minorHAnsi" w:hAnsiTheme="minorHAnsi" w:cstheme="minorHAnsi"/>
          <w:i/>
          <w:iCs/>
          <w:noProof/>
          <w:sz w:val="20"/>
        </w:rPr>
        <w:t>Microb. Cell Fact.</w:t>
      </w:r>
      <w:r w:rsidRPr="0093227D">
        <w:rPr>
          <w:rFonts w:asciiTheme="minorHAnsi" w:hAnsiTheme="minorHAnsi" w:cstheme="minorHAnsi"/>
          <w:noProof/>
          <w:sz w:val="20"/>
        </w:rPr>
        <w:t xml:space="preserve"> </w:t>
      </w:r>
      <w:r w:rsidRPr="0093227D">
        <w:rPr>
          <w:rFonts w:asciiTheme="minorHAnsi" w:hAnsiTheme="minorHAnsi" w:cstheme="minorHAnsi"/>
          <w:b/>
          <w:bCs/>
          <w:noProof/>
          <w:sz w:val="20"/>
        </w:rPr>
        <w:t>11,</w:t>
      </w:r>
      <w:r w:rsidRPr="0093227D">
        <w:rPr>
          <w:rFonts w:asciiTheme="minorHAnsi" w:hAnsiTheme="minorHAnsi" w:cstheme="minorHAnsi"/>
          <w:noProof/>
          <w:sz w:val="20"/>
        </w:rPr>
        <w:t xml:space="preserve"> 1–21 (2012).</w:t>
      </w:r>
    </w:p>
    <w:p w:rsidR="0093227D" w:rsidRPr="0093227D" w:rsidRDefault="0093227D" w:rsidP="0093227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noProof/>
          <w:sz w:val="20"/>
        </w:rPr>
      </w:pPr>
      <w:r w:rsidRPr="0093227D">
        <w:rPr>
          <w:rFonts w:asciiTheme="minorHAnsi" w:hAnsiTheme="minorHAnsi" w:cstheme="minorHAnsi"/>
          <w:noProof/>
          <w:sz w:val="20"/>
        </w:rPr>
        <w:tab/>
        <w:t xml:space="preserve">Blattner, F. R. </w:t>
      </w:r>
      <w:r w:rsidRPr="0093227D">
        <w:rPr>
          <w:rFonts w:asciiTheme="minorHAnsi" w:hAnsiTheme="minorHAnsi" w:cstheme="minorHAnsi"/>
          <w:i/>
          <w:iCs/>
          <w:noProof/>
          <w:sz w:val="20"/>
        </w:rPr>
        <w:t>et al.</w:t>
      </w:r>
      <w:r w:rsidRPr="0093227D">
        <w:rPr>
          <w:rFonts w:asciiTheme="minorHAnsi" w:hAnsiTheme="minorHAnsi" w:cstheme="minorHAnsi"/>
          <w:noProof/>
          <w:sz w:val="20"/>
        </w:rPr>
        <w:t xml:space="preserve"> Global Transcriptional Programs Reveal a Carbon Source Foraging Strategy by </w:t>
      </w:r>
      <w:r w:rsidRPr="0093227D">
        <w:rPr>
          <w:rFonts w:asciiTheme="minorHAnsi" w:hAnsiTheme="minorHAnsi" w:cstheme="minorHAnsi"/>
          <w:i/>
          <w:iCs/>
          <w:noProof/>
          <w:sz w:val="20"/>
        </w:rPr>
        <w:t>Escherichia coli</w:t>
      </w:r>
      <w:r w:rsidRPr="0093227D">
        <w:rPr>
          <w:rFonts w:asciiTheme="minorHAnsi" w:hAnsiTheme="minorHAnsi" w:cstheme="minorHAnsi"/>
          <w:noProof/>
          <w:sz w:val="20"/>
        </w:rPr>
        <w:t xml:space="preserve">. </w:t>
      </w:r>
      <w:r w:rsidRPr="0093227D">
        <w:rPr>
          <w:rFonts w:asciiTheme="minorHAnsi" w:hAnsiTheme="minorHAnsi" w:cstheme="minorHAnsi"/>
          <w:i/>
          <w:iCs/>
          <w:noProof/>
          <w:sz w:val="20"/>
        </w:rPr>
        <w:t>J. Biol. Chem.</w:t>
      </w:r>
      <w:r w:rsidRPr="0093227D">
        <w:rPr>
          <w:rFonts w:asciiTheme="minorHAnsi" w:hAnsiTheme="minorHAnsi" w:cstheme="minorHAnsi"/>
          <w:noProof/>
          <w:sz w:val="20"/>
        </w:rPr>
        <w:t xml:space="preserve"> </w:t>
      </w:r>
      <w:r w:rsidRPr="0093227D">
        <w:rPr>
          <w:rFonts w:asciiTheme="minorHAnsi" w:hAnsiTheme="minorHAnsi" w:cstheme="minorHAnsi"/>
          <w:b/>
          <w:bCs/>
          <w:noProof/>
          <w:sz w:val="20"/>
        </w:rPr>
        <w:t>280,</w:t>
      </w:r>
      <w:r w:rsidRPr="0093227D">
        <w:rPr>
          <w:rFonts w:asciiTheme="minorHAnsi" w:hAnsiTheme="minorHAnsi" w:cstheme="minorHAnsi"/>
          <w:noProof/>
          <w:sz w:val="20"/>
        </w:rPr>
        <w:t xml:space="preserve"> 15921–15927 (2005).</w:t>
      </w:r>
    </w:p>
    <w:p w:rsidR="0093227D" w:rsidRPr="0093227D" w:rsidRDefault="0093227D" w:rsidP="0093227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noProof/>
          <w:sz w:val="20"/>
        </w:rPr>
      </w:pPr>
      <w:r w:rsidRPr="0093227D">
        <w:rPr>
          <w:rFonts w:asciiTheme="minorHAnsi" w:hAnsiTheme="minorHAnsi" w:cstheme="minorHAnsi"/>
          <w:noProof/>
          <w:sz w:val="20"/>
        </w:rPr>
        <w:tab/>
        <w:t xml:space="preserve">Kintses, B. </w:t>
      </w:r>
      <w:r w:rsidRPr="0093227D">
        <w:rPr>
          <w:rFonts w:asciiTheme="minorHAnsi" w:hAnsiTheme="minorHAnsi" w:cstheme="minorHAnsi"/>
          <w:i/>
          <w:iCs/>
          <w:noProof/>
          <w:sz w:val="20"/>
        </w:rPr>
        <w:t>et al.</w:t>
      </w:r>
      <w:r w:rsidRPr="0093227D">
        <w:rPr>
          <w:rFonts w:asciiTheme="minorHAnsi" w:hAnsiTheme="minorHAnsi" w:cstheme="minorHAnsi"/>
          <w:noProof/>
          <w:sz w:val="20"/>
        </w:rPr>
        <w:t xml:space="preserve"> Network-level architecture and the evolutionary potential of underground metabolism. </w:t>
      </w:r>
      <w:r w:rsidRPr="0093227D">
        <w:rPr>
          <w:rFonts w:asciiTheme="minorHAnsi" w:hAnsiTheme="minorHAnsi" w:cstheme="minorHAnsi"/>
          <w:i/>
          <w:iCs/>
          <w:noProof/>
          <w:sz w:val="20"/>
        </w:rPr>
        <w:t>Proc. Natl. Acad. Sci.</w:t>
      </w:r>
      <w:r w:rsidRPr="0093227D">
        <w:rPr>
          <w:rFonts w:asciiTheme="minorHAnsi" w:hAnsiTheme="minorHAnsi" w:cstheme="minorHAnsi"/>
          <w:noProof/>
          <w:sz w:val="20"/>
        </w:rPr>
        <w:t xml:space="preserve"> </w:t>
      </w:r>
      <w:r w:rsidRPr="0093227D">
        <w:rPr>
          <w:rFonts w:asciiTheme="minorHAnsi" w:hAnsiTheme="minorHAnsi" w:cstheme="minorHAnsi"/>
          <w:b/>
          <w:bCs/>
          <w:noProof/>
          <w:sz w:val="20"/>
        </w:rPr>
        <w:t>111,</w:t>
      </w:r>
      <w:r w:rsidRPr="0093227D">
        <w:rPr>
          <w:rFonts w:asciiTheme="minorHAnsi" w:hAnsiTheme="minorHAnsi" w:cstheme="minorHAnsi"/>
          <w:noProof/>
          <w:sz w:val="20"/>
        </w:rPr>
        <w:t xml:space="preserve"> 11762–11767 (2014).</w:t>
      </w:r>
    </w:p>
    <w:p w:rsidR="0093227D" w:rsidRPr="00C31E51" w:rsidRDefault="0093227D" w:rsidP="00C31E5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20"/>
        </w:rPr>
      </w:pPr>
      <w:r w:rsidRPr="00C31E51">
        <w:rPr>
          <w:rFonts w:asciiTheme="minorHAnsi" w:hAnsiTheme="minorHAnsi" w:cstheme="minorHAnsi"/>
          <w:noProof/>
          <w:sz w:val="20"/>
        </w:rPr>
        <w:tab/>
      </w:r>
    </w:p>
    <w:p w:rsidR="0093227D" w:rsidRPr="0093227D" w:rsidRDefault="0093227D" w:rsidP="0093227D">
      <w:pPr>
        <w:rPr>
          <w:rFonts w:asciiTheme="minorHAnsi" w:hAnsiTheme="minorHAnsi" w:cstheme="minorHAnsi"/>
          <w:sz w:val="20"/>
          <w:lang w:val="es-ES"/>
        </w:rPr>
      </w:pPr>
      <w:r w:rsidRPr="0093227D">
        <w:rPr>
          <w:rFonts w:asciiTheme="minorHAnsi" w:hAnsiTheme="minorHAnsi" w:cstheme="minorHAnsi"/>
          <w:sz w:val="20"/>
          <w:lang w:val="es-ES"/>
        </w:rPr>
        <w:fldChar w:fldCharType="end"/>
      </w:r>
    </w:p>
    <w:p w:rsidR="0093227D" w:rsidRPr="0093227D" w:rsidRDefault="0093227D" w:rsidP="0093227D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 w:cstheme="minorHAnsi"/>
          <w:lang w:eastAsia="zh-CN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bookmarkStart w:id="1" w:name="_GoBack"/>
      <w:bookmarkEnd w:id="1"/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53B" w:rsidRDefault="0003253B" w:rsidP="004F5E36">
      <w:r>
        <w:separator/>
      </w:r>
    </w:p>
  </w:endnote>
  <w:endnote w:type="continuationSeparator" w:id="0">
    <w:p w:rsidR="0003253B" w:rsidRDefault="0003253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53B" w:rsidRDefault="0003253B" w:rsidP="004F5E36">
      <w:r>
        <w:separator/>
      </w:r>
    </w:p>
  </w:footnote>
  <w:footnote w:type="continuationSeparator" w:id="0">
    <w:p w:rsidR="0003253B" w:rsidRDefault="0003253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3253B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128DF"/>
    <w:rsid w:val="003723D4"/>
    <w:rsid w:val="003A7D1C"/>
    <w:rsid w:val="0044508A"/>
    <w:rsid w:val="0046164A"/>
    <w:rsid w:val="00462DCD"/>
    <w:rsid w:val="004D1162"/>
    <w:rsid w:val="004E4DD6"/>
    <w:rsid w:val="004F563B"/>
    <w:rsid w:val="004F5E36"/>
    <w:rsid w:val="005119A5"/>
    <w:rsid w:val="00521C4F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3227D"/>
    <w:rsid w:val="009450CE"/>
    <w:rsid w:val="0095164B"/>
    <w:rsid w:val="00996483"/>
    <w:rsid w:val="009E788A"/>
    <w:rsid w:val="00A1487F"/>
    <w:rsid w:val="00A1763D"/>
    <w:rsid w:val="00A17CEC"/>
    <w:rsid w:val="00A27EF0"/>
    <w:rsid w:val="00A76EFC"/>
    <w:rsid w:val="00A97F29"/>
    <w:rsid w:val="00AB0964"/>
    <w:rsid w:val="00AE377D"/>
    <w:rsid w:val="00B61DBF"/>
    <w:rsid w:val="00BC30C9"/>
    <w:rsid w:val="00BE3E58"/>
    <w:rsid w:val="00C01616"/>
    <w:rsid w:val="00C0162B"/>
    <w:rsid w:val="00C31E51"/>
    <w:rsid w:val="00C345B1"/>
    <w:rsid w:val="00C40142"/>
    <w:rsid w:val="00C57182"/>
    <w:rsid w:val="00C655FD"/>
    <w:rsid w:val="00C92F57"/>
    <w:rsid w:val="00C94434"/>
    <w:rsid w:val="00CA1C95"/>
    <w:rsid w:val="00CA5A9C"/>
    <w:rsid w:val="00CC3F4B"/>
    <w:rsid w:val="00CD5FE2"/>
    <w:rsid w:val="00D02B4C"/>
    <w:rsid w:val="00D84576"/>
    <w:rsid w:val="00DA44D8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ind w:left="2880" w:hanging="36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ipervnculo">
    <w:name w:val="Hyperlink"/>
    <w:basedOn w:val="Fuentedeprrafopredeter"/>
    <w:uiPriority w:val="99"/>
    <w:unhideWhenUsed/>
    <w:locked/>
    <w:rsid w:val="004450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locked/>
    <w:rsid w:val="0093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ema.lozano@um.e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188A-799E-4379-8000-21B380B1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Gema Lozano Terol</cp:lastModifiedBy>
  <cp:revision>4</cp:revision>
  <cp:lastPrinted>2015-05-12T18:31:00Z</cp:lastPrinted>
  <dcterms:created xsi:type="dcterms:W3CDTF">2019-04-30T14:12:00Z</dcterms:created>
  <dcterms:modified xsi:type="dcterms:W3CDTF">2019-04-30T14:39:00Z</dcterms:modified>
  <cp:contentStatus/>
</cp:coreProperties>
</file>