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AEF00" w14:textId="595D8048" w:rsidR="00821536" w:rsidRDefault="00281510" w:rsidP="00821536">
      <w:pPr>
        <w:spacing w:after="0" w:line="240" w:lineRule="auto"/>
        <w:jc w:val="center"/>
      </w:pPr>
      <w:bookmarkStart w:id="0" w:name="_Hlk7442488"/>
      <w:r w:rsidRPr="00494298">
        <w:rPr>
          <w:rStyle w:val="Rimandocommento"/>
          <w:b/>
          <w:sz w:val="28"/>
        </w:rPr>
        <w:t>Thin</w:t>
      </w:r>
      <w:r w:rsidR="00821536">
        <w:rPr>
          <w:rFonts w:cstheme="minorHAnsi"/>
          <w:b/>
          <w:sz w:val="28"/>
          <w:szCs w:val="28"/>
        </w:rPr>
        <w:t xml:space="preserve"> gap bubble column</w:t>
      </w:r>
      <w:r>
        <w:rPr>
          <w:rFonts w:cstheme="minorHAnsi"/>
          <w:b/>
          <w:sz w:val="28"/>
          <w:szCs w:val="28"/>
        </w:rPr>
        <w:t xml:space="preserve"> with a non-Newtonian liquid phase</w:t>
      </w:r>
      <w:r w:rsidR="00821536">
        <w:rPr>
          <w:rFonts w:cstheme="minorHAnsi"/>
          <w:b/>
          <w:sz w:val="28"/>
          <w:szCs w:val="28"/>
        </w:rPr>
        <w:t xml:space="preserve">: study of the hydrodynamics and gas-liquid mass transfer </w:t>
      </w:r>
    </w:p>
    <w:p w14:paraId="7CCF9CF3" w14:textId="77777777" w:rsidR="00821536" w:rsidRDefault="00821536" w:rsidP="00821536">
      <w:pPr>
        <w:spacing w:after="0" w:line="240" w:lineRule="auto"/>
        <w:jc w:val="center"/>
        <w:rPr>
          <w:rFonts w:ascii="Times New Roman" w:hAnsi="Times New Roman"/>
          <w:color w:val="000000" w:themeColor="text1"/>
          <w:sz w:val="20"/>
        </w:rPr>
      </w:pPr>
      <w:r>
        <w:rPr>
          <w:rFonts w:cstheme="minorHAnsi"/>
          <w:b/>
          <w:sz w:val="24"/>
          <w:szCs w:val="24"/>
        </w:rPr>
        <w:t>Sikandar ALMANI</w:t>
      </w:r>
      <w:r>
        <w:rPr>
          <w:rFonts w:cstheme="minorHAnsi"/>
          <w:b/>
          <w:sz w:val="24"/>
          <w:szCs w:val="24"/>
          <w:vertAlign w:val="superscript"/>
        </w:rPr>
        <w:t>1</w:t>
      </w:r>
      <w:r>
        <w:rPr>
          <w:rFonts w:cstheme="minorHAnsi"/>
          <w:sz w:val="24"/>
          <w:szCs w:val="24"/>
        </w:rPr>
        <w:t>, Abdallah HAYDAR</w:t>
      </w:r>
      <w:r>
        <w:rPr>
          <w:rFonts w:cstheme="minorHAnsi"/>
          <w:sz w:val="24"/>
          <w:szCs w:val="24"/>
          <w:vertAlign w:val="superscript"/>
        </w:rPr>
        <w:t>1</w:t>
      </w:r>
      <w:r>
        <w:rPr>
          <w:rFonts w:cstheme="minorHAnsi"/>
          <w:sz w:val="24"/>
          <w:szCs w:val="24"/>
        </w:rPr>
        <w:t>, Walid BLEL</w:t>
      </w:r>
      <w:r>
        <w:rPr>
          <w:rFonts w:cstheme="minorHAnsi"/>
          <w:sz w:val="24"/>
          <w:szCs w:val="24"/>
          <w:vertAlign w:val="superscript"/>
        </w:rPr>
        <w:t>1</w:t>
      </w:r>
      <w:r>
        <w:rPr>
          <w:rFonts w:cstheme="minorHAnsi"/>
          <w:sz w:val="24"/>
          <w:szCs w:val="24"/>
        </w:rPr>
        <w:t>, Emilie GADOIN</w:t>
      </w:r>
      <w:r>
        <w:rPr>
          <w:rFonts w:cstheme="minorHAnsi"/>
          <w:sz w:val="24"/>
          <w:szCs w:val="24"/>
          <w:vertAlign w:val="superscript"/>
        </w:rPr>
        <w:t>1</w:t>
      </w:r>
      <w:r>
        <w:rPr>
          <w:rFonts w:cstheme="minorHAnsi"/>
          <w:sz w:val="24"/>
          <w:szCs w:val="24"/>
        </w:rPr>
        <w:t>, Caroline GENTRIC</w:t>
      </w:r>
      <w:r>
        <w:rPr>
          <w:rFonts w:cstheme="minorHAnsi"/>
          <w:sz w:val="24"/>
          <w:szCs w:val="24"/>
          <w:vertAlign w:val="superscript"/>
        </w:rPr>
        <w:t>1</w:t>
      </w:r>
      <w:r>
        <w:rPr>
          <w:rFonts w:ascii="Times New Roman" w:hAnsi="Times New Roman"/>
          <w:vertAlign w:val="superscript"/>
        </w:rPr>
        <w:t xml:space="preserve">* </w:t>
      </w:r>
    </w:p>
    <w:p w14:paraId="43C52132" w14:textId="77777777" w:rsidR="00821536" w:rsidRDefault="00821536" w:rsidP="00821536">
      <w:pPr>
        <w:spacing w:after="0" w:line="240" w:lineRule="auto"/>
        <w:jc w:val="center"/>
        <w:rPr>
          <w:rFonts w:cstheme="minorHAnsi"/>
          <w:i/>
          <w:color w:val="000000" w:themeColor="text1"/>
          <w:sz w:val="20"/>
          <w:lang w:val="fr-FR"/>
        </w:rPr>
      </w:pPr>
      <w:r>
        <w:rPr>
          <w:rFonts w:cstheme="minorHAnsi"/>
          <w:i/>
          <w:color w:val="000000" w:themeColor="text1"/>
          <w:sz w:val="20"/>
          <w:vertAlign w:val="superscript"/>
          <w:lang w:val="fr-FR"/>
        </w:rPr>
        <w:t>1</w:t>
      </w:r>
      <w:r>
        <w:rPr>
          <w:rFonts w:cstheme="minorHAnsi"/>
          <w:i/>
          <w:color w:val="000000" w:themeColor="text1"/>
          <w:sz w:val="20"/>
          <w:lang w:val="fr-FR"/>
        </w:rPr>
        <w:t>GEPEA, CNRS-UMR 6144, Saint-Nazaire Cedex, France.</w:t>
      </w:r>
    </w:p>
    <w:p w14:paraId="7C974C02" w14:textId="77777777" w:rsidR="00821536" w:rsidRDefault="00821536" w:rsidP="00821536">
      <w:pPr>
        <w:spacing w:after="0" w:line="240" w:lineRule="auto"/>
        <w:jc w:val="center"/>
      </w:pPr>
      <w:r>
        <w:t xml:space="preserve">*Corresponding author: </w:t>
      </w:r>
      <w:hyperlink r:id="rId8">
        <w:r>
          <w:rPr>
            <w:rStyle w:val="LienInternet"/>
            <w:rFonts w:ascii="Times New Roman" w:hAnsi="Times New Roman"/>
            <w:i/>
            <w:sz w:val="20"/>
          </w:rPr>
          <w:t>caroline.gentric@univ-nantes.fr</w:t>
        </w:r>
      </w:hyperlink>
    </w:p>
    <w:p w14:paraId="534BE88E" w14:textId="77777777" w:rsidR="00821536" w:rsidRDefault="00821536" w:rsidP="00821536">
      <w:pPr>
        <w:sectPr w:rsidR="00821536">
          <w:headerReference w:type="default" r:id="rId9"/>
          <w:headerReference w:type="first" r:id="rId10"/>
          <w:pgSz w:w="11906" w:h="16838"/>
          <w:pgMar w:top="1440" w:right="1080" w:bottom="1440" w:left="1080" w:header="994" w:footer="0" w:gutter="0"/>
          <w:cols w:space="720"/>
          <w:formProt w:val="0"/>
          <w:titlePg/>
        </w:sectPr>
      </w:pPr>
    </w:p>
    <w:p w14:paraId="222564EE" w14:textId="77777777" w:rsidR="00821536" w:rsidRDefault="00821536" w:rsidP="00821536">
      <w:pPr>
        <w:pStyle w:val="AbstractHeading"/>
        <w:tabs>
          <w:tab w:val="left" w:pos="3547"/>
          <w:tab w:val="center" w:pos="4694"/>
        </w:tabs>
        <w:spacing w:before="240" w:after="0"/>
        <w:ind w:firstLine="357"/>
        <w:rPr>
          <w:rFonts w:asciiTheme="minorHAnsi" w:hAnsiTheme="minorHAnsi"/>
          <w:b/>
        </w:rPr>
      </w:pPr>
      <w:r>
        <w:rPr>
          <w:rFonts w:asciiTheme="minorHAnsi" w:hAnsiTheme="minorHAnsi"/>
          <w:b/>
        </w:rPr>
        <w:lastRenderedPageBreak/>
        <w:t>Highlights</w:t>
      </w:r>
    </w:p>
    <w:p w14:paraId="0F9DD408" w14:textId="77777777" w:rsidR="00821536" w:rsidRPr="00441B68" w:rsidRDefault="00821536" w:rsidP="00821536">
      <w:pPr>
        <w:pStyle w:val="AbstractBody"/>
        <w:numPr>
          <w:ilvl w:val="0"/>
          <w:numId w:val="1"/>
        </w:numPr>
        <w:rPr>
          <w:rFonts w:asciiTheme="minorHAnsi" w:hAnsiTheme="minorHAnsi" w:cstheme="minorHAnsi"/>
        </w:rPr>
      </w:pPr>
      <w:r w:rsidRPr="002C431C">
        <w:rPr>
          <w:rFonts w:asciiTheme="minorHAnsi" w:hAnsiTheme="minorHAnsi" w:cstheme="minorHAnsi"/>
        </w:rPr>
        <w:t>Mimicking microalgae culture at high concentration using shear thinning liquid phase.</w:t>
      </w:r>
    </w:p>
    <w:p w14:paraId="34DBFB04" w14:textId="77777777" w:rsidR="00821536" w:rsidRPr="00441B68" w:rsidRDefault="00821536" w:rsidP="00821536">
      <w:pPr>
        <w:pStyle w:val="AbstractBody"/>
        <w:numPr>
          <w:ilvl w:val="0"/>
          <w:numId w:val="1"/>
        </w:numPr>
        <w:rPr>
          <w:rFonts w:asciiTheme="minorHAnsi" w:hAnsiTheme="minorHAnsi" w:cstheme="minorHAnsi"/>
        </w:rPr>
      </w:pPr>
      <w:r w:rsidRPr="00441B68">
        <w:rPr>
          <w:rFonts w:asciiTheme="minorHAnsi" w:hAnsiTheme="minorHAnsi" w:cstheme="minorHAnsi"/>
        </w:rPr>
        <w:t>Identification of flow regimes and their transition.</w:t>
      </w:r>
    </w:p>
    <w:p w14:paraId="7639A68F" w14:textId="3B149625" w:rsidR="00821536" w:rsidRPr="00441B68" w:rsidRDefault="00821536" w:rsidP="00821536">
      <w:pPr>
        <w:pStyle w:val="AbstractBody"/>
        <w:numPr>
          <w:ilvl w:val="0"/>
          <w:numId w:val="1"/>
        </w:numPr>
        <w:rPr>
          <w:rFonts w:asciiTheme="minorHAnsi" w:hAnsiTheme="minorHAnsi" w:cstheme="minorHAnsi"/>
        </w:rPr>
      </w:pPr>
      <w:r w:rsidRPr="00441B68">
        <w:rPr>
          <w:rFonts w:asciiTheme="minorHAnsi" w:hAnsiTheme="minorHAnsi" w:cstheme="minorHAnsi"/>
        </w:rPr>
        <w:t>Determination of mixing time and gas liquid mass transfer</w:t>
      </w:r>
      <w:r w:rsidR="009B2F7F" w:rsidRPr="00441B68">
        <w:rPr>
          <w:rFonts w:asciiTheme="minorHAnsi" w:hAnsiTheme="minorHAnsi" w:cstheme="minorHAnsi"/>
        </w:rPr>
        <w:t xml:space="preserve"> coefficient</w:t>
      </w:r>
      <w:r w:rsidRPr="00441B68">
        <w:rPr>
          <w:rFonts w:asciiTheme="minorHAnsi" w:hAnsiTheme="minorHAnsi" w:cstheme="minorHAnsi"/>
        </w:rPr>
        <w:t>.</w:t>
      </w:r>
    </w:p>
    <w:p w14:paraId="1CB7C18D" w14:textId="77777777" w:rsidR="00821536" w:rsidRPr="00441B68" w:rsidRDefault="00821536" w:rsidP="00821536">
      <w:pPr>
        <w:pStyle w:val="AbstractBody"/>
        <w:numPr>
          <w:ilvl w:val="0"/>
          <w:numId w:val="1"/>
        </w:numPr>
        <w:rPr>
          <w:rFonts w:asciiTheme="minorHAnsi" w:hAnsiTheme="minorHAnsi" w:cstheme="minorHAnsi"/>
        </w:rPr>
      </w:pPr>
      <w:r w:rsidRPr="00441B68">
        <w:rPr>
          <w:rFonts w:asciiTheme="minorHAnsi" w:hAnsiTheme="minorHAnsi" w:cstheme="minorHAnsi"/>
        </w:rPr>
        <w:t>Optimization of hydrodynamic conditions for higher biomass productivity.</w:t>
      </w:r>
    </w:p>
    <w:p w14:paraId="5088EC9A" w14:textId="77777777" w:rsidR="00821536" w:rsidRDefault="00821536" w:rsidP="00821536">
      <w:pPr>
        <w:snapToGrid w:val="0"/>
        <w:spacing w:line="240" w:lineRule="auto"/>
        <w:rPr>
          <w:rFonts w:eastAsia="MS PGothic"/>
          <w:b/>
          <w:bCs/>
          <w:color w:val="000000"/>
          <w:lang w:eastAsia="ko-KR"/>
        </w:rPr>
      </w:pPr>
      <w:r>
        <w:rPr>
          <w:rFonts w:eastAsia="MS PGothic"/>
          <w:b/>
          <w:bCs/>
          <w:color w:val="000000"/>
        </w:rPr>
        <w:t>1. Introduction</w:t>
      </w:r>
    </w:p>
    <w:p w14:paraId="1FF17E4F" w14:textId="323C719C" w:rsidR="00821536" w:rsidRPr="00821536" w:rsidRDefault="006841EC" w:rsidP="00494298">
      <w:pPr>
        <w:spacing w:line="240" w:lineRule="auto"/>
        <w:jc w:val="both"/>
      </w:pPr>
      <w:r>
        <w:rPr>
          <w:rFonts w:cstheme="minorHAnsi"/>
        </w:rPr>
        <w:t>B</w:t>
      </w:r>
      <w:r w:rsidR="00281510">
        <w:rPr>
          <w:rFonts w:cstheme="minorHAnsi"/>
        </w:rPr>
        <w:t>ubble column</w:t>
      </w:r>
      <w:r w:rsidR="00821536">
        <w:rPr>
          <w:rFonts w:cstheme="minorHAnsi"/>
        </w:rPr>
        <w:t xml:space="preserve"> technology is particularly adapted to photosynthetic microorganism culture because the injection of air enriched with CO</w:t>
      </w:r>
      <w:r w:rsidR="00821536">
        <w:rPr>
          <w:rFonts w:cstheme="minorHAnsi"/>
          <w:vertAlign w:val="subscript"/>
        </w:rPr>
        <w:t>2</w:t>
      </w:r>
      <w:r w:rsidR="00821536">
        <w:rPr>
          <w:rFonts w:cstheme="minorHAnsi"/>
        </w:rPr>
        <w:t xml:space="preserve"> allows mixing as well as feeding the culture with inorganic carbon. Nevertheless, technological advances are still required to reduce production costs and environmental impacts. In this context, intensification of performances </w:t>
      </w:r>
      <w:r w:rsidR="00821536">
        <w:rPr>
          <w:rFonts w:cstheme="minorHAnsi"/>
          <w:i/>
        </w:rPr>
        <w:t>via</w:t>
      </w:r>
      <w:r w:rsidR="00821536">
        <w:rPr>
          <w:rFonts w:cstheme="minorHAnsi"/>
        </w:rPr>
        <w:t xml:space="preserve"> an increase of culture concentration in photosynthetic microorganisms is a promising way to optimize production systems. However, it has been shown that the increase in cell concentration is accompanied by the increase of the viscosity and the modification of the rheological properties of the microalgae suspension</w:t>
      </w:r>
      <w:r w:rsidR="00281510">
        <w:rPr>
          <w:rFonts w:cstheme="minorHAnsi"/>
        </w:rPr>
        <w:t xml:space="preserve"> </w:t>
      </w:r>
      <w:r w:rsidR="00821536">
        <w:fldChar w:fldCharType="begin" w:fldLock="1"/>
      </w:r>
      <w:r w:rsidR="00027E60">
        <w:instrText>ADDIN CSL_CITATION {"citationItems":[{"id":"ITEM-1","itemData":{"DOI":"10.1007/s00397-013-0700-z","ISSN":"1435-1528","abstract":"A systematic study of the rheological properties of solutions of non-motile microalgae (Chlorella vulgaris CCAP 211-19) in a wide range of volume fractions is presented. As the volume fraction is gradually increased, several rheological regimes are observed. At low volume fractions (but yet beyond the Einstein diluted limit), the suspensions display a Newtonian rheological behaviour and the volume fraction dependence of the viscosity can be well described by the Quemada model (Quemada, Eur Phys J Appl Phys 1:119--127, 1997). For intermediate values of the volume fraction, a shear thinning behaviour is observed and the volume fraction dependence of the viscosity can be described by the Simha model (Simha, J Appl Phys 23:1020--1024, 1952). For the largest values of the volume fraction investigated, an apparent yield stress behaviour is observed. Increasing and decreasing stress ramps within this range of volume fractions indicate a thixotropic behaviour as well. The rheological behaviour observed within the high concentration regime bears similarities with the measurements performed by Heymann and Aksel (Phys Rev E 75:021505, 2007) on polymethyl methacrylate suspensions: irreversible flow behaviour (upon increasing/decreasing stresses) and dependence of the flow curve on the characteristic time of forcing (the averaging time per stress values). All these findings indicate a behaviour of the microalgae suspensions similar to that of suspensions of rigid particles. A deeper insight into the physical mechanisms underlying the shear thinning and the apparent yield stress regime is obtained by an in situ analysis of the microscopic flow of the suspension under shear. The shear thinning regime is associated to the formation of cell aggregates (flocs). Based on the Voronoi analysis of the correlation between the cell distribution and cell sizes, we suggest that the repulsive electrostatic interactions are responsible for this microscale organisation. The apparent yield stress regime originates in the formation of large-scale cell aggregates which behave as rigid plugs leading to a maximally random jammed state.","author":[{"dropping-particle":"","family":"Souliès","given":"Antoine","non-dropping-particle":"","parse-names":false,"suffix":""},{"dropping-particle":"","family":"Pruvost","given":"Jeremy","non-dropping-particle":"","parse-names":false,"suffix":""},{"dropping-particle":"","family":"Legrand","given":"Jack","non-dropping-particle":"","parse-names":false,"suffix":""},{"dropping-particle":"","family":"Castelain","given":"Cathy","non-dropping-particle":"","parse-names":false,"suffix":""},{"dropping-particle":"","family":"Burghelea","given":"Teodor I","non-dropping-particle":"","parse-names":false,"suffix":""}],"container-title":"Rheologica Acta","id":"ITEM-1","issue":"6","issued":{"date-parts":[["2013","6"]]},"page":"589-605","title":"Rheological properties of suspensions of the green microalga Chlorella vulgaris at various volume fractions","type":"article-journal","volume":"52"},"uris":["http://www.mendeley.com/documents/?uuid=13994907-32c1-4d5a-ac8b-52a9eb381858"]}],"mendeley":{"formattedCitation":"[1]","plainTextFormattedCitation":"[1]","previouslyFormattedCitation":"[1]"},"properties":{"noteIndex":0},"schema":"https://github.com/citation-style-language/schema/raw/master/csl-citation.json"}</w:instrText>
      </w:r>
      <w:r w:rsidR="00821536">
        <w:fldChar w:fldCharType="separate"/>
      </w:r>
      <w:r w:rsidR="00821536" w:rsidRPr="00821536">
        <w:rPr>
          <w:rFonts w:cstheme="minorHAnsi"/>
          <w:noProof/>
        </w:rPr>
        <w:t>[1]</w:t>
      </w:r>
      <w:r w:rsidR="00821536">
        <w:fldChar w:fldCharType="end"/>
      </w:r>
      <w:r w:rsidR="00821536">
        <w:rPr>
          <w:rFonts w:cstheme="minorHAnsi"/>
        </w:rPr>
        <w:t xml:space="preserve">. Moreover, to reach high cell concentration, reducing PBR thickness is </w:t>
      </w:r>
      <w:r w:rsidR="00281510">
        <w:rPr>
          <w:rFonts w:cstheme="minorHAnsi"/>
        </w:rPr>
        <w:t xml:space="preserve">required to ensure light </w:t>
      </w:r>
      <w:r w:rsidR="001A1009">
        <w:rPr>
          <w:rFonts w:cstheme="minorHAnsi"/>
        </w:rPr>
        <w:t>availability</w:t>
      </w:r>
      <w:r w:rsidR="00281510">
        <w:rPr>
          <w:rFonts w:cstheme="minorHAnsi"/>
        </w:rPr>
        <w:t xml:space="preserve"> on the whole reactor </w:t>
      </w:r>
      <w:r w:rsidR="00556123">
        <w:rPr>
          <w:rFonts w:cstheme="minorHAnsi"/>
        </w:rPr>
        <w:t>gap</w:t>
      </w:r>
      <w:r w:rsidR="00821536">
        <w:rPr>
          <w:rFonts w:cstheme="minorHAnsi"/>
        </w:rPr>
        <w:t xml:space="preserve">. Confinement and rheological characteristics impact the bubbling effect on hydrodynamics and gas-liquid mass transfer [2]. The objective of this work is to characterize hydrodynamics as well as gas-liquid mass transfer for non-Newtonian liquid phase in a 2D bubble column having gap of 4 mm </w:t>
      </w:r>
      <w:r w:rsidR="00821536">
        <w:fldChar w:fldCharType="begin" w:fldLock="1"/>
      </w:r>
      <w:r w:rsidR="00027E60">
        <w:instrText>ADDIN CSL_CITATION {"citationItems":[{"id":"ITEM-1","itemData":{"DOI":"10.1016/j.cep.2017.10.009","ISSN":"02552701","abstract":"Global characterization of hydrodynamics and gas-liquid transfer in a 2D column with a 4 mm thickness is carried out with water and aqueous glycerol solutions. This new design can be used as a photobioreactor of low thickness to intensify the volumetric productivity by increasing microalgae concentration. To mimic the presence of algae cultures, the liquid viscosity is adjusted with glycerol. Focuses are made on flow regimes and their transitions, mixing, and gas-liquid transfer at the scale of the reactor. In comparison with conventional bubble columns lower terminal velocities are obtained. So, in homogeneous regime, the residence time of bubbles is greater than in conventional bubble columns and the gas holdup is slightly higher. However, regime transitions appear at relatively low superficial gas velocities in the confined bubble column. In addition, two transition regimes are visible and have macroscopic flow structures very similar to the ones observed for conventional columns. For the mixing time, a dependence on the viscosity is observed and whatever the solution tested, this parameter decreases very quickly with the increase of the gas superficial velocity. Finally, global gas-liquid mass transfer coefficients measurements show lower values than in classical bubble columns at the same superficial gas velocity.","author":[{"dropping-particle":"","family":"Thobie","given":"Charlène","non-dropping-particle":"","parse-names":false,"suffix":""},{"dropping-particle":"","family":"Gadoin","given":"Emilie","non-dropping-particle":"","parse-names":false,"suffix":""},{"dropping-particle":"","family":"Blel","given":"Walid","non-dropping-particle":"","parse-names":false,"suffix":""},{"dropping-particle":"","family":"Pruvost","given":"Jérémy","non-dropping-particle":"","parse-names":false,"suffix":""},{"dropping-particle":"","family":"Gentric","given":"Caroline","non-dropping-particle":"","parse-names":false,"suffix":""}],"container-title":"Chemical Engineering and Processing: Process Intensification","id":"ITEM-1","issued":{"date-parts":[["2017"]]},"page":"76-89","publisher":"Elsevier B.V.","title":"Global characterization of hydrodynamics and gas-liquid mass transfer in a thin-gap bubble column intended for microalgae cultivation","type":"article-journal","volume":"122"},"uris":["http://www.mendeley.com/documents/?uuid=b76c4bcc-134c-4b83-8372-89fd41a3d9f1"]}],"mendeley":{"formattedCitation":"[2]","plainTextFormattedCitation":"[2]","previouslyFormattedCitation":"[2]"},"properties":{"noteIndex":0},"schema":"https://github.com/citation-style-language/schema/raw/master/csl-citation.json"}</w:instrText>
      </w:r>
      <w:r w:rsidR="00821536">
        <w:fldChar w:fldCharType="separate"/>
      </w:r>
      <w:r w:rsidR="00821536" w:rsidRPr="00821536">
        <w:rPr>
          <w:rFonts w:cstheme="minorHAnsi"/>
          <w:noProof/>
        </w:rPr>
        <w:t>[2]</w:t>
      </w:r>
      <w:r w:rsidR="00821536">
        <w:fldChar w:fldCharType="end"/>
      </w:r>
      <w:r w:rsidR="00821536">
        <w:rPr>
          <w:rFonts w:cstheme="minorHAnsi"/>
        </w:rPr>
        <w:t>, for different gas injection conditions (</w:t>
      </w:r>
      <w:proofErr w:type="spellStart"/>
      <w:r w:rsidR="00821536">
        <w:rPr>
          <w:rFonts w:cstheme="minorHAnsi"/>
        </w:rPr>
        <w:t>sparger</w:t>
      </w:r>
      <w:proofErr w:type="spellEnd"/>
      <w:r w:rsidR="00821536">
        <w:rPr>
          <w:rFonts w:cstheme="minorHAnsi"/>
        </w:rPr>
        <w:t xml:space="preserve"> size and gas flow rate).</w:t>
      </w:r>
      <w:r w:rsidR="009B2F7F">
        <w:rPr>
          <w:rFonts w:cstheme="minorHAnsi"/>
        </w:rPr>
        <w:t xml:space="preserve"> </w:t>
      </w:r>
      <w:r w:rsidR="00821536">
        <w:rPr>
          <w:rFonts w:cstheme="minorHAnsi"/>
        </w:rPr>
        <w:t xml:space="preserve">For this purpose, non-Newtonian shear thinning solutions are used to mimic the high concentration of </w:t>
      </w:r>
      <w:r w:rsidR="00821536">
        <w:rPr>
          <w:rFonts w:cstheme="minorHAnsi"/>
          <w:i/>
        </w:rPr>
        <w:t>Chlorella vulgaris</w:t>
      </w:r>
      <w:r w:rsidR="00821536">
        <w:rPr>
          <w:rFonts w:cstheme="minorHAnsi"/>
        </w:rPr>
        <w:t xml:space="preserve"> cultures at 30-40 g/L. Solutions of Xanthan gum (XG) and Carboxymethyl cellulose (CMC) are used respectively at the concentrations of 1 g/L and 2 g/L. The rheological characterization is performed using the PAAR </w:t>
      </w:r>
      <w:proofErr w:type="spellStart"/>
      <w:r w:rsidR="00821536">
        <w:rPr>
          <w:rFonts w:cstheme="minorHAnsi"/>
        </w:rPr>
        <w:t>Physica</w:t>
      </w:r>
      <w:proofErr w:type="spellEnd"/>
      <w:r w:rsidR="00821536">
        <w:rPr>
          <w:rFonts w:cstheme="minorHAnsi"/>
        </w:rPr>
        <w:t xml:space="preserve">® MCR500 </w:t>
      </w:r>
      <w:proofErr w:type="spellStart"/>
      <w:r w:rsidR="00821536">
        <w:rPr>
          <w:rFonts w:cstheme="minorHAnsi"/>
        </w:rPr>
        <w:t>rheometer</w:t>
      </w:r>
      <w:proofErr w:type="spellEnd"/>
      <w:r w:rsidR="00821536">
        <w:rPr>
          <w:rFonts w:cstheme="minorHAnsi"/>
        </w:rPr>
        <w:t xml:space="preserve"> and the power law equation is used for modelling the rheological </w:t>
      </w:r>
      <w:proofErr w:type="spellStart"/>
      <w:r w:rsidR="00821536">
        <w:rPr>
          <w:rFonts w:cstheme="minorHAnsi"/>
        </w:rPr>
        <w:t>behaviour</w:t>
      </w:r>
      <w:proofErr w:type="spellEnd"/>
      <w:r w:rsidR="00821536">
        <w:rPr>
          <w:rFonts w:cstheme="minorHAnsi"/>
        </w:rPr>
        <w:t xml:space="preserve">. </w:t>
      </w:r>
      <w:r w:rsidR="00556123">
        <w:rPr>
          <w:rFonts w:cstheme="minorHAnsi"/>
        </w:rPr>
        <w:t xml:space="preserve"> Gas sparging is achieved</w:t>
      </w:r>
      <w:r w:rsidR="00821536">
        <w:rPr>
          <w:rFonts w:cstheme="minorHAnsi"/>
        </w:rPr>
        <w:t xml:space="preserve"> using </w:t>
      </w:r>
      <w:r w:rsidR="005C52E9">
        <w:rPr>
          <w:rFonts w:cstheme="minorHAnsi"/>
        </w:rPr>
        <w:t xml:space="preserve">15 </w:t>
      </w:r>
      <w:proofErr w:type="gramStart"/>
      <w:r w:rsidR="00821536">
        <w:rPr>
          <w:rFonts w:cstheme="minorHAnsi"/>
        </w:rPr>
        <w:t xml:space="preserve">capillaries </w:t>
      </w:r>
      <w:r w:rsidR="00556123">
        <w:rPr>
          <w:rFonts w:cstheme="minorHAnsi"/>
        </w:rPr>
        <w:t>which</w:t>
      </w:r>
      <w:proofErr w:type="gramEnd"/>
      <w:r w:rsidR="00556123">
        <w:rPr>
          <w:rFonts w:cstheme="minorHAnsi"/>
        </w:rPr>
        <w:t xml:space="preserve"> can have 5 different </w:t>
      </w:r>
      <w:r w:rsidR="00821536">
        <w:rPr>
          <w:rFonts w:cstheme="minorHAnsi"/>
        </w:rPr>
        <w:t xml:space="preserve">diameters (0.1016, 0.254, 0.508, 0.762 and 1.016 mm) in order to </w:t>
      </w:r>
      <w:r w:rsidR="00F563CC">
        <w:rPr>
          <w:rFonts w:cstheme="minorHAnsi"/>
        </w:rPr>
        <w:t>vary the size of the injected bubbles. A</w:t>
      </w:r>
      <w:r w:rsidR="00821536">
        <w:rPr>
          <w:rFonts w:cstheme="minorHAnsi"/>
        </w:rPr>
        <w:t xml:space="preserve"> wide range of superficial gas </w:t>
      </w:r>
      <w:r w:rsidR="00F563CC">
        <w:rPr>
          <w:rFonts w:cstheme="minorHAnsi"/>
        </w:rPr>
        <w:t>velocities is also explored</w:t>
      </w:r>
      <w:r w:rsidR="00821536">
        <w:rPr>
          <w:rFonts w:cstheme="minorHAnsi"/>
        </w:rPr>
        <w:t xml:space="preserve"> to investigate the effect of sparging on the global hydrodynamics of a non-Newtonian liquid phase in this thin gap bubble column.</w:t>
      </w:r>
    </w:p>
    <w:p w14:paraId="0E8771BF" w14:textId="77777777" w:rsidR="00821536" w:rsidRDefault="00821536" w:rsidP="00821536">
      <w:pPr>
        <w:snapToGrid w:val="0"/>
        <w:spacing w:line="240" w:lineRule="auto"/>
        <w:rPr>
          <w:rFonts w:eastAsia="MS PGothic"/>
          <w:color w:val="000000"/>
        </w:rPr>
      </w:pPr>
      <w:r>
        <w:rPr>
          <w:rFonts w:eastAsia="MS PGothic"/>
          <w:b/>
          <w:bCs/>
          <w:color w:val="000000"/>
        </w:rPr>
        <w:t>2. Methods</w:t>
      </w:r>
    </w:p>
    <w:p w14:paraId="52100839" w14:textId="53DF3B5F" w:rsidR="00821536" w:rsidRDefault="00821536" w:rsidP="00821536">
      <w:pPr>
        <w:snapToGrid w:val="0"/>
        <w:spacing w:line="240" w:lineRule="auto"/>
        <w:jc w:val="both"/>
      </w:pPr>
      <w:r>
        <w:rPr>
          <w:rFonts w:eastAsia="MS PGothic"/>
          <w:color w:val="000000"/>
        </w:rPr>
        <w:t xml:space="preserve">Experimentally, the </w:t>
      </w:r>
      <w:r w:rsidRPr="005D155F">
        <w:rPr>
          <w:rFonts w:cstheme="minorHAnsi"/>
        </w:rPr>
        <w:t xml:space="preserve">gas phase is characterized locally through </w:t>
      </w:r>
      <w:r>
        <w:rPr>
          <w:rFonts w:cstheme="minorHAnsi"/>
        </w:rPr>
        <w:t xml:space="preserve">the </w:t>
      </w:r>
      <w:proofErr w:type="spellStart"/>
      <w:r w:rsidRPr="005D155F">
        <w:rPr>
          <w:rFonts w:cstheme="minorHAnsi"/>
        </w:rPr>
        <w:t>shadowgraphy</w:t>
      </w:r>
      <w:proofErr w:type="spellEnd"/>
      <w:r w:rsidRPr="00ED2D7C">
        <w:rPr>
          <w:rFonts w:cstheme="minorHAnsi"/>
        </w:rPr>
        <w:t xml:space="preserve"> </w:t>
      </w:r>
      <w:r w:rsidRPr="005D155F">
        <w:rPr>
          <w:rFonts w:cstheme="minorHAnsi"/>
        </w:rPr>
        <w:t xml:space="preserve">method using DANTEC DYNAMICS Shadow Strobe, which allows to obtain </w:t>
      </w:r>
      <w:r>
        <w:rPr>
          <w:rFonts w:cstheme="minorHAnsi"/>
        </w:rPr>
        <w:t>the</w:t>
      </w:r>
      <w:r w:rsidRPr="005D155F">
        <w:rPr>
          <w:rFonts w:cstheme="minorHAnsi"/>
        </w:rPr>
        <w:t xml:space="preserve"> size, </w:t>
      </w:r>
      <w:r>
        <w:rPr>
          <w:rFonts w:cstheme="minorHAnsi"/>
        </w:rPr>
        <w:t xml:space="preserve">the </w:t>
      </w:r>
      <w:r w:rsidRPr="005D155F">
        <w:rPr>
          <w:rFonts w:cstheme="minorHAnsi"/>
        </w:rPr>
        <w:t xml:space="preserve">shape and </w:t>
      </w:r>
      <w:r>
        <w:rPr>
          <w:rFonts w:cstheme="minorHAnsi"/>
        </w:rPr>
        <w:t xml:space="preserve">the </w:t>
      </w:r>
      <w:r w:rsidRPr="005D155F">
        <w:rPr>
          <w:rFonts w:cstheme="minorHAnsi"/>
        </w:rPr>
        <w:t>velocity</w:t>
      </w:r>
      <w:r>
        <w:rPr>
          <w:rFonts w:cstheme="minorHAnsi"/>
        </w:rPr>
        <w:t xml:space="preserve"> of bubbles</w:t>
      </w:r>
      <w:r w:rsidRPr="005D155F">
        <w:rPr>
          <w:rFonts w:cstheme="minorHAnsi"/>
        </w:rPr>
        <w:t xml:space="preserve">. The hydrodynamics of the continuous phase is characterized by </w:t>
      </w:r>
      <w:r>
        <w:rPr>
          <w:rFonts w:cstheme="minorHAnsi"/>
        </w:rPr>
        <w:t>Particle image velocimetry (</w:t>
      </w:r>
      <w:r w:rsidRPr="005D155F">
        <w:rPr>
          <w:rFonts w:cstheme="minorHAnsi"/>
        </w:rPr>
        <w:t>PIV</w:t>
      </w:r>
      <w:r>
        <w:rPr>
          <w:rFonts w:cstheme="minorHAnsi"/>
        </w:rPr>
        <w:t>)</w:t>
      </w:r>
      <w:r w:rsidRPr="005D155F">
        <w:rPr>
          <w:rFonts w:cstheme="minorHAnsi"/>
        </w:rPr>
        <w:t xml:space="preserve"> technique</w:t>
      </w:r>
      <w:r>
        <w:rPr>
          <w:rFonts w:cstheme="minorHAnsi"/>
        </w:rPr>
        <w:t>.</w:t>
      </w:r>
      <w:r w:rsidR="006C2FE9">
        <w:rPr>
          <w:rFonts w:cstheme="minorHAnsi"/>
        </w:rPr>
        <w:t xml:space="preserve"> </w:t>
      </w:r>
      <w:r>
        <w:rPr>
          <w:rFonts w:cstheme="minorHAnsi"/>
        </w:rPr>
        <w:t xml:space="preserve">Secondly, flow regimes and their transitions are investigated by studying gas holdup determined by liquid height or by hydrostatic pressure measurements. Identification of regime transition is obtained from gas holdup using three different methods based on </w:t>
      </w:r>
      <w:r w:rsidR="006C2FE9">
        <w:rPr>
          <w:rFonts w:cstheme="minorHAnsi"/>
        </w:rPr>
        <w:t xml:space="preserve">gas retention as a function of </w:t>
      </w:r>
      <w:r>
        <w:rPr>
          <w:rFonts w:cstheme="minorHAnsi"/>
        </w:rPr>
        <w:t>superficial gas velocity</w:t>
      </w:r>
      <w:r w:rsidR="006C2FE9">
        <w:rPr>
          <w:rFonts w:cstheme="minorHAnsi"/>
        </w:rPr>
        <w:t xml:space="preserve"> or </w:t>
      </w:r>
      <w:r>
        <w:rPr>
          <w:rFonts w:cstheme="minorHAnsi"/>
        </w:rPr>
        <w:t>swarm velocity</w:t>
      </w:r>
      <w:r w:rsidR="006C2FE9">
        <w:rPr>
          <w:rFonts w:cstheme="minorHAnsi"/>
        </w:rPr>
        <w:t xml:space="preserve"> method</w:t>
      </w:r>
      <w:r>
        <w:rPr>
          <w:rFonts w:cstheme="minorHAnsi"/>
        </w:rPr>
        <w:t xml:space="preserve"> or drift method. The mixing time characterization is carried out using </w:t>
      </w:r>
      <w:r w:rsidR="006C2FE9">
        <w:rPr>
          <w:rFonts w:cstheme="minorHAnsi"/>
        </w:rPr>
        <w:t>a tracer method</w:t>
      </w:r>
      <w:r>
        <w:rPr>
          <w:rFonts w:cstheme="minorHAnsi"/>
        </w:rPr>
        <w:t xml:space="preserve"> which consists in the injection of 2</w:t>
      </w:r>
      <w:r w:rsidR="006C2FE9">
        <w:rPr>
          <w:rFonts w:cstheme="minorHAnsi"/>
        </w:rPr>
        <w:t xml:space="preserve"> </w:t>
      </w:r>
      <w:r>
        <w:rPr>
          <w:rFonts w:cstheme="minorHAnsi"/>
        </w:rPr>
        <w:t xml:space="preserve">mL of NaCl Solution at 200 g/L and follow-up the conductivity of the </w:t>
      </w:r>
      <w:r w:rsidR="009B2F7F">
        <w:rPr>
          <w:rFonts w:cstheme="minorHAnsi"/>
        </w:rPr>
        <w:t xml:space="preserve">liquid </w:t>
      </w:r>
      <w:r>
        <w:rPr>
          <w:rFonts w:cstheme="minorHAnsi"/>
        </w:rPr>
        <w:t xml:space="preserve">over time until stabilization. Finally, to determine the volumetric mass transfer coefficient, </w:t>
      </w:r>
      <w:proofErr w:type="spellStart"/>
      <w:r>
        <w:rPr>
          <w:rFonts w:cstheme="minorHAnsi"/>
        </w:rPr>
        <w:t>kLa</w:t>
      </w:r>
      <w:proofErr w:type="spellEnd"/>
      <w:r>
        <w:rPr>
          <w:rFonts w:cstheme="minorHAnsi"/>
        </w:rPr>
        <w:t xml:space="preserve">, the classical dynamic gassing-out gassing-in method is employed [2]. The obtained results are compared to those presented in the literature for non-Newtonian solutions </w:t>
      </w:r>
      <w:r w:rsidR="005018C8">
        <w:rPr>
          <w:rFonts w:cstheme="minorHAnsi"/>
        </w:rPr>
        <w:t>in unconfined</w:t>
      </w:r>
      <w:r>
        <w:rPr>
          <w:rFonts w:cstheme="minorHAnsi"/>
        </w:rPr>
        <w:t xml:space="preserve"> bubble column</w:t>
      </w:r>
      <w:r w:rsidR="005018C8">
        <w:rPr>
          <w:rFonts w:cstheme="minorHAnsi"/>
        </w:rPr>
        <w:t>s</w:t>
      </w:r>
      <w:r>
        <w:rPr>
          <w:rFonts w:cstheme="minorHAnsi"/>
        </w:rPr>
        <w:t xml:space="preserve"> in order to emphasize the confinement effect on </w:t>
      </w:r>
      <w:r w:rsidR="005018C8">
        <w:rPr>
          <w:rFonts w:cstheme="minorHAnsi"/>
        </w:rPr>
        <w:t xml:space="preserve">hydrodynamics and </w:t>
      </w:r>
      <w:r>
        <w:rPr>
          <w:rFonts w:cstheme="minorHAnsi"/>
        </w:rPr>
        <w:t>gas-liquid mass transfer</w:t>
      </w:r>
      <w:r>
        <w:rPr>
          <w:rFonts w:cstheme="minorHAnsi"/>
        </w:rPr>
        <w:fldChar w:fldCharType="begin" w:fldLock="1"/>
      </w:r>
      <w:r w:rsidR="00027E60">
        <w:rPr>
          <w:rFonts w:cstheme="minorHAnsi"/>
        </w:rPr>
        <w:instrText>ADDIN CSL_CITATION {"citationItems":[{"id":"ITEM-1","itemData":{"DOI":"10.1016/j.ces.2015.01.071","ISSN":"0009-2509","author":[{"dropping-particle":"","family":"Esmaeili","given":"Amin","non-dropping-particle":"","parse-names":false,"suffix":""},{"dropping-particle":"","family":"Guy","given":"Christophe","non-dropping-particle":"","parse-names":false,"suffix":""},{"dropping-particle":"","family":"Chaouki","given":"Jamal","non-dropping-particle":"","parse-names":false,"suffix":""}],"container-title":"Chemical Engineering Science","id":"ITEM-1","issued":{"date-parts":[["2015"]]},"page":"193-207","publisher":"Elsevier","title":"The effects of liquid phase rheology on the hydrodynamics of a gas – liquid bubble column reactor","type":"article-journal","volume":"129"},"uris":["http://www.mendeley.com/documents/?uuid=2fb79d0b-9d80-4bb0-8ec2-19af3873d2b8"]}],"mendeley":{"formattedCitation":"[3]","plainTextFormattedCitation":"[3]","previouslyFormattedCitation":"[3]"},"properties":{"noteIndex":0},"schema":"https://github.com/citation-style-language/schema/raw/master/csl-citation.json"}</w:instrText>
      </w:r>
      <w:r>
        <w:rPr>
          <w:rFonts w:cstheme="minorHAnsi"/>
        </w:rPr>
        <w:fldChar w:fldCharType="separate"/>
      </w:r>
      <w:r w:rsidRPr="00821536">
        <w:rPr>
          <w:rFonts w:cstheme="minorHAnsi"/>
          <w:noProof/>
        </w:rPr>
        <w:t>[3]</w:t>
      </w:r>
      <w:r>
        <w:rPr>
          <w:rFonts w:cstheme="minorHAnsi"/>
        </w:rPr>
        <w:fldChar w:fldCharType="end"/>
      </w:r>
      <w:r>
        <w:rPr>
          <w:rFonts w:cstheme="minorHAnsi"/>
        </w:rPr>
        <w:t xml:space="preserve">. </w:t>
      </w:r>
    </w:p>
    <w:p w14:paraId="3C53BAA4" w14:textId="51139D3B" w:rsidR="00821536" w:rsidRPr="00821536" w:rsidRDefault="00821536" w:rsidP="00A056A9">
      <w:pPr>
        <w:snapToGrid w:val="0"/>
        <w:spacing w:after="0" w:line="240" w:lineRule="auto"/>
        <w:jc w:val="both"/>
        <w:rPr>
          <w:rFonts w:eastAsia="MS PGothic"/>
          <w:b/>
          <w:bCs/>
          <w:color w:val="000000"/>
        </w:rPr>
      </w:pPr>
      <w:r>
        <w:rPr>
          <w:rFonts w:eastAsia="MS PGothic"/>
          <w:b/>
          <w:bCs/>
          <w:color w:val="000000"/>
        </w:rPr>
        <w:lastRenderedPageBreak/>
        <w:t>3. Results and discussion</w:t>
      </w:r>
      <w:r>
        <w:rPr>
          <w:rFonts w:eastAsia="MS PGothic"/>
          <w:b/>
          <w:bCs/>
          <w:color w:val="000000"/>
        </w:rPr>
        <w:tab/>
      </w:r>
      <w:r>
        <w:rPr>
          <w:rFonts w:eastAsia="MS PGothic"/>
          <w:b/>
          <w:bCs/>
          <w:color w:val="000000"/>
        </w:rPr>
        <w:tab/>
      </w:r>
      <w:r>
        <w:rPr>
          <w:rFonts w:eastAsia="MS PGothic"/>
          <w:b/>
          <w:bCs/>
          <w:color w:val="000000"/>
        </w:rPr>
        <w:tab/>
      </w:r>
      <w:r>
        <w:rPr>
          <w:rFonts w:eastAsia="MS PGothic"/>
          <w:b/>
          <w:bCs/>
          <w:color w:val="000000"/>
        </w:rPr>
        <w:tab/>
      </w:r>
      <w:r>
        <w:rPr>
          <w:rFonts w:eastAsia="MS PGothic"/>
          <w:b/>
          <w:bCs/>
          <w:color w:val="000000"/>
        </w:rPr>
        <w:tab/>
      </w:r>
      <w:r>
        <w:rPr>
          <w:rFonts w:eastAsia="MS PGothic"/>
          <w:b/>
          <w:bCs/>
          <w:color w:val="000000"/>
        </w:rPr>
        <w:tab/>
      </w:r>
      <w:r>
        <w:rPr>
          <w:rFonts w:eastAsia="MS PGothic"/>
          <w:b/>
          <w:bCs/>
          <w:color w:val="000000"/>
        </w:rPr>
        <w:tab/>
      </w:r>
      <w:r>
        <w:rPr>
          <w:rFonts w:eastAsia="MS PGothic"/>
          <w:b/>
          <w:bCs/>
          <w:color w:val="000000"/>
        </w:rPr>
        <w:tab/>
      </w:r>
      <w:r>
        <w:rPr>
          <w:rFonts w:eastAsia="MS PGothic"/>
          <w:b/>
          <w:bCs/>
          <w:color w:val="000000"/>
        </w:rPr>
        <w:tab/>
        <w:t xml:space="preserve">           </w:t>
      </w:r>
      <w:r>
        <w:rPr>
          <w:rStyle w:val="fontstyle01"/>
        </w:rPr>
        <w:t xml:space="preserve">Figures 1 and 2 present respectively gas holdup and mixing time </w:t>
      </w:r>
      <w:r>
        <w:rPr>
          <w:rStyle w:val="fontstyle01"/>
          <w:i/>
        </w:rPr>
        <w:t>vs</w:t>
      </w:r>
      <w:r>
        <w:rPr>
          <w:rStyle w:val="fontstyle01"/>
        </w:rPr>
        <w:t xml:space="preserve"> the superficial gas velocity for an injection </w:t>
      </w:r>
      <w:r w:rsidR="005C52E9">
        <w:rPr>
          <w:rStyle w:val="fontstyle01"/>
        </w:rPr>
        <w:t>with</w:t>
      </w:r>
      <w:r>
        <w:rPr>
          <w:rStyle w:val="fontstyle01"/>
        </w:rPr>
        <w:t xml:space="preserve"> capillaries </w:t>
      </w:r>
      <w:r w:rsidR="005C52E9">
        <w:rPr>
          <w:rStyle w:val="fontstyle01"/>
        </w:rPr>
        <w:t xml:space="preserve">of </w:t>
      </w:r>
      <w:r>
        <w:rPr>
          <w:rStyle w:val="fontstyle01"/>
        </w:rPr>
        <w:t>0.508 mm</w:t>
      </w:r>
      <w:r w:rsidR="005C52E9">
        <w:rPr>
          <w:rStyle w:val="fontstyle01"/>
        </w:rPr>
        <w:t xml:space="preserve"> </w:t>
      </w:r>
      <w:r w:rsidR="00A056A9">
        <w:rPr>
          <w:rStyle w:val="fontstyle01"/>
        </w:rPr>
        <w:t xml:space="preserve">of </w:t>
      </w:r>
      <w:r w:rsidR="005C52E9">
        <w:rPr>
          <w:rStyle w:val="fontstyle01"/>
        </w:rPr>
        <w:t>diameter</w:t>
      </w:r>
      <w:r>
        <w:rPr>
          <w:rStyle w:val="fontstyle01"/>
        </w:rPr>
        <w:t>.</w:t>
      </w:r>
      <w:r w:rsidR="00027E60" w:rsidRPr="00027E60">
        <w:rPr>
          <w:rStyle w:val="fontstyle01"/>
        </w:rPr>
        <w:t xml:space="preserve"> </w:t>
      </w:r>
      <w:r w:rsidR="00027E60">
        <w:rPr>
          <w:rStyle w:val="fontstyle01"/>
        </w:rPr>
        <w:t xml:space="preserve">Whatever the nature of the fluid, three flow regimes are observed: homogeneous, transition and heterogeneous regimes. </w:t>
      </w:r>
      <w:r>
        <w:rPr>
          <w:rStyle w:val="fontstyle01"/>
        </w:rPr>
        <w:t xml:space="preserve"> </w:t>
      </w:r>
      <w:r w:rsidR="00047FE7">
        <w:rPr>
          <w:rStyle w:val="fontstyle01"/>
        </w:rPr>
        <w:t>For the three tested liquids, t</w:t>
      </w:r>
      <w:r w:rsidR="00047FE7" w:rsidRPr="00494298">
        <w:rPr>
          <w:rStyle w:val="fontstyle01"/>
        </w:rPr>
        <w:t>he overall gas holdup increased with</w:t>
      </w:r>
      <w:r w:rsidR="00047FE7">
        <w:rPr>
          <w:rStyle w:val="fontstyle01"/>
        </w:rPr>
        <w:t xml:space="preserve"> </w:t>
      </w:r>
      <w:r w:rsidR="00047FE7" w:rsidRPr="00494298">
        <w:rPr>
          <w:rStyle w:val="fontstyle01"/>
        </w:rPr>
        <w:t xml:space="preserve">the increase of </w:t>
      </w:r>
      <w:r w:rsidR="00342ED4">
        <w:rPr>
          <w:rStyle w:val="fontstyle01"/>
        </w:rPr>
        <w:t xml:space="preserve">the </w:t>
      </w:r>
      <w:r w:rsidR="00047FE7" w:rsidRPr="00494298">
        <w:rPr>
          <w:rStyle w:val="fontstyle01"/>
        </w:rPr>
        <w:t>superficial gas velocity</w:t>
      </w:r>
      <w:r w:rsidR="00342ED4">
        <w:rPr>
          <w:rStyle w:val="fontstyle01"/>
        </w:rPr>
        <w:t>.</w:t>
      </w:r>
      <w:r w:rsidR="00047FE7" w:rsidRPr="00494298">
        <w:rPr>
          <w:rStyle w:val="fontstyle01"/>
        </w:rPr>
        <w:t xml:space="preserve"> Besides, at</w:t>
      </w:r>
      <w:r w:rsidR="00047FE7">
        <w:rPr>
          <w:rStyle w:val="fontstyle01"/>
        </w:rPr>
        <w:t xml:space="preserve"> </w:t>
      </w:r>
      <w:r w:rsidR="00047FE7" w:rsidRPr="00494298">
        <w:rPr>
          <w:rStyle w:val="fontstyle01"/>
        </w:rPr>
        <w:t xml:space="preserve">the same superficial gas velocity, the overall gas holdup in </w:t>
      </w:r>
      <w:r w:rsidR="00047FE7">
        <w:rPr>
          <w:rStyle w:val="fontstyle01"/>
        </w:rPr>
        <w:t>non-Newtonian liquids</w:t>
      </w:r>
      <w:r w:rsidR="00047FE7" w:rsidRPr="00494298">
        <w:rPr>
          <w:rStyle w:val="fontstyle01"/>
        </w:rPr>
        <w:t xml:space="preserve"> was larger than those in </w:t>
      </w:r>
      <w:r w:rsidR="00342ED4">
        <w:rPr>
          <w:rStyle w:val="fontstyle01"/>
        </w:rPr>
        <w:t xml:space="preserve">the water </w:t>
      </w:r>
      <w:r>
        <w:rPr>
          <w:rStyle w:val="fontstyle01"/>
        </w:rPr>
        <w:t>[Fig 1]</w:t>
      </w:r>
      <w:r w:rsidR="00342ED4">
        <w:rPr>
          <w:rStyle w:val="fontstyle01"/>
        </w:rPr>
        <w:t>.</w:t>
      </w:r>
      <w:r w:rsidR="00027E60">
        <w:rPr>
          <w:rStyle w:val="fontstyle01"/>
        </w:rPr>
        <w:t xml:space="preserve"> </w:t>
      </w:r>
      <w:r w:rsidR="00342ED4">
        <w:rPr>
          <w:rStyle w:val="fontstyle01"/>
        </w:rPr>
        <w:t>T</w:t>
      </w:r>
      <w:r w:rsidR="00027E60">
        <w:rPr>
          <w:rStyle w:val="fontstyle01"/>
        </w:rPr>
        <w:t xml:space="preserve">his </w:t>
      </w:r>
      <w:r w:rsidR="00342ED4">
        <w:rPr>
          <w:rStyle w:val="fontstyle01"/>
        </w:rPr>
        <w:t>result</w:t>
      </w:r>
      <w:r w:rsidR="00027E60">
        <w:rPr>
          <w:rStyle w:val="fontstyle01"/>
        </w:rPr>
        <w:t xml:space="preserve"> </w:t>
      </w:r>
      <w:r w:rsidR="00C26242">
        <w:rPr>
          <w:rStyle w:val="fontstyle01"/>
        </w:rPr>
        <w:t>disagrees</w:t>
      </w:r>
      <w:r w:rsidR="00027E60">
        <w:rPr>
          <w:rStyle w:val="fontstyle01"/>
        </w:rPr>
        <w:t xml:space="preserve"> to </w:t>
      </w:r>
      <w:r w:rsidR="00342ED4">
        <w:rPr>
          <w:rStyle w:val="fontstyle01"/>
        </w:rPr>
        <w:t xml:space="preserve">one </w:t>
      </w:r>
      <w:r w:rsidR="00027E60">
        <w:rPr>
          <w:rStyle w:val="fontstyle01"/>
        </w:rPr>
        <w:t xml:space="preserve">available </w:t>
      </w:r>
      <w:r w:rsidR="00342ED4">
        <w:rPr>
          <w:rStyle w:val="fontstyle01"/>
        </w:rPr>
        <w:t xml:space="preserve">in the </w:t>
      </w:r>
      <w:r w:rsidR="00027E60">
        <w:rPr>
          <w:rStyle w:val="fontstyle01"/>
        </w:rPr>
        <w:t>literature</w:t>
      </w:r>
      <w:r w:rsidR="00342ED4">
        <w:rPr>
          <w:rStyle w:val="fontstyle01"/>
        </w:rPr>
        <w:t xml:space="preserve"> </w:t>
      </w:r>
      <w:r w:rsidR="00027E60">
        <w:rPr>
          <w:rStyle w:val="fontstyle01"/>
        </w:rPr>
        <w:t>(</w:t>
      </w:r>
      <w:r w:rsidR="00027E60">
        <w:rPr>
          <w:rStyle w:val="fontstyle01"/>
        </w:rPr>
        <w:fldChar w:fldCharType="begin" w:fldLock="1"/>
      </w:r>
      <w:r w:rsidR="00027E60">
        <w:rPr>
          <w:rStyle w:val="fontstyle01"/>
        </w:rPr>
        <w:instrText>ADDIN CSL_CITATION {"citationItems":[{"id":"ITEM-1","itemData":{"DOI":"10.1016/j.ces.2015.01.071","ISSN":"0009-2509","author":[{"dropping-particle":"","family":"Esmaeili","given":"Amin","non-dropping-particle":"","parse-names":false,"suffix":""},{"dropping-particle":"","family":"Guy","given":"Christophe","non-dropping-particle":"","parse-names":false,"suffix":""},{"dropping-particle":"","family":"Chaouki","given":"Jamal","non-dropping-particle":"","parse-names":false,"suffix":""}],"container-title":"Chemical Engineering Science","id":"ITEM-1","issued":{"date-parts":[["2015"]]},"page":"193-207","publisher":"Elsevier","title":"The effects of liquid phase rheology on the hydrodynamics of a gas – liquid bubble column reactor","type":"article-journal","volume":"129"},"uris":["http://www.mendeley.com/documents/?uuid=2fb79d0b-9d80-4bb0-8ec2-19af3873d2b8"]}],"mendeley":{"formattedCitation":"[3]","plainTextFormattedCitation":"[3]","previouslyFormattedCitation":"[3]"},"properties":{"noteIndex":0},"schema":"https://github.com/citation-style-language/schema/raw/master/csl-citation.json"}</w:instrText>
      </w:r>
      <w:r w:rsidR="00027E60">
        <w:rPr>
          <w:rStyle w:val="fontstyle01"/>
        </w:rPr>
        <w:fldChar w:fldCharType="separate"/>
      </w:r>
      <w:r w:rsidR="00027E60" w:rsidRPr="00027E60">
        <w:rPr>
          <w:rStyle w:val="fontstyle01"/>
          <w:noProof/>
        </w:rPr>
        <w:t>[3]</w:t>
      </w:r>
      <w:r w:rsidR="00027E60">
        <w:rPr>
          <w:rStyle w:val="fontstyle01"/>
        </w:rPr>
        <w:fldChar w:fldCharType="end"/>
      </w:r>
      <w:r w:rsidR="00027E60">
        <w:rPr>
          <w:rStyle w:val="fontstyle01"/>
        </w:rPr>
        <w:fldChar w:fldCharType="begin" w:fldLock="1"/>
      </w:r>
      <w:r w:rsidR="000C1D2D">
        <w:rPr>
          <w:rStyle w:val="fontstyle01"/>
        </w:rPr>
        <w:instrText>ADDIN CSL_CITATION {"citationItems":[{"id":"ITEM-1","itemData":{"DOI":"10.1016/j.cej.2018.10.067","ISSN":"13858947","abstract":"Design and scale-up of the slurry bubble columns, as popular multiphase reactors, is complicated because of the complexity of the hydrodynamics of these types of reactors. In fact, to have a good design, precise information about the local hydrodynamic parameters are required. In this study, a new method is developed for simultaneous measuring of the local solid, gas and liquid holdup in the slurry bubble column. Optical fiber probes were used to measure phase distribution inside the bubble column. Our specific calibration procedure enables probes to measure solid concentration in the slurry phase as well. In order to examine the proposed measurement method, a cylindrical plexiglass column with 270 cm height and 29.2 cm diameter was utilized as the slurry column which contained water, glass beads, and air. The mean diameter of the glass beads is 35 µm and the experiments were done with 1% and 3% solid loading (volume solid/volume slurry). To cover both homogeneous and heterogeneous flow regime in the bubble column, air with a wide range of superficial gas velocity (0–22 cm/s) was injected into the slurry phase. The obtained results showed that the axial distribution of the solid particles is not uniform along the column, and a local minimum concentration observed in the middle of the column. In the homogeneous regime, the local solid concentration increased by raising the superficial gas velocity while solid particle distribution was independent of the gas velocity in the heterogeneous flow regime.","author":[{"dropping-particle":"","family":"Mokhtari","given":"Mojtaba","non-dropping-particle":"","parse-names":false,"suffix":""},{"dropping-particle":"","family":"Chaouki","given":"Jamal","non-dropping-particle":"","parse-names":false,"suffix":""}],"container-title":"Chemical Engineering Journal","id":"ITEM-1","issued":{"date-parts":[["2019"]]},"page":"831-841","publisher":"Elsevier B.V.","title":"New technique for simultaneous measurement of the local solid and gas holdup by using optical fiber probes in the slurry bubble column","type":"article-journal","volume":"358"},"uris":["http://www.mendeley.com/documents/?uuid=c9be28e9-956c-4765-b395-a7aeb460231f"]}],"mendeley":{"formattedCitation":"[4]","plainTextFormattedCitation":"[4]","previouslyFormattedCitation":"[4]"},"properties":{"noteIndex":0},"schema":"https://github.com/citation-style-language/schema/raw/master/csl-citation.json"}</w:instrText>
      </w:r>
      <w:r w:rsidR="00027E60">
        <w:rPr>
          <w:rStyle w:val="fontstyle01"/>
        </w:rPr>
        <w:fldChar w:fldCharType="separate"/>
      </w:r>
      <w:r w:rsidR="00027E60" w:rsidRPr="00027E60">
        <w:rPr>
          <w:rStyle w:val="fontstyle01"/>
          <w:noProof/>
        </w:rPr>
        <w:t>[4]</w:t>
      </w:r>
      <w:r w:rsidR="00027E60">
        <w:rPr>
          <w:rStyle w:val="fontstyle01"/>
        </w:rPr>
        <w:fldChar w:fldCharType="end"/>
      </w:r>
      <w:r w:rsidR="00027E60">
        <w:rPr>
          <w:rStyle w:val="fontstyle01"/>
        </w:rPr>
        <w:t>and</w:t>
      </w:r>
      <w:r w:rsidR="000C1D2D">
        <w:rPr>
          <w:rStyle w:val="fontstyle01"/>
        </w:rPr>
        <w:fldChar w:fldCharType="begin" w:fldLock="1"/>
      </w:r>
      <w:r w:rsidR="000C1D2D">
        <w:rPr>
          <w:rStyle w:val="fontstyle01"/>
        </w:rPr>
        <w:instrText>ADDIN CSL_CITATION {"citationItems":[{"id":"ITEM-1","itemData":{"DOI":"10.1016/j.ces.2005.03.046","ISSN":"00092509","abstract":"This paper presents an experimental analysis of the influence of the liquid rheology on the gas flow pattern in a bubble column reactor. Aqueous solutions of xanthan are selected as an example of non-Newtonian shear thinning fluid. Averaged gas holdup is determined by two experimental techniques: parietal pressure probes and electrical resistance tomography (ERT). ERT is also used to provide 2D images of the gas phase distribution in a column cross-section. Bubble size distributions are evaluated by a gas disengagement technique using the parietal pressure probes. All these techniques clearly show the gas flow pattern is different in Newtonian and non-Newtonian fluids. Gas holdup values decrease when increasing the liquid viscosity and reach a minimum or a plateau. Homogeneous flow regime, observed in water at low gas velocities, tends to disappear when viscosity increases. This evolution is visualized by a much less isotropic distribution of the gas phase within cross-section of the column and by the appearance of much larger bubbles due to an increased coalescence phenomenon. © 2005 Elsevier Ltd. All rights reserved.","author":[{"dropping-particle":"","family":"Fransolet","given":"E.","non-dropping-particle":"","parse-names":false,"suffix":""},{"dropping-particle":"","family":"Crine","given":"M.","non-dropping-particle":"","parse-names":false,"suffix":""},{"dropping-particle":"","family":"Marchot","given":"P.","non-dropping-particle":"","parse-names":false,"suffix":""},{"dropping-particle":"","family":"Toye","given":"D.","non-dropping-particle":"","parse-names":false,"suffix":""}],"container-title":"Chemical Engineering Science","id":"ITEM-1","issue":"22","issued":{"date-parts":[["2005"]]},"page":"6118-6123","title":"Analysis of gas holdup in bubble columns with non-Newtonian fluid using electrical resistance tomography and dynamic gas disengagement technique","type":"article-journal","volume":"60"},"uris":["http://www.mendeley.com/documents/?uuid=089755d1-fc5b-463e-a3bb-a232018f49b3"]}],"mendeley":{"formattedCitation":"[5]","plainTextFormattedCitation":"[5]"},"properties":{"noteIndex":0},"schema":"https://github.com/citation-style-language/schema/raw/master/csl-citation.json"}</w:instrText>
      </w:r>
      <w:r w:rsidR="000C1D2D">
        <w:rPr>
          <w:rStyle w:val="fontstyle01"/>
        </w:rPr>
        <w:fldChar w:fldCharType="separate"/>
      </w:r>
      <w:r w:rsidR="000C1D2D" w:rsidRPr="000C1D2D">
        <w:rPr>
          <w:rStyle w:val="fontstyle01"/>
          <w:noProof/>
        </w:rPr>
        <w:t>[5]</w:t>
      </w:r>
      <w:r w:rsidR="000C1D2D">
        <w:rPr>
          <w:rStyle w:val="fontstyle01"/>
        </w:rPr>
        <w:fldChar w:fldCharType="end"/>
      </w:r>
      <w:r w:rsidR="000C1D2D">
        <w:rPr>
          <w:rStyle w:val="fontstyle01"/>
        </w:rPr>
        <w:t xml:space="preserve">) </w:t>
      </w:r>
      <w:r w:rsidR="00342ED4">
        <w:rPr>
          <w:rStyle w:val="fontstyle01"/>
        </w:rPr>
        <w:t>using</w:t>
      </w:r>
      <w:r w:rsidR="00027E60">
        <w:rPr>
          <w:rStyle w:val="fontstyle01"/>
        </w:rPr>
        <w:t xml:space="preserve"> unconfined column </w:t>
      </w:r>
      <w:r w:rsidR="00A056A9">
        <w:rPr>
          <w:rStyle w:val="fontstyle01"/>
        </w:rPr>
        <w:t xml:space="preserve">operating </w:t>
      </w:r>
      <w:r w:rsidR="00027E60">
        <w:rPr>
          <w:rStyle w:val="fontstyle01"/>
        </w:rPr>
        <w:t>with non-</w:t>
      </w:r>
      <w:r w:rsidR="00A056A9">
        <w:rPr>
          <w:rStyle w:val="fontstyle01"/>
        </w:rPr>
        <w:t>Newtonian</w:t>
      </w:r>
      <w:r w:rsidR="00342ED4">
        <w:rPr>
          <w:rStyle w:val="fontstyle01"/>
        </w:rPr>
        <w:t xml:space="preserve"> fluids.</w:t>
      </w:r>
      <w:r w:rsidR="00A056A9">
        <w:rPr>
          <w:rStyle w:val="fontstyle01"/>
        </w:rPr>
        <w:t xml:space="preserve"> </w:t>
      </w:r>
      <w:r w:rsidR="00C26242">
        <w:rPr>
          <w:rStyle w:val="fontstyle01"/>
        </w:rPr>
        <w:t>This result</w:t>
      </w:r>
      <w:r w:rsidR="00342ED4">
        <w:rPr>
          <w:rStyle w:val="fontstyle01"/>
        </w:rPr>
        <w:t xml:space="preserve"> could be explained by</w:t>
      </w:r>
      <w:r w:rsidR="00A0754C">
        <w:rPr>
          <w:rStyle w:val="fontstyle01"/>
        </w:rPr>
        <w:t xml:space="preserve"> the effect of </w:t>
      </w:r>
      <w:r w:rsidR="00342ED4">
        <w:rPr>
          <w:rStyle w:val="fontstyle01"/>
        </w:rPr>
        <w:t xml:space="preserve">the </w:t>
      </w:r>
      <w:r w:rsidR="00A0754C">
        <w:rPr>
          <w:rStyle w:val="fontstyle01"/>
        </w:rPr>
        <w:t>confinement</w:t>
      </w:r>
      <w:r w:rsidR="00342ED4">
        <w:rPr>
          <w:rStyle w:val="fontstyle01"/>
        </w:rPr>
        <w:t xml:space="preserve"> between bubbles and column walls. Indeed, the</w:t>
      </w:r>
      <w:r w:rsidR="00A0754C">
        <w:rPr>
          <w:rStyle w:val="fontstyle01"/>
        </w:rPr>
        <w:t xml:space="preserve"> experiments for </w:t>
      </w:r>
      <w:r w:rsidR="00342ED4">
        <w:rPr>
          <w:rStyle w:val="fontstyle01"/>
        </w:rPr>
        <w:t xml:space="preserve">an </w:t>
      </w:r>
      <w:r w:rsidR="00A0754C">
        <w:rPr>
          <w:rStyle w:val="fontstyle01"/>
        </w:rPr>
        <w:t>isolated bubble in</w:t>
      </w:r>
      <w:r w:rsidR="000C1D2D">
        <w:rPr>
          <w:rStyle w:val="fontstyle01"/>
        </w:rPr>
        <w:t xml:space="preserve"> this column showed </w:t>
      </w:r>
      <w:r w:rsidR="00E659A8">
        <w:rPr>
          <w:rStyle w:val="fontstyle01"/>
        </w:rPr>
        <w:t xml:space="preserve">that </w:t>
      </w:r>
      <w:r w:rsidR="00C51750">
        <w:rPr>
          <w:rStyle w:val="fontstyle01"/>
        </w:rPr>
        <w:t xml:space="preserve">low terminal </w:t>
      </w:r>
      <w:r w:rsidR="00C26242">
        <w:rPr>
          <w:rStyle w:val="fontstyle01"/>
        </w:rPr>
        <w:t>velocities have been</w:t>
      </w:r>
      <w:r w:rsidR="00E659A8">
        <w:rPr>
          <w:rStyle w:val="fontstyle01"/>
        </w:rPr>
        <w:t xml:space="preserve"> observed in the case of non-Newtonian phase compared to the</w:t>
      </w:r>
      <w:r w:rsidR="00C51750">
        <w:rPr>
          <w:rStyle w:val="fontstyle01"/>
        </w:rPr>
        <w:t xml:space="preserve"> Newtonian one</w:t>
      </w:r>
      <w:r w:rsidR="00E659A8">
        <w:rPr>
          <w:rStyle w:val="fontstyle01"/>
        </w:rPr>
        <w:t xml:space="preserve">. </w:t>
      </w:r>
      <w:r w:rsidR="00C26242">
        <w:rPr>
          <w:rStyle w:val="fontstyle01"/>
        </w:rPr>
        <w:t>Consequently</w:t>
      </w:r>
      <w:r w:rsidR="00E659A8">
        <w:rPr>
          <w:rStyle w:val="fontstyle01"/>
        </w:rPr>
        <w:t xml:space="preserve">, </w:t>
      </w:r>
      <w:r w:rsidR="00C51750">
        <w:rPr>
          <w:rStyle w:val="fontstyle01"/>
        </w:rPr>
        <w:t xml:space="preserve">higher residence time </w:t>
      </w:r>
      <w:r w:rsidR="00E659A8">
        <w:rPr>
          <w:rStyle w:val="fontstyle01"/>
        </w:rPr>
        <w:t>of bubbles is observed with CMC and XG solutions</w:t>
      </w:r>
      <w:r w:rsidR="00A0754C">
        <w:rPr>
          <w:rStyle w:val="fontstyle01"/>
        </w:rPr>
        <w:t>.</w:t>
      </w:r>
      <w:r>
        <w:rPr>
          <w:rStyle w:val="fontstyle01"/>
        </w:rPr>
        <w:t xml:space="preserve"> Comparison between the two non-Newtonian fluids shows that CMC and XG have similar gas hold</w:t>
      </w:r>
      <w:r w:rsidR="005C52E9">
        <w:rPr>
          <w:rStyle w:val="fontstyle01"/>
        </w:rPr>
        <w:t>-</w:t>
      </w:r>
      <w:r>
        <w:rPr>
          <w:rStyle w:val="fontstyle01"/>
        </w:rPr>
        <w:t>up</w:t>
      </w:r>
      <w:r w:rsidR="005C52E9">
        <w:rPr>
          <w:rStyle w:val="fontstyle01"/>
        </w:rPr>
        <w:t>s</w:t>
      </w:r>
      <w:r>
        <w:rPr>
          <w:rStyle w:val="fontstyle01"/>
        </w:rPr>
        <w:t xml:space="preserve">, certainly due to their similar rheological properties. It could be noted that the regime </w:t>
      </w:r>
      <w:r w:rsidR="009B2F7F">
        <w:rPr>
          <w:rStyle w:val="fontstyle01"/>
        </w:rPr>
        <w:t xml:space="preserve">transitions </w:t>
      </w:r>
      <w:r>
        <w:rPr>
          <w:rStyle w:val="fontstyle01"/>
        </w:rPr>
        <w:t xml:space="preserve">between the homogeneous and the intermediate regimes appear at </w:t>
      </w:r>
      <w:r w:rsidR="00127624">
        <w:rPr>
          <w:rStyle w:val="fontstyle01"/>
        </w:rPr>
        <w:t xml:space="preserve">lower </w:t>
      </w:r>
      <w:r>
        <w:rPr>
          <w:rStyle w:val="fontstyle01"/>
        </w:rPr>
        <w:t xml:space="preserve">superficial gas velocity with non-Newtonian fluids due to their coalescence tendency. </w:t>
      </w:r>
      <w:r w:rsidR="0037791C">
        <w:rPr>
          <w:rStyle w:val="fontstyle01"/>
        </w:rPr>
        <w:t xml:space="preserve">Higher gas hold-up is obtained in the XG solution than in the CMC, </w:t>
      </w:r>
      <w:r w:rsidR="003B43F7">
        <w:rPr>
          <w:rStyle w:val="fontstyle01"/>
        </w:rPr>
        <w:t xml:space="preserve">this </w:t>
      </w:r>
      <w:r w:rsidR="0037791C">
        <w:rPr>
          <w:rStyle w:val="fontstyle01"/>
        </w:rPr>
        <w:t xml:space="preserve">phenomenon </w:t>
      </w:r>
      <w:r w:rsidR="009B2F7F">
        <w:rPr>
          <w:rStyle w:val="fontstyle01"/>
        </w:rPr>
        <w:t xml:space="preserve">was </w:t>
      </w:r>
      <w:r w:rsidR="0037791C">
        <w:rPr>
          <w:rStyle w:val="fontstyle01"/>
        </w:rPr>
        <w:t xml:space="preserve">already observed by [3] which they explained by </w:t>
      </w:r>
      <w:r w:rsidR="000C1D2D">
        <w:rPr>
          <w:rStyle w:val="fontstyle01"/>
        </w:rPr>
        <w:t>elastic</w:t>
      </w:r>
      <w:r w:rsidR="0037791C">
        <w:rPr>
          <w:rStyle w:val="fontstyle01"/>
        </w:rPr>
        <w:t xml:space="preserve"> effects of XG solution.</w:t>
      </w:r>
    </w:p>
    <w:p w14:paraId="732C0209" w14:textId="77777777" w:rsidR="00821536" w:rsidRDefault="00821536" w:rsidP="00821536">
      <w:pPr>
        <w:snapToGrid w:val="0"/>
        <w:spacing w:after="0"/>
        <w:jc w:val="center"/>
        <w:rPr>
          <w:rStyle w:val="fontstyle01"/>
        </w:rPr>
      </w:pPr>
      <w:r>
        <w:rPr>
          <w:noProof/>
          <w:lang w:val="it-IT" w:eastAsia="it-IT"/>
        </w:rPr>
        <w:drawing>
          <wp:inline distT="0" distB="0" distL="0" distR="0" wp14:anchorId="00959FE4" wp14:editId="47A4BA3D">
            <wp:extent cx="2757170" cy="1746925"/>
            <wp:effectExtent l="0" t="0" r="508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1256" cy="1781194"/>
                    </a:xfrm>
                    <a:prstGeom prst="rect">
                      <a:avLst/>
                    </a:prstGeom>
                  </pic:spPr>
                </pic:pic>
              </a:graphicData>
            </a:graphic>
          </wp:inline>
        </w:drawing>
      </w:r>
      <w:r>
        <w:t xml:space="preserve"> </w:t>
      </w:r>
      <w:r>
        <w:rPr>
          <w:noProof/>
          <w:lang w:val="it-IT" w:eastAsia="it-IT"/>
        </w:rPr>
        <w:drawing>
          <wp:inline distT="0" distB="0" distL="0" distR="0" wp14:anchorId="7F43043C" wp14:editId="774F726D">
            <wp:extent cx="2475230" cy="1765846"/>
            <wp:effectExtent l="0" t="0" r="1270"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2"/>
                    <a:stretch>
                      <a:fillRect/>
                    </a:stretch>
                  </pic:blipFill>
                  <pic:spPr bwMode="auto">
                    <a:xfrm>
                      <a:off x="0" y="0"/>
                      <a:ext cx="2484054" cy="1772141"/>
                    </a:xfrm>
                    <a:prstGeom prst="rect">
                      <a:avLst/>
                    </a:prstGeom>
                  </pic:spPr>
                </pic:pic>
              </a:graphicData>
            </a:graphic>
          </wp:inline>
        </w:drawing>
      </w:r>
    </w:p>
    <w:p w14:paraId="57CCBAA9" w14:textId="77777777" w:rsidR="00494298" w:rsidRDefault="00821536" w:rsidP="00494298">
      <w:pPr>
        <w:snapToGrid w:val="0"/>
        <w:spacing w:after="0"/>
        <w:rPr>
          <w:rFonts w:eastAsia="MS PGothic"/>
          <w:bCs/>
          <w:color w:val="000000"/>
          <w:sz w:val="20"/>
          <w:szCs w:val="20"/>
        </w:rPr>
      </w:pPr>
      <w:r w:rsidRPr="00821536">
        <w:rPr>
          <w:rFonts w:eastAsia="MS PGothic"/>
          <w:b/>
          <w:color w:val="000000"/>
          <w:sz w:val="20"/>
          <w:szCs w:val="20"/>
        </w:rPr>
        <w:t>Figure 1</w:t>
      </w:r>
      <w:r w:rsidRPr="00821536">
        <w:rPr>
          <w:rFonts w:eastAsia="MS PGothic"/>
          <w:b/>
          <w:color w:val="000000"/>
          <w:sz w:val="20"/>
          <w:szCs w:val="20"/>
          <w:lang w:eastAsia="ko-KR"/>
        </w:rPr>
        <w:t>.</w:t>
      </w:r>
      <w:r w:rsidRPr="00821536">
        <w:rPr>
          <w:rFonts w:eastAsia="MS PGothic"/>
          <w:color w:val="000000"/>
          <w:sz w:val="20"/>
          <w:szCs w:val="20"/>
        </w:rPr>
        <w:t xml:space="preserve"> </w:t>
      </w:r>
      <w:r w:rsidRPr="00821536">
        <w:rPr>
          <w:sz w:val="20"/>
          <w:szCs w:val="20"/>
        </w:rPr>
        <w:t xml:space="preserve"> </w:t>
      </w:r>
      <w:r w:rsidRPr="00821536">
        <w:rPr>
          <w:rFonts w:eastAsia="MS PGothic"/>
          <w:bCs/>
          <w:color w:val="000000"/>
          <w:sz w:val="20"/>
          <w:szCs w:val="20"/>
        </w:rPr>
        <w:t>Effect of superficial gas velocity on gas holdup.</w:t>
      </w:r>
      <w:r w:rsidRPr="00821536">
        <w:rPr>
          <w:rFonts w:eastAsia="MS PGothic"/>
          <w:b/>
          <w:color w:val="000000"/>
          <w:sz w:val="20"/>
          <w:szCs w:val="20"/>
        </w:rPr>
        <w:t xml:space="preserve">    </w:t>
      </w:r>
      <w:r>
        <w:rPr>
          <w:rFonts w:eastAsia="MS PGothic"/>
          <w:b/>
          <w:color w:val="000000"/>
          <w:sz w:val="20"/>
          <w:szCs w:val="20"/>
        </w:rPr>
        <w:t xml:space="preserve">        </w:t>
      </w:r>
      <w:r w:rsidRPr="00821536">
        <w:rPr>
          <w:rFonts w:eastAsia="MS PGothic"/>
          <w:b/>
          <w:color w:val="000000"/>
          <w:sz w:val="20"/>
          <w:szCs w:val="20"/>
        </w:rPr>
        <w:t>Figure 2.</w:t>
      </w:r>
      <w:r>
        <w:rPr>
          <w:rFonts w:eastAsia="MS PGothic"/>
          <w:b/>
          <w:color w:val="000000"/>
          <w:sz w:val="20"/>
          <w:szCs w:val="20"/>
        </w:rPr>
        <w:t xml:space="preserve"> </w:t>
      </w:r>
      <w:r w:rsidRPr="00821536">
        <w:rPr>
          <w:rFonts w:eastAsia="MS PGothic"/>
          <w:bCs/>
          <w:color w:val="000000"/>
          <w:sz w:val="20"/>
          <w:szCs w:val="20"/>
        </w:rPr>
        <w:t>Effect of superficial gas velocity on mixing time</w:t>
      </w:r>
    </w:p>
    <w:p w14:paraId="2E9CEF85" w14:textId="6421C227" w:rsidR="00494298" w:rsidRDefault="00821536" w:rsidP="00494298">
      <w:pPr>
        <w:snapToGrid w:val="0"/>
        <w:spacing w:after="0"/>
        <w:rPr>
          <w:rStyle w:val="fontstyle01"/>
        </w:rPr>
      </w:pPr>
      <w:r w:rsidRPr="00821536">
        <w:rPr>
          <w:rFonts w:eastAsia="MS PGothic"/>
          <w:bCs/>
          <w:color w:val="000000"/>
          <w:sz w:val="20"/>
          <w:szCs w:val="20"/>
        </w:rPr>
        <w:t xml:space="preserve"> </w:t>
      </w:r>
    </w:p>
    <w:p w14:paraId="7A679121" w14:textId="763432AB" w:rsidR="00821536" w:rsidRDefault="00821536" w:rsidP="00821536">
      <w:pPr>
        <w:snapToGrid w:val="0"/>
        <w:spacing w:after="120"/>
        <w:jc w:val="both"/>
      </w:pPr>
      <w:r>
        <w:rPr>
          <w:rStyle w:val="fontstyle01"/>
        </w:rPr>
        <w:t xml:space="preserve">Concerning the mixing time, Fig 2 shows a decrease of this parameter with the increase in the superficial gas velocity. The mixing time </w:t>
      </w:r>
      <w:r w:rsidR="000B215C">
        <w:rPr>
          <w:rStyle w:val="fontstyle01"/>
        </w:rPr>
        <w:t>in</w:t>
      </w:r>
      <w:r>
        <w:rPr>
          <w:rStyle w:val="fontstyle01"/>
        </w:rPr>
        <w:t xml:space="preserve"> water decrease</w:t>
      </w:r>
      <w:r w:rsidR="000B215C">
        <w:rPr>
          <w:rStyle w:val="fontstyle01"/>
        </w:rPr>
        <w:t>s</w:t>
      </w:r>
      <w:r>
        <w:rPr>
          <w:rStyle w:val="fontstyle01"/>
        </w:rPr>
        <w:t xml:space="preserve"> rapidly during the homogeneous regime (</w:t>
      </w:r>
      <w:proofErr w:type="spellStart"/>
      <w:r w:rsidRPr="00E84D5D">
        <w:rPr>
          <w:rStyle w:val="fontstyle01"/>
          <w:sz w:val="24"/>
        </w:rPr>
        <w:t>U</w:t>
      </w:r>
      <w:r w:rsidRPr="00E84D5D">
        <w:rPr>
          <w:rStyle w:val="fontstyle01"/>
          <w:sz w:val="16"/>
          <w:szCs w:val="14"/>
        </w:rPr>
        <w:t>Gsup</w:t>
      </w:r>
      <w:proofErr w:type="spellEnd"/>
      <w:r w:rsidRPr="00E84D5D">
        <w:rPr>
          <w:rStyle w:val="fontstyle01"/>
          <w:sz w:val="16"/>
          <w:szCs w:val="14"/>
        </w:rPr>
        <w:t xml:space="preserve"> </w:t>
      </w:r>
      <w:r>
        <w:rPr>
          <w:rStyle w:val="fontstyle01"/>
        </w:rPr>
        <w:t>&lt; 0.01 m.</w:t>
      </w:r>
      <m:oMath>
        <m:sSup>
          <m:sSupPr>
            <m:ctrlPr>
              <w:rPr>
                <w:rFonts w:ascii="Cambria Math" w:hAnsi="Cambria Math"/>
              </w:rPr>
            </m:ctrlPr>
          </m:sSupPr>
          <m:e>
            <m:r>
              <w:rPr>
                <w:rFonts w:ascii="Cambria Math" w:hAnsi="Cambria Math"/>
              </w:rPr>
              <m:t>s</m:t>
            </m:r>
          </m:e>
          <m:sup>
            <m:r>
              <w:rPr>
                <w:rFonts w:ascii="Cambria Math" w:hAnsi="Cambria Math"/>
              </w:rPr>
              <m:t>-1</m:t>
            </m:r>
          </m:sup>
        </m:sSup>
      </m:oMath>
      <w:r>
        <w:rPr>
          <w:rStyle w:val="fontstyle01"/>
        </w:rPr>
        <w:t xml:space="preserve">) and then is quite constant for higher values of </w:t>
      </w:r>
      <w:proofErr w:type="spellStart"/>
      <w:r w:rsidRPr="00E84D5D">
        <w:rPr>
          <w:rStyle w:val="fontstyle01"/>
          <w:sz w:val="24"/>
        </w:rPr>
        <w:t>U</w:t>
      </w:r>
      <w:r w:rsidR="003B43F7" w:rsidRPr="00E84D5D">
        <w:rPr>
          <w:rStyle w:val="fontstyle01"/>
          <w:sz w:val="16"/>
          <w:szCs w:val="14"/>
        </w:rPr>
        <w:t>g</w:t>
      </w:r>
      <w:r w:rsidRPr="00E84D5D">
        <w:rPr>
          <w:rStyle w:val="fontstyle01"/>
          <w:sz w:val="16"/>
          <w:szCs w:val="14"/>
        </w:rPr>
        <w:t>sup</w:t>
      </w:r>
      <w:proofErr w:type="spellEnd"/>
      <w:r>
        <w:rPr>
          <w:rStyle w:val="fontstyle01"/>
        </w:rPr>
        <w:t>. For CMC and XG solutions, the important decrease is observed during the homogeneous and the transition regimes. Increasing the capillary diameter generates large bubble</w:t>
      </w:r>
      <w:r w:rsidR="00205BEC">
        <w:rPr>
          <w:rStyle w:val="fontstyle01"/>
        </w:rPr>
        <w:t>s</w:t>
      </w:r>
      <w:r>
        <w:rPr>
          <w:rStyle w:val="fontstyle01"/>
        </w:rPr>
        <w:t xml:space="preserve"> </w:t>
      </w:r>
      <w:r w:rsidR="00205BEC">
        <w:rPr>
          <w:rStyle w:val="fontstyle01"/>
        </w:rPr>
        <w:t xml:space="preserve">which </w:t>
      </w:r>
      <w:r>
        <w:rPr>
          <w:rStyle w:val="fontstyle01"/>
        </w:rPr>
        <w:t xml:space="preserve">leads to the </w:t>
      </w:r>
      <w:r w:rsidR="00205BEC">
        <w:rPr>
          <w:rStyle w:val="fontstyle01"/>
        </w:rPr>
        <w:t xml:space="preserve">lower </w:t>
      </w:r>
      <w:r>
        <w:rPr>
          <w:rStyle w:val="fontstyle01"/>
        </w:rPr>
        <w:t xml:space="preserve">mixing times for all </w:t>
      </w:r>
      <w:r w:rsidR="00A056A9">
        <w:rPr>
          <w:rStyle w:val="fontstyle01"/>
        </w:rPr>
        <w:t>solutions.</w:t>
      </w:r>
      <w:r w:rsidR="00E84D5D">
        <w:rPr>
          <w:rStyle w:val="fontstyle01"/>
        </w:rPr>
        <w:t xml:space="preserve"> </w:t>
      </w:r>
      <w:r w:rsidR="000B215C">
        <w:rPr>
          <w:rStyle w:val="fontstyle01"/>
        </w:rPr>
        <w:t xml:space="preserve">With </w:t>
      </w:r>
      <w:r w:rsidR="00E84D5D">
        <w:rPr>
          <w:rStyle w:val="fontstyle01"/>
        </w:rPr>
        <w:t>all capillaries studied</w:t>
      </w:r>
      <w:r w:rsidR="000B215C">
        <w:rPr>
          <w:rStyle w:val="fontstyle01"/>
        </w:rPr>
        <w:t>,</w:t>
      </w:r>
      <w:r w:rsidR="00E84D5D">
        <w:rPr>
          <w:rStyle w:val="fontstyle01"/>
        </w:rPr>
        <w:t xml:space="preserve"> the mixing time </w:t>
      </w:r>
      <w:r w:rsidR="000B215C">
        <w:rPr>
          <w:rStyle w:val="fontstyle01"/>
        </w:rPr>
        <w:t xml:space="preserve">in </w:t>
      </w:r>
      <w:r w:rsidR="00E84D5D">
        <w:rPr>
          <w:rStyle w:val="fontstyle01"/>
        </w:rPr>
        <w:t xml:space="preserve">XG solution is higher than </w:t>
      </w:r>
      <w:r w:rsidR="000B215C">
        <w:rPr>
          <w:rStyle w:val="fontstyle01"/>
        </w:rPr>
        <w:t xml:space="preserve">in the </w:t>
      </w:r>
      <w:r w:rsidR="00903EBB">
        <w:rPr>
          <w:rStyle w:val="fontstyle01"/>
        </w:rPr>
        <w:t xml:space="preserve">two </w:t>
      </w:r>
      <w:r w:rsidR="00E84D5D">
        <w:rPr>
          <w:rStyle w:val="fontstyle01"/>
        </w:rPr>
        <w:t>other</w:t>
      </w:r>
      <w:r w:rsidR="00903EBB">
        <w:rPr>
          <w:rStyle w:val="fontstyle01"/>
        </w:rPr>
        <w:t xml:space="preserve"> solutions,</w:t>
      </w:r>
      <w:r w:rsidR="003B43F7">
        <w:rPr>
          <w:rStyle w:val="fontstyle01"/>
        </w:rPr>
        <w:t xml:space="preserve"> especially</w:t>
      </w:r>
      <w:r w:rsidR="00903EBB">
        <w:rPr>
          <w:rStyle w:val="fontstyle01"/>
        </w:rPr>
        <w:t xml:space="preserve"> </w:t>
      </w:r>
      <w:r w:rsidR="00E84D5D">
        <w:rPr>
          <w:rStyle w:val="fontstyle01"/>
        </w:rPr>
        <w:t>in homogeneous regime</w:t>
      </w:r>
      <w:r w:rsidR="00AA1F00">
        <w:rPr>
          <w:rStyle w:val="fontstyle01"/>
        </w:rPr>
        <w:t>.</w:t>
      </w:r>
      <w:r w:rsidR="00E84D5D">
        <w:rPr>
          <w:rStyle w:val="fontstyle01"/>
        </w:rPr>
        <w:t xml:space="preserve"> </w:t>
      </w:r>
    </w:p>
    <w:p w14:paraId="7237A7BB" w14:textId="77777777" w:rsidR="00821536" w:rsidRDefault="00821536" w:rsidP="00821536">
      <w:pPr>
        <w:snapToGrid w:val="0"/>
        <w:spacing w:after="0" w:line="300" w:lineRule="auto"/>
        <w:rPr>
          <w:rFonts w:eastAsia="MS PGothic"/>
          <w:color w:val="000000"/>
          <w:lang w:eastAsia="ko-KR"/>
        </w:rPr>
      </w:pPr>
      <w:r>
        <w:rPr>
          <w:rFonts w:eastAsia="MS PGothic"/>
          <w:b/>
          <w:bCs/>
          <w:color w:val="000000"/>
        </w:rPr>
        <w:t>4. Conclusion</w:t>
      </w:r>
      <w:r>
        <w:rPr>
          <w:rFonts w:eastAsia="MS PGothic"/>
          <w:b/>
          <w:bCs/>
          <w:color w:val="000000"/>
          <w:lang w:eastAsia="ko-KR"/>
        </w:rPr>
        <w:t>s</w:t>
      </w:r>
    </w:p>
    <w:p w14:paraId="409C8AC1" w14:textId="54FDB1B3" w:rsidR="00AA1F00" w:rsidRPr="00AA1F00" w:rsidRDefault="00821536" w:rsidP="00821536">
      <w:pPr>
        <w:snapToGrid w:val="0"/>
        <w:spacing w:after="0"/>
        <w:jc w:val="both"/>
        <w:rPr>
          <w:rFonts w:ascii="Calibri" w:hAnsi="Calibri" w:cs="Calibri"/>
          <w:color w:val="000000"/>
        </w:rPr>
      </w:pPr>
      <w:r>
        <w:rPr>
          <w:rFonts w:eastAsia="MS PGothic"/>
          <w:color w:val="000000"/>
        </w:rPr>
        <w:t xml:space="preserve">Global hydrodynamics characterization of a thin gap bubble column shows that </w:t>
      </w:r>
      <w:r>
        <w:rPr>
          <w:rFonts w:ascii="Calibri" w:hAnsi="Calibri" w:cs="Calibri"/>
          <w:color w:val="000000"/>
        </w:rPr>
        <w:t xml:space="preserve">the gas holdup in non-Newtonian liquid phase is higher than Newtonian one due to the higher residence time. The regime characterization, performed using various methods, shows that regime transitions for non-Newtonian liquids appear at slightly lower superficial gas velocities than the Newtonian one. The mixing time experiments show that mixing in non-Newtonian liquids is quite poor at low gas flowrates, especially during the homogeneous and transition regime </w:t>
      </w:r>
      <w:r w:rsidR="00A056A9">
        <w:rPr>
          <w:rFonts w:ascii="Calibri" w:hAnsi="Calibri" w:cs="Calibri"/>
          <w:color w:val="000000"/>
        </w:rPr>
        <w:t>with mixing</w:t>
      </w:r>
      <w:r>
        <w:rPr>
          <w:rFonts w:ascii="Calibri" w:hAnsi="Calibri" w:cs="Calibri"/>
          <w:color w:val="000000"/>
        </w:rPr>
        <w:t xml:space="preserve"> </w:t>
      </w:r>
      <w:r w:rsidR="00D43626">
        <w:rPr>
          <w:rFonts w:ascii="Calibri" w:hAnsi="Calibri" w:cs="Calibri"/>
          <w:color w:val="000000"/>
        </w:rPr>
        <w:t xml:space="preserve">time </w:t>
      </w:r>
      <w:r>
        <w:rPr>
          <w:rFonts w:ascii="Calibri" w:hAnsi="Calibri" w:cs="Calibri"/>
          <w:color w:val="000000"/>
        </w:rPr>
        <w:t xml:space="preserve">values up to 10-15 times higher than those observed in the heterogeneous regime. An important increase of the mixing time with the viscosity was also observed. The work for gas liquid mass transfer and experiments with PIV technique are in process to determine the other aspects that can affect hydrodynamics in this thin gap bubble column with non-Newtonian liquid in order to optimize culture conditions for higher biomass productivity. </w:t>
      </w:r>
    </w:p>
    <w:p w14:paraId="56065128" w14:textId="77777777" w:rsidR="00441B68" w:rsidRDefault="00441B68" w:rsidP="00821536">
      <w:pPr>
        <w:snapToGrid w:val="0"/>
        <w:spacing w:after="0" w:line="300" w:lineRule="auto"/>
        <w:jc w:val="both"/>
        <w:rPr>
          <w:rFonts w:eastAsia="MS PGothic"/>
          <w:b/>
          <w:bCs/>
          <w:color w:val="000000"/>
          <w:sz w:val="20"/>
        </w:rPr>
      </w:pPr>
    </w:p>
    <w:p w14:paraId="4B645508" w14:textId="77777777" w:rsidR="00441B68" w:rsidRDefault="00441B68" w:rsidP="00821536">
      <w:pPr>
        <w:snapToGrid w:val="0"/>
        <w:spacing w:after="0" w:line="300" w:lineRule="auto"/>
        <w:jc w:val="both"/>
        <w:rPr>
          <w:rFonts w:eastAsia="MS PGothic"/>
          <w:b/>
          <w:bCs/>
          <w:color w:val="000000"/>
          <w:sz w:val="20"/>
        </w:rPr>
      </w:pPr>
    </w:p>
    <w:p w14:paraId="69F4BED3" w14:textId="77777777" w:rsidR="00821536" w:rsidRDefault="00821536" w:rsidP="00821536">
      <w:pPr>
        <w:snapToGrid w:val="0"/>
        <w:spacing w:after="0" w:line="300" w:lineRule="auto"/>
        <w:jc w:val="both"/>
        <w:rPr>
          <w:rFonts w:eastAsia="MS PGothic"/>
          <w:b/>
          <w:bCs/>
          <w:color w:val="000000"/>
          <w:sz w:val="20"/>
        </w:rPr>
      </w:pPr>
      <w:bookmarkStart w:id="1" w:name="_GoBack"/>
      <w:bookmarkEnd w:id="1"/>
      <w:r>
        <w:rPr>
          <w:rFonts w:eastAsia="MS PGothic"/>
          <w:b/>
          <w:bCs/>
          <w:color w:val="000000"/>
          <w:sz w:val="20"/>
        </w:rPr>
        <w:lastRenderedPageBreak/>
        <w:t xml:space="preserve">References  </w:t>
      </w:r>
    </w:p>
    <w:p w14:paraId="79C961CF" w14:textId="394C29B9" w:rsidR="000C1D2D" w:rsidRPr="000C1D2D" w:rsidRDefault="00821536" w:rsidP="000C1D2D">
      <w:pPr>
        <w:widowControl w:val="0"/>
        <w:autoSpaceDE w:val="0"/>
        <w:autoSpaceDN w:val="0"/>
        <w:adjustRightInd w:val="0"/>
        <w:spacing w:after="0" w:line="240" w:lineRule="auto"/>
        <w:ind w:left="640" w:hanging="640"/>
        <w:rPr>
          <w:rFonts w:ascii="Calibri" w:hAnsi="Calibri" w:cs="Calibri"/>
          <w:noProof/>
          <w:szCs w:val="24"/>
        </w:rPr>
      </w:pPr>
      <w:r>
        <w:fldChar w:fldCharType="begin" w:fldLock="1"/>
      </w:r>
      <w:r>
        <w:instrText>ADDIN Mendeley Bibliography CSL_BIBLIOGRAPHY</w:instrText>
      </w:r>
      <w:r>
        <w:fldChar w:fldCharType="separate"/>
      </w:r>
      <w:r w:rsidR="000C1D2D" w:rsidRPr="000C1D2D">
        <w:rPr>
          <w:rFonts w:ascii="Calibri" w:hAnsi="Calibri" w:cs="Calibri"/>
          <w:noProof/>
          <w:szCs w:val="24"/>
        </w:rPr>
        <w:t>[1]</w:t>
      </w:r>
      <w:r w:rsidR="000C1D2D" w:rsidRPr="000C1D2D">
        <w:rPr>
          <w:rFonts w:ascii="Calibri" w:hAnsi="Calibri" w:cs="Calibri"/>
          <w:noProof/>
          <w:szCs w:val="24"/>
        </w:rPr>
        <w:tab/>
        <w:t xml:space="preserve">A. Souliès, J. Pruvost, J. Legrand, C. Castelain, and T. I. Burghelea, “Rheological properties of suspensions of the green microalga Chlorella vulgaris at various volume fractions,” </w:t>
      </w:r>
      <w:r w:rsidR="000C1D2D" w:rsidRPr="000C1D2D">
        <w:rPr>
          <w:rFonts w:ascii="Calibri" w:hAnsi="Calibri" w:cs="Calibri"/>
          <w:i/>
          <w:iCs/>
          <w:noProof/>
          <w:szCs w:val="24"/>
        </w:rPr>
        <w:t>Rheol. Acta</w:t>
      </w:r>
      <w:r w:rsidR="000C1D2D" w:rsidRPr="000C1D2D">
        <w:rPr>
          <w:rFonts w:ascii="Calibri" w:hAnsi="Calibri" w:cs="Calibri"/>
          <w:noProof/>
          <w:szCs w:val="24"/>
        </w:rPr>
        <w:t>, vol. 52, no. 6, pp. 589–605, Jun. 2013.</w:t>
      </w:r>
    </w:p>
    <w:p w14:paraId="3DBA2FE5" w14:textId="77777777" w:rsidR="000C1D2D" w:rsidRPr="000C1D2D" w:rsidRDefault="000C1D2D" w:rsidP="000C1D2D">
      <w:pPr>
        <w:widowControl w:val="0"/>
        <w:autoSpaceDE w:val="0"/>
        <w:autoSpaceDN w:val="0"/>
        <w:adjustRightInd w:val="0"/>
        <w:spacing w:after="0" w:line="240" w:lineRule="auto"/>
        <w:ind w:left="640" w:hanging="640"/>
        <w:rPr>
          <w:rFonts w:ascii="Calibri" w:hAnsi="Calibri" w:cs="Calibri"/>
          <w:noProof/>
          <w:szCs w:val="24"/>
        </w:rPr>
      </w:pPr>
      <w:r w:rsidRPr="000C1D2D">
        <w:rPr>
          <w:rFonts w:ascii="Calibri" w:hAnsi="Calibri" w:cs="Calibri"/>
          <w:noProof/>
          <w:szCs w:val="24"/>
        </w:rPr>
        <w:t>[2]</w:t>
      </w:r>
      <w:r w:rsidRPr="000C1D2D">
        <w:rPr>
          <w:rFonts w:ascii="Calibri" w:hAnsi="Calibri" w:cs="Calibri"/>
          <w:noProof/>
          <w:szCs w:val="24"/>
        </w:rPr>
        <w:tab/>
        <w:t xml:space="preserve">C. Thobie, E. Gadoin, W. Blel, J. Pruvost, and C. Gentric, “Global characterization of hydrodynamics and gas-liquid mass transfer in a thin-gap bubble column intended for microalgae cultivation,” </w:t>
      </w:r>
      <w:r w:rsidRPr="000C1D2D">
        <w:rPr>
          <w:rFonts w:ascii="Calibri" w:hAnsi="Calibri" w:cs="Calibri"/>
          <w:i/>
          <w:iCs/>
          <w:noProof/>
          <w:szCs w:val="24"/>
        </w:rPr>
        <w:t>Chem. Eng. Process. Process Intensif.</w:t>
      </w:r>
      <w:r w:rsidRPr="000C1D2D">
        <w:rPr>
          <w:rFonts w:ascii="Calibri" w:hAnsi="Calibri" w:cs="Calibri"/>
          <w:noProof/>
          <w:szCs w:val="24"/>
        </w:rPr>
        <w:t>, vol. 122, pp. 76–89, 2017.</w:t>
      </w:r>
    </w:p>
    <w:p w14:paraId="2ACC3B09" w14:textId="77777777" w:rsidR="000C1D2D" w:rsidRPr="000C1D2D" w:rsidRDefault="000C1D2D" w:rsidP="000C1D2D">
      <w:pPr>
        <w:widowControl w:val="0"/>
        <w:autoSpaceDE w:val="0"/>
        <w:autoSpaceDN w:val="0"/>
        <w:adjustRightInd w:val="0"/>
        <w:spacing w:after="0" w:line="240" w:lineRule="auto"/>
        <w:ind w:left="640" w:hanging="640"/>
        <w:rPr>
          <w:rFonts w:ascii="Calibri" w:hAnsi="Calibri" w:cs="Calibri"/>
          <w:noProof/>
          <w:szCs w:val="24"/>
        </w:rPr>
      </w:pPr>
      <w:r w:rsidRPr="000C1D2D">
        <w:rPr>
          <w:rFonts w:ascii="Calibri" w:hAnsi="Calibri" w:cs="Calibri"/>
          <w:noProof/>
          <w:szCs w:val="24"/>
        </w:rPr>
        <w:t>[3]</w:t>
      </w:r>
      <w:r w:rsidRPr="000C1D2D">
        <w:rPr>
          <w:rFonts w:ascii="Calibri" w:hAnsi="Calibri" w:cs="Calibri"/>
          <w:noProof/>
          <w:szCs w:val="24"/>
        </w:rPr>
        <w:tab/>
        <w:t xml:space="preserve">A. Esmaeili, C. Guy, and J. Chaouki, “The effects of liquid phase rheology on the hydrodynamics of a gas – liquid bubble column reactor,” </w:t>
      </w:r>
      <w:r w:rsidRPr="000C1D2D">
        <w:rPr>
          <w:rFonts w:ascii="Calibri" w:hAnsi="Calibri" w:cs="Calibri"/>
          <w:i/>
          <w:iCs/>
          <w:noProof/>
          <w:szCs w:val="24"/>
        </w:rPr>
        <w:t>Chem. Eng. Sci.</w:t>
      </w:r>
      <w:r w:rsidRPr="000C1D2D">
        <w:rPr>
          <w:rFonts w:ascii="Calibri" w:hAnsi="Calibri" w:cs="Calibri"/>
          <w:noProof/>
          <w:szCs w:val="24"/>
        </w:rPr>
        <w:t>, vol. 129, pp. 193–207, 2015.</w:t>
      </w:r>
    </w:p>
    <w:p w14:paraId="78018FBF" w14:textId="77777777" w:rsidR="000C1D2D" w:rsidRPr="000C1D2D" w:rsidRDefault="000C1D2D" w:rsidP="000C1D2D">
      <w:pPr>
        <w:widowControl w:val="0"/>
        <w:autoSpaceDE w:val="0"/>
        <w:autoSpaceDN w:val="0"/>
        <w:adjustRightInd w:val="0"/>
        <w:spacing w:after="0" w:line="240" w:lineRule="auto"/>
        <w:ind w:left="640" w:hanging="640"/>
        <w:rPr>
          <w:rFonts w:ascii="Calibri" w:hAnsi="Calibri" w:cs="Calibri"/>
          <w:noProof/>
          <w:szCs w:val="24"/>
        </w:rPr>
      </w:pPr>
      <w:r w:rsidRPr="000C1D2D">
        <w:rPr>
          <w:rFonts w:ascii="Calibri" w:hAnsi="Calibri" w:cs="Calibri"/>
          <w:noProof/>
          <w:szCs w:val="24"/>
        </w:rPr>
        <w:t>[4]</w:t>
      </w:r>
      <w:r w:rsidRPr="000C1D2D">
        <w:rPr>
          <w:rFonts w:ascii="Calibri" w:hAnsi="Calibri" w:cs="Calibri"/>
          <w:noProof/>
          <w:szCs w:val="24"/>
        </w:rPr>
        <w:tab/>
        <w:t xml:space="preserve">M. Mokhtari and J. Chaouki, “New technique for simultaneous measurement of the local solid and gas holdup by using optical fiber probes in the slurry bubble column,” </w:t>
      </w:r>
      <w:r w:rsidRPr="000C1D2D">
        <w:rPr>
          <w:rFonts w:ascii="Calibri" w:hAnsi="Calibri" w:cs="Calibri"/>
          <w:i/>
          <w:iCs/>
          <w:noProof/>
          <w:szCs w:val="24"/>
        </w:rPr>
        <w:t>Chem. Eng. J.</w:t>
      </w:r>
      <w:r w:rsidRPr="000C1D2D">
        <w:rPr>
          <w:rFonts w:ascii="Calibri" w:hAnsi="Calibri" w:cs="Calibri"/>
          <w:noProof/>
          <w:szCs w:val="24"/>
        </w:rPr>
        <w:t>, vol. 358, pp. 831–841, 2019.</w:t>
      </w:r>
    </w:p>
    <w:p w14:paraId="6EF49D87" w14:textId="77777777" w:rsidR="000C1D2D" w:rsidRPr="000C1D2D" w:rsidRDefault="000C1D2D" w:rsidP="000C1D2D">
      <w:pPr>
        <w:widowControl w:val="0"/>
        <w:autoSpaceDE w:val="0"/>
        <w:autoSpaceDN w:val="0"/>
        <w:adjustRightInd w:val="0"/>
        <w:spacing w:after="0" w:line="240" w:lineRule="auto"/>
        <w:ind w:left="640" w:hanging="640"/>
        <w:rPr>
          <w:rFonts w:ascii="Calibri" w:hAnsi="Calibri" w:cs="Calibri"/>
          <w:noProof/>
        </w:rPr>
      </w:pPr>
      <w:r w:rsidRPr="000C1D2D">
        <w:rPr>
          <w:rFonts w:ascii="Calibri" w:hAnsi="Calibri" w:cs="Calibri"/>
          <w:noProof/>
          <w:szCs w:val="24"/>
        </w:rPr>
        <w:t>[5]</w:t>
      </w:r>
      <w:r w:rsidRPr="000C1D2D">
        <w:rPr>
          <w:rFonts w:ascii="Calibri" w:hAnsi="Calibri" w:cs="Calibri"/>
          <w:noProof/>
          <w:szCs w:val="24"/>
        </w:rPr>
        <w:tab/>
        <w:t xml:space="preserve">E. Fransolet, M. Crine, P. Marchot, and D. Toye, “Analysis of gas holdup in bubble columns with non-Newtonian fluid using electrical resistance tomography and dynamic gas disengagement technique,” </w:t>
      </w:r>
      <w:r w:rsidRPr="000C1D2D">
        <w:rPr>
          <w:rFonts w:ascii="Calibri" w:hAnsi="Calibri" w:cs="Calibri"/>
          <w:i/>
          <w:iCs/>
          <w:noProof/>
          <w:szCs w:val="24"/>
        </w:rPr>
        <w:t>Chem. Eng. Sci.</w:t>
      </w:r>
      <w:r w:rsidRPr="000C1D2D">
        <w:rPr>
          <w:rFonts w:ascii="Calibri" w:hAnsi="Calibri" w:cs="Calibri"/>
          <w:noProof/>
          <w:szCs w:val="24"/>
        </w:rPr>
        <w:t>, vol. 60, no. 22, pp. 6118–6123, 2005.</w:t>
      </w:r>
    </w:p>
    <w:p w14:paraId="5F874459" w14:textId="3F22C5F9" w:rsidR="00821536" w:rsidRDefault="00821536" w:rsidP="00AA1F00">
      <w:pPr>
        <w:widowControl w:val="0"/>
        <w:spacing w:after="0" w:line="240" w:lineRule="auto"/>
        <w:jc w:val="both"/>
        <w:rPr>
          <w:rFonts w:ascii="Calibri" w:hAnsi="Calibri" w:cs="Calibri"/>
        </w:rPr>
      </w:pPr>
      <w:r>
        <w:fldChar w:fldCharType="end"/>
      </w:r>
    </w:p>
    <w:p w14:paraId="6355EFC8" w14:textId="77777777" w:rsidR="00821536" w:rsidRDefault="00821536" w:rsidP="00821536">
      <w:pPr>
        <w:widowControl w:val="0"/>
        <w:spacing w:line="240" w:lineRule="auto"/>
        <w:ind w:left="640" w:hanging="640"/>
      </w:pPr>
    </w:p>
    <w:bookmarkEnd w:id="0"/>
    <w:p w14:paraId="72DCC99C" w14:textId="77777777" w:rsidR="00821536" w:rsidRDefault="00821536" w:rsidP="00821536">
      <w:pPr>
        <w:sectPr w:rsidR="00821536">
          <w:type w:val="continuous"/>
          <w:pgSz w:w="11906" w:h="16838"/>
          <w:pgMar w:top="1440" w:right="1080" w:bottom="1440" w:left="1080" w:header="994" w:footer="0" w:gutter="0"/>
          <w:cols w:space="720"/>
          <w:formProt w:val="0"/>
          <w:docGrid w:linePitch="312" w:charSpace="6143"/>
        </w:sectPr>
      </w:pPr>
    </w:p>
    <w:p w14:paraId="1B2F4C7A" w14:textId="77777777" w:rsidR="00821536" w:rsidRDefault="00821536" w:rsidP="00821536"/>
    <w:p w14:paraId="5337DECA" w14:textId="77777777" w:rsidR="0007742A" w:rsidRDefault="0007742A"/>
    <w:sectPr w:rsidR="0007742A">
      <w:type w:val="continuous"/>
      <w:pgSz w:w="11906" w:h="16838"/>
      <w:pgMar w:top="1440" w:right="1080" w:bottom="1440" w:left="1080" w:header="994" w:footer="0" w:gutter="0"/>
      <w:cols w:space="720"/>
      <w:formProt w:val="0"/>
      <w:docGrid w:linePitch="312"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D7A55" w14:textId="77777777" w:rsidR="00303B46" w:rsidRDefault="00303B46" w:rsidP="00821536">
      <w:pPr>
        <w:spacing w:after="0" w:line="240" w:lineRule="auto"/>
      </w:pPr>
      <w:r>
        <w:separator/>
      </w:r>
    </w:p>
  </w:endnote>
  <w:endnote w:type="continuationSeparator" w:id="0">
    <w:p w14:paraId="7B290C21" w14:textId="77777777" w:rsidR="00303B46" w:rsidRDefault="00303B46" w:rsidP="0082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E5C21" w14:textId="77777777" w:rsidR="00303B46" w:rsidRDefault="00303B46" w:rsidP="00821536">
      <w:pPr>
        <w:spacing w:after="0" w:line="240" w:lineRule="auto"/>
      </w:pPr>
      <w:r>
        <w:separator/>
      </w:r>
    </w:p>
  </w:footnote>
  <w:footnote w:type="continuationSeparator" w:id="0">
    <w:p w14:paraId="770B8B6C" w14:textId="77777777" w:rsidR="00303B46" w:rsidRDefault="00303B46" w:rsidP="00821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D48C" w14:textId="77777777" w:rsidR="00821536" w:rsidRDefault="00821536">
    <w:pPr>
      <w:spacing w:line="240" w:lineRule="auto"/>
      <w:ind w:right="-285"/>
      <w:jc w:val="center"/>
    </w:pPr>
    <w:r>
      <w:rPr>
        <w:noProof/>
        <w:lang w:val="it-IT" w:eastAsia="it-IT"/>
      </w:rPr>
      <mc:AlternateContent>
        <mc:Choice Requires="wps">
          <w:drawing>
            <wp:anchor distT="0" distB="0" distL="114300" distR="114300" simplePos="0" relativeHeight="251660288" behindDoc="1" locked="0" layoutInCell="1" allowOverlap="1" wp14:anchorId="0E4C4E47" wp14:editId="2063B716">
              <wp:simplePos x="0" y="0"/>
              <wp:positionH relativeFrom="margin">
                <wp:align>left</wp:align>
              </wp:positionH>
              <wp:positionV relativeFrom="paragraph">
                <wp:posOffset>539750</wp:posOffset>
              </wp:positionV>
              <wp:extent cx="5982335" cy="8255"/>
              <wp:effectExtent l="38100" t="38100" r="76200" b="87630"/>
              <wp:wrapNone/>
              <wp:docPr id="1" name="Connettore 1 86"/>
              <wp:cNvGraphicFramePr/>
              <a:graphic xmlns:a="http://schemas.openxmlformats.org/drawingml/2006/main">
                <a:graphicData uri="http://schemas.microsoft.com/office/word/2010/wordprocessingShape">
                  <wps:wsp>
                    <wps:cNvCnPr/>
                    <wps:spPr>
                      <a:xfrm>
                        <a:off x="0" y="0"/>
                        <a:ext cx="5981760" cy="7560"/>
                      </a:xfrm>
                      <a:prstGeom prst="line">
                        <a:avLst/>
                      </a:prstGeom>
                      <a:ln>
                        <a:solidFill>
                          <a:srgbClr val="002060"/>
                        </a:solidFill>
                        <a:round/>
                      </a:ln>
                    </wps:spPr>
                    <wps:style>
                      <a:lnRef idx="2">
                        <a:schemeClr val="accent2"/>
                      </a:lnRef>
                      <a:fillRef idx="0">
                        <a:schemeClr val="accent2"/>
                      </a:fillRef>
                      <a:effectRef idx="1">
                        <a:schemeClr val="accent2"/>
                      </a:effectRef>
                      <a:fontRef idx="minor"/>
                    </wps:style>
                    <wps:bodyPr/>
                  </wps:wsp>
                </a:graphicData>
              </a:graphic>
            </wp:anchor>
          </w:drawing>
        </mc:Choice>
        <mc:Fallback>
          <w:pict>
            <v:line w14:anchorId="10E478BB" id="Connettore 1 86" o:spid="_x0000_s1026" style="position:absolute;z-index:-251656192;visibility:visible;mso-wrap-style:square;mso-wrap-distance-left:9pt;mso-wrap-distance-top:0;mso-wrap-distance-right:9pt;mso-wrap-distance-bottom:0;mso-position-horizontal:left;mso-position-horizontal-relative:margin;mso-position-vertical:absolute;mso-position-vertical-relative:text" from="0,42.5pt" to="471.0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" strokecolor="#002060" strokeweight="1pt">
              <w10:wrap anchorx="margin"/>
            </v:line>
          </w:pict>
        </mc:Fallback>
      </mc:AlternateContent>
    </w:r>
    <w:r>
      <w:rPr>
        <w:noProof/>
        <w:lang w:val="it-IT" w:eastAsia="it-IT"/>
      </w:rPr>
      <w:drawing>
        <wp:anchor distT="0" distB="0" distL="114300" distR="119380" simplePos="0" relativeHeight="251661312" behindDoc="1" locked="0" layoutInCell="1" allowOverlap="1" wp14:anchorId="2C7390CC" wp14:editId="6886B8B9">
          <wp:simplePos x="0" y="0"/>
          <wp:positionH relativeFrom="column">
            <wp:posOffset>285750</wp:posOffset>
          </wp:positionH>
          <wp:positionV relativeFrom="paragraph">
            <wp:posOffset>-309245</wp:posOffset>
          </wp:positionV>
          <wp:extent cx="948055" cy="784225"/>
          <wp:effectExtent l="0" t="0" r="0" b="0"/>
          <wp:wrapNone/>
          <wp:docPr id="5"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3"/>
                  <pic:cNvPicPr>
                    <a:picLocks noChangeAspect="1" noChangeArrowheads="1"/>
                  </pic:cNvPicPr>
                </pic:nvPicPr>
                <pic:blipFill>
                  <a:blip r:embed="rId1"/>
                  <a:stretch>
                    <a:fillRect/>
                  </a:stretch>
                </pic:blipFill>
                <pic:spPr bwMode="auto">
                  <a:xfrm>
                    <a:off x="0" y="0"/>
                    <a:ext cx="948055" cy="784225"/>
                  </a:xfrm>
                  <a:prstGeom prst="rect">
                    <a:avLst/>
                  </a:prstGeom>
                </pic:spPr>
              </pic:pic>
            </a:graphicData>
          </a:graphic>
        </wp:anchor>
      </w:drawing>
    </w:r>
    <w:r>
      <w:rPr>
        <w:b/>
        <w:i/>
        <w:color w:val="002060"/>
        <w:sz w:val="24"/>
        <w:szCs w:val="24"/>
      </w:rPr>
      <w:t>ECCE12</w:t>
    </w:r>
    <w:r>
      <w:rPr>
        <w:b/>
        <w:i/>
        <w:color w:val="002060"/>
        <w:sz w:val="24"/>
        <w:szCs w:val="24"/>
      </w:rPr>
      <w:br/>
      <w:t xml:space="preserve">                              The 12</w:t>
    </w:r>
    <w:r>
      <w:rPr>
        <w:b/>
        <w:i/>
        <w:color w:val="002060"/>
        <w:sz w:val="24"/>
        <w:szCs w:val="24"/>
        <w:vertAlign w:val="superscript"/>
      </w:rPr>
      <w:t xml:space="preserve">th </w:t>
    </w:r>
    <w:r>
      <w:rPr>
        <w:b/>
        <w:i/>
        <w:color w:val="002060"/>
        <w:sz w:val="24"/>
        <w:szCs w:val="24"/>
      </w:rPr>
      <w:t>EUROPEAN CONGRESS OF CHEMICAL ENGINEERING</w:t>
    </w:r>
    <w:r>
      <w:rPr>
        <w:b/>
        <w:i/>
        <w:color w:val="002060"/>
        <w:sz w:val="24"/>
        <w:szCs w:val="24"/>
      </w:rPr>
      <w:br/>
      <w:t xml:space="preserve">                               Florence 15-19 September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7A40" w14:textId="77777777" w:rsidR="00821536" w:rsidRDefault="00821536">
    <w:pPr>
      <w:ind w:right="-285"/>
      <w:jc w:val="center"/>
      <w:rPr>
        <w:b/>
        <w:i/>
        <w:color w:val="002060"/>
        <w:sz w:val="24"/>
        <w:szCs w:val="24"/>
      </w:rPr>
    </w:pPr>
    <w:r>
      <w:rPr>
        <w:noProof/>
        <w:lang w:val="it-IT" w:eastAsia="it-IT"/>
      </w:rPr>
      <w:drawing>
        <wp:anchor distT="0" distB="635" distL="114300" distR="114300" simplePos="0" relativeHeight="251662336" behindDoc="1" locked="0" layoutInCell="1" allowOverlap="1" wp14:anchorId="13699083" wp14:editId="53D9BC5E">
          <wp:simplePos x="0" y="0"/>
          <wp:positionH relativeFrom="column">
            <wp:posOffset>142875</wp:posOffset>
          </wp:positionH>
          <wp:positionV relativeFrom="paragraph">
            <wp:posOffset>-289560</wp:posOffset>
          </wp:positionV>
          <wp:extent cx="1104900" cy="913765"/>
          <wp:effectExtent l="0" t="0" r="0" b="0"/>
          <wp:wrapNone/>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r>
      <w:rPr>
        <w:b/>
        <w:i/>
        <w:color w:val="002060"/>
        <w:sz w:val="24"/>
        <w:szCs w:val="24"/>
      </w:rPr>
      <w:t xml:space="preserve">         ECCE12</w:t>
    </w:r>
    <w:r>
      <w:rPr>
        <w:b/>
        <w:i/>
        <w:color w:val="002060"/>
        <w:sz w:val="24"/>
        <w:szCs w:val="24"/>
      </w:rPr>
      <w:br/>
      <w:t xml:space="preserve">                              The 12</w:t>
    </w:r>
    <w:r>
      <w:rPr>
        <w:b/>
        <w:i/>
        <w:color w:val="002060"/>
        <w:sz w:val="24"/>
        <w:szCs w:val="24"/>
        <w:vertAlign w:val="superscript"/>
      </w:rPr>
      <w:t xml:space="preserve">th </w:t>
    </w:r>
    <w:r>
      <w:rPr>
        <w:b/>
        <w:i/>
        <w:color w:val="002060"/>
        <w:sz w:val="24"/>
        <w:szCs w:val="24"/>
      </w:rPr>
      <w:t>EUROPEAN CONGRESS OF CHEMICAL ENGINEERING</w:t>
    </w:r>
    <w:r>
      <w:rPr>
        <w:b/>
        <w:i/>
        <w:color w:val="002060"/>
        <w:sz w:val="24"/>
        <w:szCs w:val="24"/>
      </w:rPr>
      <w:br/>
      <w:t xml:space="preserve">                               Florence 15-19 September 2019</w:t>
    </w:r>
  </w:p>
  <w:p w14:paraId="34949DDA" w14:textId="77777777" w:rsidR="00821536" w:rsidRDefault="00821536">
    <w:pPr>
      <w:pStyle w:val="Intestazione"/>
    </w:pPr>
  </w:p>
  <w:p w14:paraId="44787B4D" w14:textId="77777777" w:rsidR="00821536" w:rsidRDefault="00821536">
    <w:pPr>
      <w:pStyle w:val="Intestazione"/>
    </w:pPr>
    <w:r>
      <w:rPr>
        <w:noProof/>
        <w:lang w:val="it-IT" w:eastAsia="it-IT"/>
      </w:rPr>
      <mc:AlternateContent>
        <mc:Choice Requires="wps">
          <w:drawing>
            <wp:anchor distT="0" distB="0" distL="114300" distR="114300" simplePos="0" relativeHeight="251659264" behindDoc="1" locked="0" layoutInCell="1" allowOverlap="1" wp14:anchorId="631C46A0" wp14:editId="4ECE5838">
              <wp:simplePos x="0" y="0"/>
              <wp:positionH relativeFrom="column">
                <wp:posOffset>128270</wp:posOffset>
              </wp:positionH>
              <wp:positionV relativeFrom="paragraph">
                <wp:posOffset>76200</wp:posOffset>
              </wp:positionV>
              <wp:extent cx="5582285" cy="1270"/>
              <wp:effectExtent l="38100" t="38100" r="76200" b="95250"/>
              <wp:wrapNone/>
              <wp:docPr id="4" name="Connettore 1 12"/>
              <wp:cNvGraphicFramePr/>
              <a:graphic xmlns:a="http://schemas.openxmlformats.org/drawingml/2006/main">
                <a:graphicData uri="http://schemas.microsoft.com/office/word/2010/wordprocessingShape">
                  <wps:wsp>
                    <wps:cNvCnPr/>
                    <wps:spPr>
                      <a:xfrm>
                        <a:off x="0" y="0"/>
                        <a:ext cx="5581800" cy="720"/>
                      </a:xfrm>
                      <a:prstGeom prst="line">
                        <a:avLst/>
                      </a:prstGeom>
                      <a:ln>
                        <a:solidFill>
                          <a:srgbClr val="002060"/>
                        </a:solidFill>
                        <a:round/>
                      </a:ln>
                    </wps:spPr>
                    <wps:style>
                      <a:lnRef idx="2">
                        <a:schemeClr val="accent2"/>
                      </a:lnRef>
                      <a:fillRef idx="0">
                        <a:schemeClr val="accent2"/>
                      </a:fillRef>
                      <a:effectRef idx="1">
                        <a:schemeClr val="accent2"/>
                      </a:effectRef>
                      <a:fontRef idx="minor"/>
                    </wps:style>
                    <wps:bodyPr/>
                  </wps:wsp>
                </a:graphicData>
              </a:graphic>
            </wp:anchor>
          </w:drawing>
        </mc:Choice>
        <mc:Fallback>
          <w:pict>
            <v:line w14:anchorId="277FFB77" id="Connettore 1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1pt,6pt" to="449.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" strokecolor="#00206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82854"/>
    <w:multiLevelType w:val="multilevel"/>
    <w:tmpl w:val="99DAE8B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1F"/>
    <w:rsid w:val="00027E60"/>
    <w:rsid w:val="00047FE7"/>
    <w:rsid w:val="0007742A"/>
    <w:rsid w:val="000B215C"/>
    <w:rsid w:val="000C1D2D"/>
    <w:rsid w:val="000D64FC"/>
    <w:rsid w:val="000F20B4"/>
    <w:rsid w:val="00127624"/>
    <w:rsid w:val="001A1009"/>
    <w:rsid w:val="00205BEC"/>
    <w:rsid w:val="00281510"/>
    <w:rsid w:val="002C431C"/>
    <w:rsid w:val="002E5B4A"/>
    <w:rsid w:val="00303B46"/>
    <w:rsid w:val="00314D27"/>
    <w:rsid w:val="00342ED4"/>
    <w:rsid w:val="00353763"/>
    <w:rsid w:val="0037791C"/>
    <w:rsid w:val="003B43F7"/>
    <w:rsid w:val="00441B68"/>
    <w:rsid w:val="00494298"/>
    <w:rsid w:val="005018C8"/>
    <w:rsid w:val="00556123"/>
    <w:rsid w:val="005C52E9"/>
    <w:rsid w:val="006648D4"/>
    <w:rsid w:val="006841EC"/>
    <w:rsid w:val="006A1B1F"/>
    <w:rsid w:val="006C2FE9"/>
    <w:rsid w:val="007B6FC6"/>
    <w:rsid w:val="00821536"/>
    <w:rsid w:val="00903EBB"/>
    <w:rsid w:val="009B17C6"/>
    <w:rsid w:val="009B2F7F"/>
    <w:rsid w:val="00A056A9"/>
    <w:rsid w:val="00A0754C"/>
    <w:rsid w:val="00A40FC9"/>
    <w:rsid w:val="00A54704"/>
    <w:rsid w:val="00AA1F00"/>
    <w:rsid w:val="00C26242"/>
    <w:rsid w:val="00C46ED6"/>
    <w:rsid w:val="00C470A5"/>
    <w:rsid w:val="00C51750"/>
    <w:rsid w:val="00CA082E"/>
    <w:rsid w:val="00CB1AD2"/>
    <w:rsid w:val="00D118E0"/>
    <w:rsid w:val="00D31E73"/>
    <w:rsid w:val="00D43626"/>
    <w:rsid w:val="00D52D78"/>
    <w:rsid w:val="00E659A8"/>
    <w:rsid w:val="00E84D5D"/>
    <w:rsid w:val="00ED1593"/>
    <w:rsid w:val="00F15E64"/>
    <w:rsid w:val="00F2299A"/>
    <w:rsid w:val="00F37ABC"/>
    <w:rsid w:val="00F5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628CC"/>
  <w15:docId w15:val="{12EFA789-2CE9-4778-B445-207728FD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link w:val="Testocommento"/>
    <w:uiPriority w:val="99"/>
    <w:semiHidden/>
    <w:qFormat/>
    <w:rsid w:val="00821536"/>
    <w:rPr>
      <w:sz w:val="20"/>
      <w:szCs w:val="20"/>
    </w:rPr>
  </w:style>
  <w:style w:type="character" w:customStyle="1" w:styleId="IntestazioneCarattere">
    <w:name w:val="Intestazione Carattere"/>
    <w:basedOn w:val="Carpredefinitoparagrafo"/>
    <w:link w:val="Intestazione"/>
    <w:uiPriority w:val="99"/>
    <w:qFormat/>
    <w:rsid w:val="00821536"/>
    <w:rPr>
      <w:rFonts w:ascii="Arial" w:eastAsia="Times New Roman" w:hAnsi="Arial" w:cs="Times New Roman"/>
      <w:sz w:val="18"/>
      <w:szCs w:val="20"/>
      <w:lang w:val="en-GB"/>
    </w:rPr>
  </w:style>
  <w:style w:type="character" w:customStyle="1" w:styleId="LienInternet">
    <w:name w:val="Lien Internet"/>
    <w:basedOn w:val="Carpredefinitoparagrafo"/>
    <w:uiPriority w:val="99"/>
    <w:unhideWhenUsed/>
    <w:locked/>
    <w:rsid w:val="00821536"/>
    <w:rPr>
      <w:color w:val="0563C1" w:themeColor="hyperlink"/>
      <w:u w:val="single"/>
    </w:rPr>
  </w:style>
  <w:style w:type="character" w:customStyle="1" w:styleId="fontstyle01">
    <w:name w:val="fontstyle01"/>
    <w:basedOn w:val="Carpredefinitoparagrafo"/>
    <w:qFormat/>
    <w:rsid w:val="00821536"/>
    <w:rPr>
      <w:rFonts w:ascii="Calibri" w:hAnsi="Calibri" w:cs="Calibri"/>
      <w:b w:val="0"/>
      <w:bCs w:val="0"/>
      <w:i w:val="0"/>
      <w:iCs w:val="0"/>
      <w:color w:val="000000"/>
      <w:sz w:val="22"/>
      <w:szCs w:val="22"/>
    </w:rPr>
  </w:style>
  <w:style w:type="character" w:styleId="Rimandocommento">
    <w:name w:val="annotation reference"/>
    <w:basedOn w:val="Carpredefinitoparagrafo"/>
    <w:uiPriority w:val="99"/>
    <w:semiHidden/>
    <w:unhideWhenUsed/>
    <w:qFormat/>
    <w:rsid w:val="00821536"/>
    <w:rPr>
      <w:sz w:val="16"/>
      <w:szCs w:val="16"/>
    </w:rPr>
  </w:style>
  <w:style w:type="paragraph" w:styleId="Testocommento">
    <w:name w:val="annotation text"/>
    <w:basedOn w:val="Normale"/>
    <w:link w:val="TestocommentoCarattere"/>
    <w:uiPriority w:val="99"/>
    <w:semiHidden/>
    <w:unhideWhenUsed/>
    <w:qFormat/>
    <w:rsid w:val="00821536"/>
    <w:pPr>
      <w:tabs>
        <w:tab w:val="right" w:pos="7100"/>
      </w:tabs>
      <w:spacing w:after="0" w:line="240" w:lineRule="auto"/>
      <w:jc w:val="both"/>
    </w:pPr>
    <w:rPr>
      <w:sz w:val="20"/>
      <w:szCs w:val="20"/>
    </w:rPr>
  </w:style>
  <w:style w:type="character" w:customStyle="1" w:styleId="CommentTextChar1">
    <w:name w:val="Comment Text Char1"/>
    <w:basedOn w:val="Carpredefinitoparagrafo"/>
    <w:uiPriority w:val="99"/>
    <w:semiHidden/>
    <w:rsid w:val="00821536"/>
    <w:rPr>
      <w:sz w:val="20"/>
      <w:szCs w:val="20"/>
    </w:rPr>
  </w:style>
  <w:style w:type="paragraph" w:styleId="Intestazione">
    <w:name w:val="header"/>
    <w:basedOn w:val="Normale"/>
    <w:link w:val="IntestazioneCarattere"/>
    <w:uiPriority w:val="99"/>
    <w:unhideWhenUsed/>
    <w:rsid w:val="00821536"/>
    <w:pPr>
      <w:tabs>
        <w:tab w:val="center" w:pos="4819"/>
        <w:tab w:val="right" w:pos="7100"/>
        <w:tab w:val="right" w:pos="9638"/>
      </w:tabs>
      <w:spacing w:after="0" w:line="240" w:lineRule="auto"/>
      <w:jc w:val="both"/>
    </w:pPr>
    <w:rPr>
      <w:rFonts w:ascii="Arial" w:eastAsia="Times New Roman" w:hAnsi="Arial" w:cs="Times New Roman"/>
      <w:sz w:val="18"/>
      <w:szCs w:val="20"/>
      <w:lang w:val="en-GB"/>
    </w:rPr>
  </w:style>
  <w:style w:type="character" w:customStyle="1" w:styleId="HeaderChar1">
    <w:name w:val="Header Char1"/>
    <w:basedOn w:val="Carpredefinitoparagrafo"/>
    <w:uiPriority w:val="99"/>
    <w:semiHidden/>
    <w:rsid w:val="00821536"/>
  </w:style>
  <w:style w:type="paragraph" w:customStyle="1" w:styleId="AbstractBody">
    <w:name w:val="Abstract Body"/>
    <w:basedOn w:val="Normale"/>
    <w:qFormat/>
    <w:rsid w:val="00821536"/>
    <w:pPr>
      <w:tabs>
        <w:tab w:val="right" w:pos="7100"/>
      </w:tabs>
      <w:spacing w:after="0" w:line="240" w:lineRule="atLeast"/>
      <w:ind w:left="720" w:right="720"/>
      <w:jc w:val="both"/>
    </w:pPr>
    <w:rPr>
      <w:rFonts w:ascii="Times" w:eastAsia="Times New Roman" w:hAnsi="Times" w:cs="Times New Roman"/>
      <w:sz w:val="20"/>
      <w:szCs w:val="20"/>
    </w:rPr>
  </w:style>
  <w:style w:type="paragraph" w:customStyle="1" w:styleId="AbstractHeading">
    <w:name w:val="Abstract Heading"/>
    <w:basedOn w:val="Normale"/>
    <w:qFormat/>
    <w:rsid w:val="00821536"/>
    <w:pPr>
      <w:tabs>
        <w:tab w:val="right" w:pos="7100"/>
      </w:tabs>
      <w:spacing w:before="480" w:after="120" w:line="240" w:lineRule="atLeast"/>
      <w:ind w:firstLine="360"/>
      <w:jc w:val="both"/>
    </w:pPr>
    <w:rPr>
      <w:rFonts w:ascii="Times" w:eastAsia="Times New Roman" w:hAnsi="Times" w:cs="Times New Roman"/>
      <w:i/>
      <w:sz w:val="20"/>
      <w:szCs w:val="20"/>
    </w:rPr>
  </w:style>
  <w:style w:type="paragraph" w:styleId="Testofumetto">
    <w:name w:val="Balloon Text"/>
    <w:basedOn w:val="Normale"/>
    <w:link w:val="TestofumettoCarattere"/>
    <w:uiPriority w:val="99"/>
    <w:semiHidden/>
    <w:unhideWhenUsed/>
    <w:rsid w:val="008215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1536"/>
    <w:rPr>
      <w:rFonts w:ascii="Segoe UI" w:hAnsi="Segoe UI" w:cs="Segoe UI"/>
      <w:sz w:val="18"/>
      <w:szCs w:val="18"/>
    </w:rPr>
  </w:style>
  <w:style w:type="paragraph" w:styleId="Pidipagina">
    <w:name w:val="footer"/>
    <w:basedOn w:val="Normale"/>
    <w:link w:val="PidipaginaCarattere"/>
    <w:uiPriority w:val="99"/>
    <w:unhideWhenUsed/>
    <w:rsid w:val="00821536"/>
    <w:pPr>
      <w:tabs>
        <w:tab w:val="center" w:pos="4703"/>
        <w:tab w:val="right" w:pos="9406"/>
      </w:tabs>
      <w:spacing w:after="0" w:line="240" w:lineRule="auto"/>
    </w:pPr>
  </w:style>
  <w:style w:type="character" w:customStyle="1" w:styleId="PidipaginaCarattere">
    <w:name w:val="Piè di pagina Carattere"/>
    <w:basedOn w:val="Carpredefinitoparagrafo"/>
    <w:link w:val="Pidipagina"/>
    <w:uiPriority w:val="99"/>
    <w:rsid w:val="00821536"/>
  </w:style>
  <w:style w:type="paragraph" w:styleId="Soggettocommento">
    <w:name w:val="annotation subject"/>
    <w:basedOn w:val="Testocommento"/>
    <w:next w:val="Testocommento"/>
    <w:link w:val="SoggettocommentoCarattere"/>
    <w:uiPriority w:val="99"/>
    <w:semiHidden/>
    <w:unhideWhenUsed/>
    <w:rsid w:val="00C470A5"/>
    <w:pPr>
      <w:tabs>
        <w:tab w:val="clear" w:pos="7100"/>
      </w:tabs>
      <w:spacing w:after="160"/>
      <w:jc w:val="left"/>
    </w:pPr>
    <w:rPr>
      <w:b/>
      <w:bCs/>
    </w:rPr>
  </w:style>
  <w:style w:type="character" w:customStyle="1" w:styleId="SoggettocommentoCarattere">
    <w:name w:val="Soggetto commento Carattere"/>
    <w:basedOn w:val="TestocommentoCarattere"/>
    <w:link w:val="Soggettocommento"/>
    <w:uiPriority w:val="99"/>
    <w:semiHidden/>
    <w:rsid w:val="00C470A5"/>
    <w:rPr>
      <w:b/>
      <w:bCs/>
      <w:sz w:val="20"/>
      <w:szCs w:val="20"/>
    </w:rPr>
  </w:style>
  <w:style w:type="paragraph" w:styleId="Revisione">
    <w:name w:val="Revision"/>
    <w:hidden/>
    <w:uiPriority w:val="99"/>
    <w:semiHidden/>
    <w:rsid w:val="00377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gentric@univ-nante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BEF2-34C7-4363-84AC-1C5EC7AC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3262</Words>
  <Characters>18599</Characters>
  <Application>Microsoft Office Word</Application>
  <DocSecurity>0</DocSecurity>
  <Lines>154</Lines>
  <Paragraphs>43</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ALMANI Sikandar</dc:creator>
  <cp:lastModifiedBy>Sauro</cp:lastModifiedBy>
  <cp:revision>4</cp:revision>
  <dcterms:created xsi:type="dcterms:W3CDTF">2019-04-30T14:19:00Z</dcterms:created>
  <dcterms:modified xsi:type="dcterms:W3CDTF">2019-08-25T04:18:00Z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50b820fe-cf41-3cbd-b9b8-6eecb51709e4</vt:lpwstr>
  </property>
  <property fmtid="{D5CDD505-2E9C-101B-9397-08002B2CF9AE}" pid="24" name="Mendeley Citation Style_1">
    <vt:lpwstr>http://www.zotero.org/styles/ieee</vt:lpwstr>
  </property>
</Properties>
</file>