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8938D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72C8938E" w14:textId="28AC46FF" w:rsidR="00704BDF" w:rsidRPr="00462DCA" w:rsidRDefault="00462DCA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 w:rsidRPr="00462DCA"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  <w:t>The</w:t>
      </w:r>
      <w:r w:rsidR="0034608E" w:rsidRPr="00462DCA"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  <w:t xml:space="preserve"> Differential Gibbs </w:t>
      </w:r>
      <w:r w:rsidRPr="00462DCA"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  <w:t xml:space="preserve">and Helmholtz </w:t>
      </w:r>
      <w:r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  <w:t xml:space="preserve">Reactors </w:t>
      </w:r>
      <w:r w:rsidR="00EB4303"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  <w:t>for Ideal and Non-Ideal Gases</w:t>
      </w:r>
      <w:r w:rsidR="007A4F5C"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  <w:t xml:space="preserve"> and </w:t>
      </w:r>
      <w:r w:rsidR="003F0C06"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  <w:t>Selected Applications</w:t>
      </w:r>
    </w:p>
    <w:p w14:paraId="72C8938F" w14:textId="266FF687" w:rsidR="00DE0019" w:rsidRPr="0034608E" w:rsidRDefault="001C1456" w:rsidP="00704BDF">
      <w:pPr>
        <w:snapToGrid w:val="0"/>
        <w:spacing w:after="120"/>
        <w:jc w:val="center"/>
        <w:rPr>
          <w:rFonts w:eastAsia="SimSun"/>
          <w:color w:val="000000"/>
          <w:lang w:val="nb-NO" w:eastAsia="zh-CN"/>
        </w:rPr>
      </w:pPr>
      <w:r w:rsidRPr="0034608E">
        <w:rPr>
          <w:rFonts w:asciiTheme="minorHAnsi" w:eastAsia="SimSun" w:hAnsiTheme="minorHAnsi"/>
          <w:color w:val="000000"/>
          <w:sz w:val="24"/>
          <w:szCs w:val="24"/>
          <w:u w:val="single"/>
          <w:lang w:val="nb-NO" w:eastAsia="zh-CN"/>
        </w:rPr>
        <w:t>Sindre Bakke Øyen</w:t>
      </w:r>
      <w:r w:rsidR="00704BDF" w:rsidRPr="0034608E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nb-NO" w:eastAsia="zh-CN"/>
        </w:rPr>
        <w:t>1</w:t>
      </w:r>
      <w:r w:rsidR="002F4F27">
        <w:rPr>
          <w:rFonts w:asciiTheme="minorHAnsi" w:eastAsia="SimSun" w:hAnsiTheme="minorHAnsi"/>
          <w:color w:val="000000"/>
          <w:sz w:val="24"/>
          <w:szCs w:val="24"/>
          <w:lang w:val="nb-NO" w:eastAsia="zh-CN"/>
        </w:rPr>
        <w:t>,</w:t>
      </w:r>
      <w:r w:rsidR="00736B13" w:rsidRPr="0034608E">
        <w:rPr>
          <w:rFonts w:asciiTheme="minorHAnsi" w:eastAsia="SimSun" w:hAnsiTheme="minorHAnsi"/>
          <w:color w:val="000000"/>
          <w:sz w:val="24"/>
          <w:szCs w:val="24"/>
          <w:lang w:val="nb-NO" w:eastAsia="zh-CN"/>
        </w:rPr>
        <w:t xml:space="preserve"> </w:t>
      </w:r>
      <w:r w:rsidR="00F44EA8">
        <w:rPr>
          <w:rFonts w:asciiTheme="minorHAnsi" w:eastAsia="SimSun" w:hAnsiTheme="minorHAnsi"/>
          <w:color w:val="000000"/>
          <w:sz w:val="24"/>
          <w:szCs w:val="24"/>
          <w:lang w:val="nb-NO" w:eastAsia="zh-CN"/>
        </w:rPr>
        <w:t>Tore Haug-Warberg</w:t>
      </w:r>
      <w:r w:rsidR="000169A0" w:rsidRPr="000169A0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b-NO" w:eastAsia="zh-CN"/>
        </w:rPr>
        <w:t>1</w:t>
      </w:r>
      <w:r w:rsidR="00F44EA8">
        <w:rPr>
          <w:rFonts w:asciiTheme="minorHAnsi" w:eastAsia="SimSun" w:hAnsiTheme="minorHAnsi"/>
          <w:color w:val="000000"/>
          <w:sz w:val="24"/>
          <w:szCs w:val="24"/>
          <w:lang w:val="nb-NO" w:eastAsia="zh-CN"/>
        </w:rPr>
        <w:t>, Hugo Atle Jakobsen</w:t>
      </w:r>
      <w:r w:rsidR="000169A0" w:rsidRPr="000169A0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b-NO" w:eastAsia="zh-CN"/>
        </w:rPr>
        <w:t>1</w:t>
      </w:r>
      <w:r w:rsidR="00BF3C83">
        <w:rPr>
          <w:rFonts w:eastAsia="SimSun"/>
          <w:color w:val="000000"/>
          <w:lang w:val="nb-NO" w:eastAsia="zh-CN"/>
        </w:rPr>
        <w:t xml:space="preserve">, </w:t>
      </w:r>
      <w:r w:rsidR="00BF3C83" w:rsidRPr="0034608E">
        <w:rPr>
          <w:rFonts w:asciiTheme="minorHAnsi" w:eastAsia="SimSun" w:hAnsiTheme="minorHAnsi"/>
          <w:color w:val="000000"/>
          <w:sz w:val="24"/>
          <w:szCs w:val="24"/>
          <w:lang w:val="nb-NO" w:eastAsia="zh-CN"/>
        </w:rPr>
        <w:t>Jannike Solsvik</w:t>
      </w:r>
      <w:r w:rsidR="000169A0" w:rsidRPr="000169A0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b-NO" w:eastAsia="zh-CN"/>
        </w:rPr>
        <w:t>1</w:t>
      </w:r>
    </w:p>
    <w:p w14:paraId="72C89390" w14:textId="7DA167F0"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bookmarkStart w:id="0" w:name="_Hlk7431917"/>
      <w:r w:rsidR="00164FA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Norwegian University of Science and Technology, Sem </w:t>
      </w:r>
      <w:proofErr w:type="spellStart"/>
      <w:r w:rsidR="00164FA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Sælands</w:t>
      </w:r>
      <w:proofErr w:type="spellEnd"/>
      <w:r w:rsidR="00164FA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="00164FA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vei</w:t>
      </w:r>
      <w:proofErr w:type="spellEnd"/>
      <w:r w:rsidR="00E16A75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4</w:t>
      </w:r>
      <w:bookmarkEnd w:id="0"/>
    </w:p>
    <w:p w14:paraId="72C89391" w14:textId="71864527" w:rsidR="00704BDF" w:rsidRPr="00AE16F6" w:rsidRDefault="00704BDF" w:rsidP="00704BDF">
      <w:pPr>
        <w:snapToGrid w:val="0"/>
        <w:jc w:val="center"/>
        <w:rPr>
          <w:rFonts w:eastAsia="MS PGothic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hyperlink r:id="rId10" w:history="1">
        <w:r w:rsidR="00CF34B5" w:rsidRPr="00792FD2">
          <w:rPr>
            <w:rStyle w:val="Hyperlink"/>
            <w:rFonts w:asciiTheme="minorHAnsi" w:eastAsia="MS PGothic" w:hAnsiTheme="minorHAnsi"/>
            <w:bCs/>
            <w:i/>
            <w:iCs/>
            <w:sz w:val="20"/>
            <w:lang w:val="en-US"/>
          </w:rPr>
          <w:t>sindre.b.oyen@ntnu.no</w:t>
        </w:r>
      </w:hyperlink>
      <w:r w:rsidR="00F057D1" w:rsidRPr="00AE16F6">
        <w:rPr>
          <w:rFonts w:eastAsia="MS PGothic"/>
        </w:rPr>
        <w:t xml:space="preserve"> </w:t>
      </w:r>
    </w:p>
    <w:p w14:paraId="72C89392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457E0592" w14:textId="76CAFABF" w:rsidR="00F70521" w:rsidRPr="00EC66CC" w:rsidRDefault="00A43B4E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Fluid mechanics combined with thermodynamic</w:t>
      </w:r>
      <w:r w:rsidR="00B95DE2">
        <w:rPr>
          <w:rFonts w:asciiTheme="minorHAnsi" w:hAnsiTheme="minorHAnsi"/>
        </w:rPr>
        <w:t>s in continuity</w:t>
      </w:r>
      <w:r w:rsidR="00625C18">
        <w:rPr>
          <w:rFonts w:asciiTheme="minorHAnsi" w:hAnsiTheme="minorHAnsi"/>
        </w:rPr>
        <w:t xml:space="preserve"> equations</w:t>
      </w:r>
    </w:p>
    <w:p w14:paraId="72C89396" w14:textId="73F738B7" w:rsidR="00704BDF" w:rsidRDefault="002F2033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Rate expressions in </w:t>
      </w:r>
      <w:r w:rsidR="006013B2">
        <w:rPr>
          <w:rFonts w:asciiTheme="minorHAnsi" w:hAnsiTheme="minorHAnsi"/>
        </w:rPr>
        <w:t xml:space="preserve">classical reactors substituted out for minimizing </w:t>
      </w:r>
      <w:r>
        <w:rPr>
          <w:rFonts w:asciiTheme="minorHAnsi" w:hAnsiTheme="minorHAnsi"/>
        </w:rPr>
        <w:t xml:space="preserve">Gibbs free energy </w:t>
      </w:r>
    </w:p>
    <w:p w14:paraId="6E47B804" w14:textId="7B70EA79" w:rsidR="00F70521" w:rsidRPr="00EC66CC" w:rsidRDefault="004E2D73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theoretical upper limit at all </w:t>
      </w:r>
      <w:r w:rsidR="007909B7">
        <w:rPr>
          <w:rFonts w:asciiTheme="minorHAnsi" w:hAnsiTheme="minorHAnsi"/>
        </w:rPr>
        <w:t>points throughout the reactor</w:t>
      </w:r>
    </w:p>
    <w:p w14:paraId="72C89397" w14:textId="77777777"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14:paraId="72C89398" w14:textId="77777777"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09CF0229" w14:textId="57309482" w:rsidR="00021994" w:rsidRDefault="004672BA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 chemical </w:t>
      </w:r>
      <w:r w:rsidR="007B4422">
        <w:rPr>
          <w:rFonts w:asciiTheme="minorHAnsi" w:eastAsia="MS PGothic" w:hAnsiTheme="minorHAnsi"/>
          <w:color w:val="000000"/>
          <w:sz w:val="22"/>
          <w:szCs w:val="22"/>
          <w:lang w:val="en-US"/>
        </w:rPr>
        <w:t>process design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equilibrium calculations are frequently carried out to </w:t>
      </w:r>
      <w:r w:rsidR="00374FCB">
        <w:rPr>
          <w:rFonts w:asciiTheme="minorHAnsi" w:eastAsia="MS PGothic" w:hAnsiTheme="minorHAnsi"/>
          <w:color w:val="000000"/>
          <w:sz w:val="22"/>
          <w:szCs w:val="22"/>
          <w:lang w:val="en-US"/>
        </w:rPr>
        <w:t>explore whether the construction of a production plant is profitable or not. Simulation tools, such as Aspen HYSYS</w:t>
      </w:r>
      <w:r w:rsidR="00585ED1">
        <w:rPr>
          <w:rFonts w:asciiTheme="minorHAnsi" w:eastAsia="MS PGothic" w:hAnsiTheme="minorHAnsi"/>
          <w:color w:val="000000"/>
          <w:sz w:val="22"/>
          <w:szCs w:val="22"/>
          <w:lang w:val="en-US"/>
        </w:rPr>
        <w:t>, provide the tools for this kind of calculation</w:t>
      </w:r>
      <w:r w:rsidR="000B409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: the equilibrium reactor or the Gibbs reactor. </w:t>
      </w:r>
      <w:r w:rsidR="00E83292">
        <w:rPr>
          <w:rFonts w:asciiTheme="minorHAnsi" w:eastAsia="MS PGothic" w:hAnsiTheme="minorHAnsi"/>
          <w:color w:val="000000"/>
          <w:sz w:val="22"/>
          <w:szCs w:val="22"/>
          <w:lang w:val="en-US"/>
        </w:rPr>
        <w:t>Both obtain chemical reaction equilibrium</w:t>
      </w:r>
      <w:r w:rsidR="00300A3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by minimizing Gibbs free energy at the specified temperature and pressure</w:t>
      </w:r>
      <w:r w:rsidR="00E8329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</w:t>
      </w:r>
      <w:r w:rsidR="00AB00D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displaying the theoretical maximum production. </w:t>
      </w:r>
      <w:r w:rsidR="00CA26AB">
        <w:rPr>
          <w:rFonts w:asciiTheme="minorHAnsi" w:eastAsia="MS PGothic" w:hAnsiTheme="minorHAnsi"/>
          <w:color w:val="000000"/>
          <w:sz w:val="22"/>
          <w:szCs w:val="22"/>
          <w:lang w:val="en-US"/>
        </w:rPr>
        <w:t>However, this does not account for the real conditions in a reactor such as temperature</w:t>
      </w:r>
      <w:r w:rsidR="0037616A">
        <w:rPr>
          <w:rFonts w:asciiTheme="minorHAnsi" w:eastAsia="MS PGothic" w:hAnsiTheme="minorHAnsi"/>
          <w:color w:val="000000"/>
          <w:sz w:val="22"/>
          <w:szCs w:val="22"/>
          <w:lang w:val="en-US"/>
        </w:rPr>
        <w:t>, pressure and velocity gradients.</w:t>
      </w:r>
      <w:r w:rsidR="007B442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A2EE3">
        <w:rPr>
          <w:rFonts w:asciiTheme="minorHAnsi" w:eastAsia="MS PGothic" w:hAnsiTheme="minorHAnsi"/>
          <w:color w:val="000000"/>
          <w:sz w:val="22"/>
          <w:szCs w:val="22"/>
          <w:lang w:val="en-US"/>
        </w:rPr>
        <w:t>This work is a continuation of the differential Gibbs and Helmholtz reactors presented by Solsvik</w:t>
      </w:r>
      <w:r w:rsidR="00C751C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et al.</w:t>
      </w:r>
      <w:r w:rsidR="00AA2EE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[</w:t>
      </w:r>
      <w:r w:rsidR="008E5546">
        <w:rPr>
          <w:rFonts w:asciiTheme="minorHAnsi" w:eastAsia="MS PGothic" w:hAnsiTheme="minorHAnsi"/>
          <w:color w:val="000000"/>
          <w:sz w:val="22"/>
          <w:szCs w:val="22"/>
          <w:lang w:val="en-US"/>
        </w:rPr>
        <w:t>1</w:t>
      </w:r>
      <w:r w:rsidR="00AA2EE3">
        <w:rPr>
          <w:rFonts w:asciiTheme="minorHAnsi" w:eastAsia="MS PGothic" w:hAnsiTheme="minorHAnsi"/>
          <w:color w:val="000000"/>
          <w:sz w:val="22"/>
          <w:szCs w:val="22"/>
          <w:lang w:val="en-US"/>
        </w:rPr>
        <w:t>], where the idealized plug flow reactor</w:t>
      </w:r>
      <w:r w:rsidR="00A53E2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e.g. </w:t>
      </w:r>
      <w:proofErr w:type="spellStart"/>
      <w:r w:rsidR="00A53E27">
        <w:rPr>
          <w:rFonts w:asciiTheme="minorHAnsi" w:eastAsia="MS PGothic" w:hAnsiTheme="minorHAnsi"/>
          <w:color w:val="000000"/>
          <w:sz w:val="22"/>
          <w:szCs w:val="22"/>
          <w:lang w:val="en-US"/>
        </w:rPr>
        <w:t>Fogler</w:t>
      </w:r>
      <w:proofErr w:type="spellEnd"/>
      <w:r w:rsidR="00A53E2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[</w:t>
      </w:r>
      <w:r w:rsidR="008E5546">
        <w:rPr>
          <w:rFonts w:asciiTheme="minorHAnsi" w:eastAsia="MS PGothic" w:hAnsiTheme="minorHAnsi"/>
          <w:color w:val="000000"/>
          <w:sz w:val="22"/>
          <w:szCs w:val="22"/>
          <w:lang w:val="en-US"/>
        </w:rPr>
        <w:t>2</w:t>
      </w:r>
      <w:r w:rsidR="00A53E27">
        <w:rPr>
          <w:rFonts w:asciiTheme="minorHAnsi" w:eastAsia="MS PGothic" w:hAnsiTheme="minorHAnsi"/>
          <w:color w:val="000000"/>
          <w:sz w:val="22"/>
          <w:szCs w:val="22"/>
          <w:lang w:val="en-US"/>
        </w:rPr>
        <w:t>],</w:t>
      </w:r>
      <w:r w:rsidR="00AA2EE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with ideal gas conditions were used to illustrate </w:t>
      </w:r>
      <w:r w:rsidR="007B442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chemical </w:t>
      </w:r>
      <w:r w:rsidR="00807C2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reactor </w:t>
      </w:r>
      <w:r w:rsidR="00BF7857">
        <w:rPr>
          <w:rFonts w:asciiTheme="minorHAnsi" w:eastAsia="MS PGothic" w:hAnsiTheme="minorHAnsi"/>
          <w:color w:val="000000"/>
          <w:sz w:val="22"/>
          <w:szCs w:val="22"/>
          <w:lang w:val="en-US"/>
        </w:rPr>
        <w:t>combined with the thermodynamic equilibrium</w:t>
      </w:r>
      <w:r w:rsidR="00B060B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condition</w:t>
      </w:r>
      <w:r w:rsidR="008D14CF">
        <w:rPr>
          <w:rFonts w:asciiTheme="minorHAnsi" w:eastAsia="MS PGothic" w:hAnsiTheme="minorHAnsi"/>
          <w:color w:val="000000"/>
          <w:sz w:val="22"/>
          <w:szCs w:val="22"/>
          <w:lang w:val="en-US"/>
        </w:rPr>
        <w:t>, i.e. minimum Gibbs energy [</w:t>
      </w:r>
      <w:r w:rsidR="008E5546">
        <w:rPr>
          <w:rFonts w:asciiTheme="minorHAnsi" w:eastAsia="MS PGothic" w:hAnsiTheme="minorHAnsi"/>
          <w:color w:val="000000"/>
          <w:sz w:val="22"/>
          <w:szCs w:val="22"/>
          <w:lang w:val="en-US"/>
        </w:rPr>
        <w:t>3</w:t>
      </w:r>
      <w:r w:rsidR="008D14CF">
        <w:rPr>
          <w:rFonts w:asciiTheme="minorHAnsi" w:eastAsia="MS PGothic" w:hAnsiTheme="minorHAnsi"/>
          <w:color w:val="000000"/>
          <w:sz w:val="22"/>
          <w:szCs w:val="22"/>
          <w:lang w:val="en-US"/>
        </w:rPr>
        <w:t>]</w:t>
      </w:r>
      <w:r w:rsidR="00B060B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B46346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reactor displays</w:t>
      </w:r>
      <w:r w:rsidR="002075C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maximized production at each </w:t>
      </w:r>
      <w:r w:rsidR="00E20BCF">
        <w:rPr>
          <w:rFonts w:asciiTheme="minorHAnsi" w:eastAsia="MS PGothic" w:hAnsiTheme="minorHAnsi"/>
          <w:color w:val="000000"/>
          <w:sz w:val="22"/>
          <w:szCs w:val="22"/>
          <w:lang w:val="en-US"/>
        </w:rPr>
        <w:t>point throughout the reactor</w:t>
      </w:r>
      <w:r w:rsidR="00A670B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giving insight on </w:t>
      </w:r>
      <w:r w:rsidR="000A709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both the deviation from </w:t>
      </w:r>
      <w:r w:rsidR="00105B1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optimality </w:t>
      </w:r>
      <w:r w:rsidR="000A709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as well as </w:t>
      </w:r>
      <w:r w:rsidR="00EE6639">
        <w:rPr>
          <w:rFonts w:asciiTheme="minorHAnsi" w:eastAsia="MS PGothic" w:hAnsiTheme="minorHAnsi"/>
          <w:color w:val="000000"/>
          <w:sz w:val="22"/>
          <w:szCs w:val="22"/>
          <w:lang w:val="en-US"/>
        </w:rPr>
        <w:t>how high/low the temperature can get at its extremes.</w:t>
      </w:r>
    </w:p>
    <w:p w14:paraId="72C8939A" w14:textId="271FCB82"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11DBD061" w14:textId="1B2277FB" w:rsidR="002747B1" w:rsidRPr="00EF32D4" w:rsidRDefault="006575B1" w:rsidP="00704BDF">
      <w:pPr>
        <w:snapToGrid w:val="0"/>
        <w:spacing w:before="240" w:line="300" w:lineRule="auto"/>
        <w:rPr>
          <w:rFonts w:eastAsia="MS PGothic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idealized </w:t>
      </w:r>
      <w:r w:rsidR="0053720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plug flow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reactor </w:t>
      </w:r>
      <w:r w:rsidR="009514F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model </w:t>
      </w:r>
      <w:r w:rsidR="006C079C">
        <w:rPr>
          <w:rFonts w:asciiTheme="minorHAnsi" w:eastAsia="MS PGothic" w:hAnsiTheme="minorHAnsi"/>
          <w:color w:val="000000"/>
          <w:sz w:val="22"/>
          <w:szCs w:val="22"/>
          <w:lang w:val="en-US"/>
        </w:rPr>
        <w:t>with</w:t>
      </w:r>
      <w:r w:rsidR="009C249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E65A75">
        <w:rPr>
          <w:rFonts w:asciiTheme="minorHAnsi" w:eastAsia="MS PGothic" w:hAnsiTheme="minorHAnsi"/>
          <w:color w:val="000000"/>
          <w:sz w:val="22"/>
          <w:szCs w:val="22"/>
          <w:lang w:val="en-US"/>
        </w:rPr>
        <w:t>Ergun’s equation</w:t>
      </w:r>
      <w:r w:rsidR="00C0605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used by Solsvik et al. [</w:t>
      </w:r>
      <w:r w:rsidR="008E5546">
        <w:rPr>
          <w:rFonts w:asciiTheme="minorHAnsi" w:eastAsia="MS PGothic" w:hAnsiTheme="minorHAnsi"/>
          <w:color w:val="000000"/>
          <w:sz w:val="22"/>
          <w:szCs w:val="22"/>
          <w:lang w:val="en-US"/>
        </w:rPr>
        <w:t>1</w:t>
      </w:r>
      <w:r w:rsidR="00C0605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] </w:t>
      </w:r>
      <w:r w:rsidR="00FC5A3D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C0605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still used</w:t>
      </w:r>
      <w:r w:rsidR="0060131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19439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ideal gas model </w:t>
      </w:r>
      <w:r w:rsidR="007F3394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19439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used initially, </w:t>
      </w:r>
      <w:r w:rsidR="00ED19E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after successfully converging this problem, </w:t>
      </w:r>
      <w:r w:rsidR="009549E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model is extended to also consider </w:t>
      </w:r>
      <w:r w:rsidR="00E65CEB">
        <w:rPr>
          <w:rFonts w:asciiTheme="minorHAnsi" w:eastAsia="MS PGothic" w:hAnsiTheme="minorHAnsi"/>
          <w:color w:val="000000"/>
          <w:sz w:val="22"/>
          <w:szCs w:val="22"/>
          <w:lang w:val="en-US"/>
        </w:rPr>
        <w:t>equations of state for non-ideal gas</w:t>
      </w:r>
      <w:r w:rsidR="00ED5C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behavior</w:t>
      </w:r>
      <w:r w:rsidR="00CF36D2">
        <w:rPr>
          <w:rFonts w:asciiTheme="minorHAnsi" w:eastAsia="MS PGothic" w:hAnsiTheme="minorHAnsi"/>
          <w:color w:val="000000"/>
          <w:sz w:val="22"/>
          <w:szCs w:val="22"/>
          <w:lang w:val="en-US"/>
        </w:rPr>
        <w:t>. This affect</w:t>
      </w:r>
      <w:r w:rsidR="00D32BC0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CF36D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both the reactor models as well as the thermodynamic equilibrium calculation.</w:t>
      </w:r>
      <w:r w:rsidR="00BA15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046A5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simulations </w:t>
      </w:r>
      <w:r w:rsidR="00060F0C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="00046A5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repeated for several </w:t>
      </w:r>
      <w:r w:rsidR="00E65CE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chemical </w:t>
      </w:r>
      <w:r w:rsidR="00046A5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systems, </w:t>
      </w:r>
      <w:r w:rsidR="005D33E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numerical schemes and </w:t>
      </w:r>
      <w:r w:rsidR="009438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both the differential Gibbs and Helmholtz reactors. The results </w:t>
      </w:r>
      <w:r w:rsidR="0029482B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="009438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then compared to classical reactor models with rate expressions to see how </w:t>
      </w:r>
      <w:r w:rsidR="003D51DD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compositions differ throughout the reactor.</w:t>
      </w:r>
      <w:r w:rsidR="00BB7FF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numerical scheme chosen will impact the </w:t>
      </w:r>
      <w:r w:rsidR="001374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complexity of the algorithm </w:t>
      </w:r>
      <w:r w:rsidR="002D6A28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 solving the reactor model and, hence, the</w:t>
      </w:r>
      <w:r w:rsidR="004E083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F6315">
        <w:rPr>
          <w:rFonts w:asciiTheme="minorHAnsi" w:eastAsia="MS PGothic" w:hAnsiTheme="minorHAnsi"/>
          <w:color w:val="000000"/>
          <w:sz w:val="22"/>
          <w:szCs w:val="22"/>
          <w:lang w:val="en-US"/>
        </w:rPr>
        <w:t>choice of energy surface</w:t>
      </w:r>
      <w:r w:rsidR="0024151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minimize</w:t>
      </w:r>
      <w:r w:rsidR="008F6315">
        <w:rPr>
          <w:rFonts w:asciiTheme="minorHAnsi" w:eastAsia="MS PGothic" w:hAnsiTheme="minorHAnsi"/>
          <w:color w:val="000000"/>
          <w:sz w:val="22"/>
          <w:szCs w:val="22"/>
          <w:lang w:val="en-US"/>
        </w:rPr>
        <w:t>, e.g. Gibbs or Helmholtz energy.</w:t>
      </w:r>
    </w:p>
    <w:p w14:paraId="1D60D566" w14:textId="77777777" w:rsidR="00F328C6" w:rsidRDefault="00F328C6" w:rsidP="00704BDF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</w:p>
    <w:p w14:paraId="72C8939C" w14:textId="72C2270B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lastRenderedPageBreak/>
        <w:t>3. Results and discussion</w:t>
      </w:r>
    </w:p>
    <w:p w14:paraId="4304F4A9" w14:textId="17E2C379" w:rsidR="00C17524" w:rsidRPr="007961D9" w:rsidRDefault="00F454B1" w:rsidP="00704BDF">
      <w:pPr>
        <w:snapToGrid w:val="0"/>
        <w:spacing w:after="120"/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</w:pPr>
      <w:r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R</w:t>
      </w:r>
      <w:r w:rsidR="005A6B87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esults</w:t>
      </w:r>
      <w:r w:rsidR="00AF0441" w:rsidRPr="007961D9">
        <w:rPr>
          <w:rFonts w:asciiTheme="minorHAnsi" w:eastAsia="MS PGothic" w:hAnsiTheme="minorHAnsi" w:cstheme="minorHAnsi"/>
          <w:sz w:val="22"/>
          <w:szCs w:val="22"/>
        </w:rPr>
        <w:t xml:space="preserve"> presented here</w:t>
      </w:r>
      <w:r w:rsidR="005A6B87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</w:t>
      </w:r>
      <w:r w:rsidR="00C04868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include the </w:t>
      </w:r>
      <w:r w:rsidR="00060F0C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production of methanol from </w:t>
      </w:r>
      <w:r w:rsidR="00CF3D80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synthesis gas</w:t>
      </w:r>
      <w:r w:rsidR="00FA6486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, </w:t>
      </w:r>
      <w:r w:rsidR="00AF0441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a mixture of H</w:t>
      </w:r>
      <w:r w:rsidR="00AF0441" w:rsidRPr="007961D9">
        <w:rPr>
          <w:rFonts w:asciiTheme="minorHAnsi" w:eastAsia="MS PGothic" w:hAnsiTheme="minorHAnsi" w:cstheme="minorHAnsi"/>
          <w:color w:val="000000"/>
          <w:sz w:val="22"/>
          <w:szCs w:val="22"/>
          <w:vertAlign w:val="subscript"/>
          <w:lang w:val="en-US"/>
        </w:rPr>
        <w:t>2</w:t>
      </w:r>
      <w:r w:rsidR="00AF0441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, CO and CO</w:t>
      </w:r>
      <w:r w:rsidR="00AF0441" w:rsidRPr="007961D9">
        <w:rPr>
          <w:rFonts w:asciiTheme="minorHAnsi" w:eastAsia="MS PGothic" w:hAnsiTheme="minorHAnsi" w:cstheme="minorHAnsi"/>
          <w:caps/>
          <w:sz w:val="22"/>
          <w:szCs w:val="22"/>
          <w:vertAlign w:val="subscript"/>
        </w:rPr>
        <w:t>2</w:t>
      </w:r>
      <w:r w:rsidR="00CC0935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. </w:t>
      </w:r>
      <w:r w:rsidR="00DD5637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Results obtained with the differential Gibbs reactor </w:t>
      </w:r>
      <w:r w:rsidR="009563FD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are presented below.</w:t>
      </w:r>
      <w:r w:rsidR="00CF3D80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</w:t>
      </w:r>
      <w:r w:rsidR="006B0F76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As seen, the immediate equilibrium next to the inlet </w:t>
      </w:r>
      <w:r w:rsidR="004E1F6A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yields a steep rise in temperature. The</w:t>
      </w:r>
      <w:r w:rsidR="00BC609C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exothermic</w:t>
      </w:r>
      <w:r w:rsidR="004E1F6A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reaction also makes the density drop</w:t>
      </w:r>
      <w:r w:rsidR="00B04B49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, which by continuity makes the velocity rise. </w:t>
      </w:r>
      <w:r w:rsidR="00642A19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The </w:t>
      </w:r>
      <w:r w:rsidR="0065492C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methanol production is however inhibited by the high temperature, and </w:t>
      </w:r>
      <w:r w:rsidR="00F02AE2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hence, the </w:t>
      </w:r>
      <w:r w:rsidR="00BC609C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mole fraction of methanol is not at its maximum value. As the reactor is cooled</w:t>
      </w:r>
      <w:r w:rsidR="005B3585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, the mole fraction slowly rises, and at </w:t>
      </w:r>
      <w:r w:rsidR="00EC75CF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approximately 4 meters, the value stabilizes.</w:t>
      </w:r>
      <w:r w:rsidR="00C17524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</w:t>
      </w:r>
      <w:r w:rsidR="00DE7C2B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The density </w:t>
      </w:r>
      <w:r w:rsidR="0012419A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rises to this point as well, causing the velocity to drop. After </w:t>
      </w:r>
      <w:r w:rsidR="00E45000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4 meters, only the pressure drop from Ergun’s equation affects the velocity and density </w:t>
      </w:r>
      <w:r w:rsidR="00824985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to some degree.</w:t>
      </w:r>
      <w:r w:rsidR="00DD620A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However, this has no significant impact on the equilibrium composition</w:t>
      </w:r>
      <w:r w:rsidR="004146ED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, since the pressure drop is relatively small.</w:t>
      </w:r>
    </w:p>
    <w:p w14:paraId="72C8939D" w14:textId="5D23D73C" w:rsidR="00704BDF" w:rsidRPr="007961D9" w:rsidRDefault="00135299" w:rsidP="00704BDF">
      <w:pPr>
        <w:snapToGrid w:val="0"/>
        <w:spacing w:after="120"/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</w:pPr>
      <w:r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The apparent bump in carbon dioxide</w:t>
      </w:r>
      <w:r w:rsidR="00BC5501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 xml:space="preserve"> mole fraction is caused by the </w:t>
      </w:r>
      <w:r w:rsidR="00984AE2" w:rsidRPr="007961D9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following reaction reversing:</w:t>
      </w:r>
    </w:p>
    <w:p w14:paraId="17DAE04E" w14:textId="5C4DE50C" w:rsidR="00984AE2" w:rsidRPr="00984AE2" w:rsidRDefault="00984AE2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m:oMathPara>
        <m:oMath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C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O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+3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=C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OH+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O</m:t>
          </m:r>
        </m:oMath>
      </m:oMathPara>
    </w:p>
    <w:p w14:paraId="3358DA59" w14:textId="15EFDA95" w:rsidR="00984AE2" w:rsidRDefault="00984AE2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</w:rPr>
        <w:t xml:space="preserve">while the following reaction </w:t>
      </w:r>
      <w:r w:rsidR="00FF0FE5">
        <w:rPr>
          <w:rFonts w:asciiTheme="minorHAnsi" w:eastAsia="MS PGothic" w:hAnsiTheme="minorHAnsi"/>
          <w:color w:val="000000"/>
          <w:sz w:val="22"/>
          <w:szCs w:val="22"/>
        </w:rPr>
        <w:t>is shifted towards right:</w:t>
      </w:r>
    </w:p>
    <w:p w14:paraId="2DA141C6" w14:textId="6CE9B654" w:rsidR="00FF0FE5" w:rsidRPr="00FF0FE5" w:rsidRDefault="00FF0FE5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m:oMathPara>
        <m:oMath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CO+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=C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</w:rPr>
            <m:t>OH</m:t>
          </m:r>
        </m:oMath>
      </m:oMathPara>
    </w:p>
    <w:p w14:paraId="5D049A44" w14:textId="3E1EDA73" w:rsidR="00FF0FE5" w:rsidRPr="00FF0FE5" w:rsidRDefault="003E269D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</w:rPr>
        <w:t>Therefore,</w:t>
      </w:r>
      <w:r w:rsidR="00FF0FE5">
        <w:rPr>
          <w:rFonts w:asciiTheme="minorHAnsi" w:eastAsia="MS PGothic" w:hAnsiTheme="minorHAnsi"/>
          <w:color w:val="000000"/>
          <w:sz w:val="22"/>
          <w:szCs w:val="22"/>
        </w:rPr>
        <w:t xml:space="preserve"> only the mole fraction of H</w:t>
      </w:r>
      <w:r w:rsidR="00FF0FE5" w:rsidRPr="00FF0FE5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2</w:t>
      </w:r>
      <w:r w:rsidR="00FF0FE5">
        <w:rPr>
          <w:rFonts w:asciiTheme="minorHAnsi" w:eastAsia="MS PGothic" w:hAnsiTheme="minorHAnsi"/>
          <w:color w:val="000000"/>
          <w:sz w:val="22"/>
          <w:szCs w:val="22"/>
        </w:rPr>
        <w:t>O and CO</w:t>
      </w:r>
      <w:r w:rsidR="00FF0FE5" w:rsidRPr="00FF0FE5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2</w:t>
      </w:r>
      <w:r w:rsidR="00FF0FE5">
        <w:rPr>
          <w:rFonts w:asciiTheme="minorHAnsi" w:eastAsia="MS PGothic" w:hAnsiTheme="minorHAnsi"/>
          <w:color w:val="000000"/>
          <w:sz w:val="22"/>
          <w:szCs w:val="22"/>
        </w:rPr>
        <w:t xml:space="preserve"> is</w:t>
      </w:r>
      <w:r w:rsidR="00E55031">
        <w:rPr>
          <w:rFonts w:asciiTheme="minorHAnsi" w:eastAsia="MS PGothic" w:hAnsiTheme="minorHAnsi"/>
          <w:color w:val="000000"/>
          <w:sz w:val="22"/>
          <w:szCs w:val="22"/>
        </w:rPr>
        <w:t xml:space="preserve"> visually </w:t>
      </w:r>
      <w:r>
        <w:rPr>
          <w:rFonts w:asciiTheme="minorHAnsi" w:eastAsia="MS PGothic" w:hAnsiTheme="minorHAnsi"/>
          <w:color w:val="000000"/>
          <w:sz w:val="22"/>
          <w:szCs w:val="22"/>
        </w:rPr>
        <w:t>apparent</w:t>
      </w:r>
      <w:r w:rsidR="00777905">
        <w:rPr>
          <w:rFonts w:asciiTheme="minorHAnsi" w:eastAsia="MS PGothic" w:hAnsiTheme="minorHAnsi"/>
          <w:color w:val="000000"/>
          <w:sz w:val="22"/>
          <w:szCs w:val="22"/>
        </w:rPr>
        <w:t>.</w:t>
      </w:r>
    </w:p>
    <w:p w14:paraId="72C8939E" w14:textId="04B6902C" w:rsidR="00704BDF" w:rsidRPr="00DE0019" w:rsidRDefault="00C63496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  <w:r>
        <w:rPr>
          <w:rFonts w:asciiTheme="minorHAnsi" w:eastAsia="MS PGothic" w:hAnsiTheme="minorHAnsi"/>
          <w:noProof/>
          <w:color w:val="000000"/>
        </w:rPr>
        <w:drawing>
          <wp:inline distT="0" distB="0" distL="0" distR="0" wp14:anchorId="18A68329" wp14:editId="320AA419">
            <wp:extent cx="2638425" cy="163252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88" cy="164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MS PGothic" w:hAnsiTheme="minorHAnsi"/>
          <w:noProof/>
          <w:color w:val="000000"/>
        </w:rPr>
        <w:drawing>
          <wp:inline distT="0" distB="0" distL="0" distR="0" wp14:anchorId="0E10757C" wp14:editId="0F8D9FEF">
            <wp:extent cx="2632364" cy="1628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723" cy="17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93A0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72C893A1" w14:textId="162B2797" w:rsidR="00704BDF" w:rsidRPr="008D0BEB" w:rsidRDefault="0067355E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model </w:t>
      </w:r>
      <w:r w:rsidR="006114C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considered suggests an approach for combining fluid flow with thermodynamic equilibrium. </w:t>
      </w:r>
      <w:r w:rsidR="0048333D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thermodynamic part is a</w:t>
      </w:r>
      <w:r w:rsidR="006114C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useful tool in the lack of reaction </w:t>
      </w:r>
      <w:r w:rsidR="002550E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rate kinetics </w:t>
      </w:r>
      <w:r w:rsidR="00964E2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in a process design </w:t>
      </w:r>
      <w:r w:rsidR="00E14C57">
        <w:rPr>
          <w:rFonts w:asciiTheme="minorHAnsi" w:eastAsia="MS PGothic" w:hAnsiTheme="minorHAnsi"/>
          <w:color w:val="000000"/>
          <w:sz w:val="22"/>
          <w:szCs w:val="22"/>
          <w:lang w:val="en-US"/>
        </w:rPr>
        <w:t>feasibility study</w:t>
      </w:r>
      <w:r w:rsidR="00B34E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while </w:t>
      </w:r>
      <w:r w:rsidR="0048333D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fluid</w:t>
      </w:r>
      <w:r w:rsidR="004162E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48333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dynamic part </w:t>
      </w:r>
      <w:r w:rsidR="00B34EA4">
        <w:rPr>
          <w:rFonts w:asciiTheme="minorHAnsi" w:eastAsia="MS PGothic" w:hAnsiTheme="minorHAnsi"/>
          <w:color w:val="000000"/>
          <w:sz w:val="22"/>
          <w:szCs w:val="22"/>
          <w:lang w:val="en-US"/>
        </w:rPr>
        <w:t>retain</w:t>
      </w:r>
      <w:r w:rsidR="004162EC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B34E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</w:t>
      </w:r>
      <w:r w:rsidR="005B06A7">
        <w:rPr>
          <w:rFonts w:asciiTheme="minorHAnsi" w:eastAsia="MS PGothic" w:hAnsiTheme="minorHAnsi"/>
          <w:color w:val="000000"/>
          <w:sz w:val="22"/>
          <w:szCs w:val="22"/>
          <w:lang w:val="en-US"/>
        </w:rPr>
        <w:t>effects of fluid flow</w:t>
      </w:r>
      <w:r w:rsidR="00964E2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The </w:t>
      </w:r>
      <w:r w:rsidR="00E14C5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profiles </w:t>
      </w:r>
      <w:r w:rsidR="005B06A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from </w:t>
      </w:r>
      <w:r w:rsidR="0048333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291DA3">
        <w:rPr>
          <w:rFonts w:asciiTheme="minorHAnsi" w:eastAsia="MS PGothic" w:hAnsiTheme="minorHAnsi"/>
          <w:color w:val="000000"/>
          <w:sz w:val="22"/>
          <w:szCs w:val="22"/>
          <w:lang w:val="en-US"/>
        </w:rPr>
        <w:t>fluid dynamic part</w:t>
      </w:r>
      <w:r w:rsidR="0048333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can</w:t>
      </w:r>
      <w:r w:rsidR="0077527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291DA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also </w:t>
      </w:r>
      <w:r w:rsidR="0077527E">
        <w:rPr>
          <w:rFonts w:asciiTheme="minorHAnsi" w:eastAsia="MS PGothic" w:hAnsiTheme="minorHAnsi"/>
          <w:color w:val="000000"/>
          <w:sz w:val="22"/>
          <w:szCs w:val="22"/>
          <w:lang w:val="en-US"/>
        </w:rPr>
        <w:t>be used to characterize worst-case scenarios</w:t>
      </w:r>
      <w:r w:rsidR="00216D21">
        <w:rPr>
          <w:rFonts w:asciiTheme="minorHAnsi" w:eastAsia="MS PGothic" w:hAnsiTheme="minorHAnsi"/>
          <w:color w:val="000000"/>
          <w:sz w:val="22"/>
          <w:szCs w:val="22"/>
          <w:lang w:val="en-US"/>
        </w:rPr>
        <w:t>, such as steep temperature rise</w:t>
      </w:r>
      <w:r w:rsidR="00C716DF">
        <w:rPr>
          <w:rFonts w:asciiTheme="minorHAnsi" w:eastAsia="MS PGothic" w:hAnsiTheme="minorHAnsi"/>
          <w:color w:val="000000"/>
          <w:sz w:val="22"/>
          <w:szCs w:val="22"/>
          <w:lang w:val="en-US"/>
        </w:rPr>
        <w:t>, and therefore in risk assessment and online operation</w:t>
      </w:r>
      <w:r w:rsidR="00291DA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making the model a </w:t>
      </w:r>
      <w:r w:rsidR="00DC509F">
        <w:rPr>
          <w:rFonts w:asciiTheme="minorHAnsi" w:eastAsia="MS PGothic" w:hAnsiTheme="minorHAnsi"/>
          <w:color w:val="000000"/>
          <w:sz w:val="22"/>
          <w:szCs w:val="22"/>
          <w:lang w:val="en-US"/>
        </w:rPr>
        <w:t>proactive</w:t>
      </w:r>
      <w:r w:rsidR="00291DA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choice.</w:t>
      </w:r>
    </w:p>
    <w:p w14:paraId="72C893A2" w14:textId="0160C786" w:rsidR="00704BDF" w:rsidRPr="00875A95" w:rsidRDefault="00704BDF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s-ES" w:eastAsia="zh-CN"/>
        </w:rPr>
      </w:pPr>
      <w:proofErr w:type="spellStart"/>
      <w:r w:rsidRPr="00875A95">
        <w:rPr>
          <w:rFonts w:asciiTheme="minorHAnsi" w:eastAsia="MS PGothic" w:hAnsiTheme="minorHAnsi"/>
          <w:b/>
          <w:bCs/>
          <w:color w:val="000000"/>
          <w:sz w:val="20"/>
          <w:lang w:val="es-ES"/>
        </w:rPr>
        <w:t>References</w:t>
      </w:r>
      <w:proofErr w:type="spellEnd"/>
    </w:p>
    <w:p w14:paraId="72C893A3" w14:textId="30E8C071" w:rsidR="00704BDF" w:rsidRPr="001C1456" w:rsidRDefault="00BC7F89" w:rsidP="00704B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  <w:lang w:val="fr-FR"/>
        </w:rPr>
      </w:pPr>
      <w:r w:rsidRPr="00BC7F89">
        <w:rPr>
          <w:rFonts w:asciiTheme="minorHAnsi" w:hAnsiTheme="minorHAnsi"/>
          <w:color w:val="000000"/>
        </w:rPr>
        <w:t xml:space="preserve">Solsvik, J., Haug-Warberg, T., &amp; Jakobsen, H. A. (2016). Implementation of chemical reaction equilibrium by Gibbs and Helmholtz energies in tubular reactor models: Application to the steam-methane reforming process. </w:t>
      </w:r>
      <w:r w:rsidRPr="00BC7F89">
        <w:rPr>
          <w:rFonts w:asciiTheme="minorHAnsi" w:hAnsiTheme="minorHAnsi"/>
          <w:color w:val="000000"/>
          <w:lang w:val="fr-FR"/>
        </w:rPr>
        <w:t>Chemical Engineering Science, 140, 261–278. https://doi.org/10.1016/j.ces.2015.10.011</w:t>
      </w:r>
    </w:p>
    <w:p w14:paraId="72C893A4" w14:textId="3FA91F9D" w:rsidR="00704BDF" w:rsidRPr="008D0BEB" w:rsidRDefault="00AF465D" w:rsidP="00704B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proofErr w:type="spellStart"/>
      <w:r w:rsidRPr="00AF465D">
        <w:rPr>
          <w:rFonts w:asciiTheme="minorHAnsi" w:hAnsiTheme="minorHAnsi"/>
          <w:color w:val="000000"/>
        </w:rPr>
        <w:t>Fogler</w:t>
      </w:r>
      <w:proofErr w:type="spellEnd"/>
      <w:r w:rsidRPr="00AF465D">
        <w:rPr>
          <w:rFonts w:asciiTheme="minorHAnsi" w:hAnsiTheme="minorHAnsi"/>
          <w:color w:val="000000"/>
        </w:rPr>
        <w:t>, H. S. (2016). Elements of chemical reaction engineering. Boston: Prentice Hall.</w:t>
      </w:r>
    </w:p>
    <w:p w14:paraId="72C893A5" w14:textId="2A488F5A" w:rsidR="005346C8" w:rsidRPr="00AF465D" w:rsidRDefault="00AF465D" w:rsidP="00704BDF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eastAsia="SimSun" w:hAnsiTheme="minorHAnsi"/>
          <w:lang w:eastAsia="zh-CN"/>
        </w:rPr>
      </w:pPr>
      <w:r w:rsidRPr="00AF465D">
        <w:rPr>
          <w:rFonts w:asciiTheme="minorHAnsi" w:eastAsia="SimSun" w:hAnsiTheme="minorHAnsi"/>
          <w:lang w:val="nb-NO" w:eastAsia="zh-CN"/>
        </w:rPr>
        <w:t xml:space="preserve">Haug-Warberg, T. (2006). Den termodynamiske arbeidsboken (1st ed.). </w:t>
      </w:r>
      <w:proofErr w:type="spellStart"/>
      <w:r w:rsidRPr="00AF465D">
        <w:rPr>
          <w:rFonts w:asciiTheme="minorHAnsi" w:eastAsia="SimSun" w:hAnsiTheme="minorHAnsi"/>
          <w:lang w:eastAsia="zh-CN"/>
        </w:rPr>
        <w:t>Fornebu</w:t>
      </w:r>
      <w:proofErr w:type="spellEnd"/>
      <w:r w:rsidRPr="00AF465D">
        <w:rPr>
          <w:rFonts w:asciiTheme="minorHAnsi" w:eastAsia="SimSun" w:hAnsiTheme="minorHAnsi"/>
          <w:lang w:eastAsia="zh-CN"/>
        </w:rPr>
        <w:t xml:space="preserve">: </w:t>
      </w:r>
      <w:proofErr w:type="spellStart"/>
      <w:r w:rsidRPr="00AF465D">
        <w:rPr>
          <w:rFonts w:asciiTheme="minorHAnsi" w:eastAsia="SimSun" w:hAnsiTheme="minorHAnsi"/>
          <w:lang w:eastAsia="zh-CN"/>
        </w:rPr>
        <w:t>Kolofon</w:t>
      </w:r>
      <w:bookmarkStart w:id="1" w:name="_GoBack"/>
      <w:bookmarkEnd w:id="1"/>
      <w:proofErr w:type="spellEnd"/>
      <w:r w:rsidRPr="00AF465D">
        <w:rPr>
          <w:rFonts w:asciiTheme="minorHAnsi" w:eastAsia="SimSun" w:hAnsiTheme="minorHAnsi"/>
          <w:lang w:eastAsia="zh-CN"/>
        </w:rPr>
        <w:t xml:space="preserve"> </w:t>
      </w:r>
      <w:proofErr w:type="spellStart"/>
      <w:r w:rsidRPr="00AF465D">
        <w:rPr>
          <w:rFonts w:asciiTheme="minorHAnsi" w:eastAsia="SimSun" w:hAnsiTheme="minorHAnsi"/>
          <w:lang w:eastAsia="zh-CN"/>
        </w:rPr>
        <w:t>Forlag</w:t>
      </w:r>
      <w:proofErr w:type="spellEnd"/>
      <w:r w:rsidRPr="00AF465D">
        <w:rPr>
          <w:rFonts w:asciiTheme="minorHAnsi" w:eastAsia="SimSun" w:hAnsiTheme="minorHAnsi"/>
          <w:lang w:eastAsia="zh-CN"/>
        </w:rPr>
        <w:t xml:space="preserve"> AS.</w:t>
      </w:r>
    </w:p>
    <w:p w14:paraId="43A67FAD" w14:textId="77777777" w:rsidR="00B609A3" w:rsidRPr="00704BDF" w:rsidRDefault="00B609A3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sectPr w:rsidR="00B609A3" w:rsidRPr="00704BDF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07D3" w14:textId="77777777" w:rsidR="004B200D" w:rsidRDefault="004B200D" w:rsidP="004F5E36">
      <w:r>
        <w:separator/>
      </w:r>
    </w:p>
  </w:endnote>
  <w:endnote w:type="continuationSeparator" w:id="0">
    <w:p w14:paraId="288F29BE" w14:textId="77777777" w:rsidR="004B200D" w:rsidRDefault="004B200D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95A9" w14:textId="77777777" w:rsidR="004B200D" w:rsidRDefault="004B200D" w:rsidP="004F5E36">
      <w:r>
        <w:separator/>
      </w:r>
    </w:p>
  </w:footnote>
  <w:footnote w:type="continuationSeparator" w:id="0">
    <w:p w14:paraId="538D0DAC" w14:textId="77777777" w:rsidR="004B200D" w:rsidRDefault="004B200D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93B7" w14:textId="77777777" w:rsidR="004D1162" w:rsidRDefault="00594E9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C893BB" wp14:editId="72C893BC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7DCC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2C893BD" wp14:editId="72C893BE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93B8" w14:textId="77777777"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2C893BF" wp14:editId="72C893C0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14:paraId="72C893B9" w14:textId="77777777" w:rsidR="00704BDF" w:rsidRDefault="00704BDF">
    <w:pPr>
      <w:pStyle w:val="Header"/>
    </w:pPr>
  </w:p>
  <w:p w14:paraId="72C893BA" w14:textId="77777777" w:rsidR="00704BDF" w:rsidRDefault="00704BD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893C1" wp14:editId="72C893C2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16F4CF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eSimpl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4A"/>
    <w:rsid w:val="000027C0"/>
    <w:rsid w:val="000105D1"/>
    <w:rsid w:val="000117CB"/>
    <w:rsid w:val="000169A0"/>
    <w:rsid w:val="00021994"/>
    <w:rsid w:val="0003148D"/>
    <w:rsid w:val="000452F8"/>
    <w:rsid w:val="00046A53"/>
    <w:rsid w:val="00060F0C"/>
    <w:rsid w:val="00062A9A"/>
    <w:rsid w:val="00064883"/>
    <w:rsid w:val="000A03B2"/>
    <w:rsid w:val="000A709B"/>
    <w:rsid w:val="000B4096"/>
    <w:rsid w:val="000D34BE"/>
    <w:rsid w:val="000E36F1"/>
    <w:rsid w:val="000E3A73"/>
    <w:rsid w:val="000E414A"/>
    <w:rsid w:val="001058F9"/>
    <w:rsid w:val="00105B16"/>
    <w:rsid w:val="00113321"/>
    <w:rsid w:val="0012419A"/>
    <w:rsid w:val="00124B62"/>
    <w:rsid w:val="0013121F"/>
    <w:rsid w:val="00134DE4"/>
    <w:rsid w:val="00135299"/>
    <w:rsid w:val="00137493"/>
    <w:rsid w:val="00150E59"/>
    <w:rsid w:val="00164FA7"/>
    <w:rsid w:val="00184AD6"/>
    <w:rsid w:val="0018564E"/>
    <w:rsid w:val="0019439E"/>
    <w:rsid w:val="001B3B56"/>
    <w:rsid w:val="001B65C1"/>
    <w:rsid w:val="001C1456"/>
    <w:rsid w:val="001C684B"/>
    <w:rsid w:val="001D53FC"/>
    <w:rsid w:val="001E2A9F"/>
    <w:rsid w:val="001F2EC7"/>
    <w:rsid w:val="0020081D"/>
    <w:rsid w:val="002065DB"/>
    <w:rsid w:val="002075CE"/>
    <w:rsid w:val="00216D21"/>
    <w:rsid w:val="00220FB6"/>
    <w:rsid w:val="0024151C"/>
    <w:rsid w:val="002447EF"/>
    <w:rsid w:val="00251550"/>
    <w:rsid w:val="002550E0"/>
    <w:rsid w:val="0027221A"/>
    <w:rsid w:val="002747B1"/>
    <w:rsid w:val="00275B61"/>
    <w:rsid w:val="00275B8E"/>
    <w:rsid w:val="00291DA3"/>
    <w:rsid w:val="0029482B"/>
    <w:rsid w:val="002C154E"/>
    <w:rsid w:val="002D1F12"/>
    <w:rsid w:val="002D6A28"/>
    <w:rsid w:val="002E6344"/>
    <w:rsid w:val="002E76D8"/>
    <w:rsid w:val="002F2033"/>
    <w:rsid w:val="002F3F98"/>
    <w:rsid w:val="002F4F27"/>
    <w:rsid w:val="002F71BC"/>
    <w:rsid w:val="003009B7"/>
    <w:rsid w:val="00300A36"/>
    <w:rsid w:val="0030469C"/>
    <w:rsid w:val="0034608E"/>
    <w:rsid w:val="00370B35"/>
    <w:rsid w:val="003723D4"/>
    <w:rsid w:val="00374FCB"/>
    <w:rsid w:val="0037616A"/>
    <w:rsid w:val="00391021"/>
    <w:rsid w:val="003A549E"/>
    <w:rsid w:val="003A7D1C"/>
    <w:rsid w:val="003D17C1"/>
    <w:rsid w:val="003D51DD"/>
    <w:rsid w:val="003E269D"/>
    <w:rsid w:val="003F01D4"/>
    <w:rsid w:val="003F0C06"/>
    <w:rsid w:val="003F15B5"/>
    <w:rsid w:val="004146ED"/>
    <w:rsid w:val="004162EC"/>
    <w:rsid w:val="004363E6"/>
    <w:rsid w:val="0046164A"/>
    <w:rsid w:val="00462DCA"/>
    <w:rsid w:val="00462DCD"/>
    <w:rsid w:val="0046617B"/>
    <w:rsid w:val="004672BA"/>
    <w:rsid w:val="0048333D"/>
    <w:rsid w:val="004A03F9"/>
    <w:rsid w:val="004A55CE"/>
    <w:rsid w:val="004B200D"/>
    <w:rsid w:val="004D1162"/>
    <w:rsid w:val="004D6F88"/>
    <w:rsid w:val="004E0835"/>
    <w:rsid w:val="004E1F6A"/>
    <w:rsid w:val="004E2D73"/>
    <w:rsid w:val="004E4DD6"/>
    <w:rsid w:val="004E5EE4"/>
    <w:rsid w:val="004F5E36"/>
    <w:rsid w:val="00507458"/>
    <w:rsid w:val="005119A5"/>
    <w:rsid w:val="00522519"/>
    <w:rsid w:val="005278B7"/>
    <w:rsid w:val="005346C8"/>
    <w:rsid w:val="005356B9"/>
    <w:rsid w:val="00537205"/>
    <w:rsid w:val="00543837"/>
    <w:rsid w:val="00583CC8"/>
    <w:rsid w:val="00585ED1"/>
    <w:rsid w:val="00594E9F"/>
    <w:rsid w:val="005A6B87"/>
    <w:rsid w:val="005B06A7"/>
    <w:rsid w:val="005B094B"/>
    <w:rsid w:val="005B2451"/>
    <w:rsid w:val="005B2598"/>
    <w:rsid w:val="005B3585"/>
    <w:rsid w:val="005B61E6"/>
    <w:rsid w:val="005C25BE"/>
    <w:rsid w:val="005C2AE1"/>
    <w:rsid w:val="005C7163"/>
    <w:rsid w:val="005C77E1"/>
    <w:rsid w:val="005D33E9"/>
    <w:rsid w:val="005D6367"/>
    <w:rsid w:val="005D6A2F"/>
    <w:rsid w:val="005D6F61"/>
    <w:rsid w:val="005E1A82"/>
    <w:rsid w:val="005F0A28"/>
    <w:rsid w:val="005F0E5E"/>
    <w:rsid w:val="00601318"/>
    <w:rsid w:val="006013B2"/>
    <w:rsid w:val="006108C1"/>
    <w:rsid w:val="006114C7"/>
    <w:rsid w:val="00620DEE"/>
    <w:rsid w:val="00623D3D"/>
    <w:rsid w:val="00625639"/>
    <w:rsid w:val="00625C18"/>
    <w:rsid w:val="0064184D"/>
    <w:rsid w:val="00642A19"/>
    <w:rsid w:val="0065492C"/>
    <w:rsid w:val="006575B1"/>
    <w:rsid w:val="00660E3E"/>
    <w:rsid w:val="00662E74"/>
    <w:rsid w:val="006656D7"/>
    <w:rsid w:val="0067355E"/>
    <w:rsid w:val="0068300D"/>
    <w:rsid w:val="006A58D2"/>
    <w:rsid w:val="006B0F76"/>
    <w:rsid w:val="006B63CC"/>
    <w:rsid w:val="006C079C"/>
    <w:rsid w:val="006C5579"/>
    <w:rsid w:val="006D7362"/>
    <w:rsid w:val="00704BDF"/>
    <w:rsid w:val="00736B13"/>
    <w:rsid w:val="007447F3"/>
    <w:rsid w:val="00765D90"/>
    <w:rsid w:val="007661C8"/>
    <w:rsid w:val="0077527E"/>
    <w:rsid w:val="00777905"/>
    <w:rsid w:val="0078052B"/>
    <w:rsid w:val="007808DD"/>
    <w:rsid w:val="007909B7"/>
    <w:rsid w:val="007961D9"/>
    <w:rsid w:val="007A29BF"/>
    <w:rsid w:val="007A4F5C"/>
    <w:rsid w:val="007A6243"/>
    <w:rsid w:val="007B4422"/>
    <w:rsid w:val="007D52CD"/>
    <w:rsid w:val="007D79D6"/>
    <w:rsid w:val="007F0053"/>
    <w:rsid w:val="007F3394"/>
    <w:rsid w:val="00807C28"/>
    <w:rsid w:val="00813288"/>
    <w:rsid w:val="008168FC"/>
    <w:rsid w:val="00820EE5"/>
    <w:rsid w:val="00824985"/>
    <w:rsid w:val="00837A0F"/>
    <w:rsid w:val="008479A2"/>
    <w:rsid w:val="00861CBB"/>
    <w:rsid w:val="00863777"/>
    <w:rsid w:val="00864D12"/>
    <w:rsid w:val="00870153"/>
    <w:rsid w:val="00875A95"/>
    <w:rsid w:val="0087637F"/>
    <w:rsid w:val="00876C6C"/>
    <w:rsid w:val="008A1512"/>
    <w:rsid w:val="008B240C"/>
    <w:rsid w:val="008D0BEB"/>
    <w:rsid w:val="008D14CF"/>
    <w:rsid w:val="008E5546"/>
    <w:rsid w:val="008E566E"/>
    <w:rsid w:val="008F6315"/>
    <w:rsid w:val="00901852"/>
    <w:rsid w:val="00901EB6"/>
    <w:rsid w:val="009438A0"/>
    <w:rsid w:val="009450CE"/>
    <w:rsid w:val="009514FF"/>
    <w:rsid w:val="0095164B"/>
    <w:rsid w:val="009549E9"/>
    <w:rsid w:val="009563FD"/>
    <w:rsid w:val="00964E2A"/>
    <w:rsid w:val="009758FF"/>
    <w:rsid w:val="009822CA"/>
    <w:rsid w:val="00984AE2"/>
    <w:rsid w:val="00996483"/>
    <w:rsid w:val="009C249D"/>
    <w:rsid w:val="009E788A"/>
    <w:rsid w:val="00A13D56"/>
    <w:rsid w:val="00A1763D"/>
    <w:rsid w:val="00A17CEC"/>
    <w:rsid w:val="00A27EF0"/>
    <w:rsid w:val="00A34E77"/>
    <w:rsid w:val="00A359F1"/>
    <w:rsid w:val="00A4102C"/>
    <w:rsid w:val="00A43B4E"/>
    <w:rsid w:val="00A53E27"/>
    <w:rsid w:val="00A670B7"/>
    <w:rsid w:val="00A76EFC"/>
    <w:rsid w:val="00A77E19"/>
    <w:rsid w:val="00A8140E"/>
    <w:rsid w:val="00A9626B"/>
    <w:rsid w:val="00A97F29"/>
    <w:rsid w:val="00AA2EE3"/>
    <w:rsid w:val="00AB00D7"/>
    <w:rsid w:val="00AB0964"/>
    <w:rsid w:val="00AB31C9"/>
    <w:rsid w:val="00AE16F6"/>
    <w:rsid w:val="00AE377D"/>
    <w:rsid w:val="00AF0441"/>
    <w:rsid w:val="00AF465D"/>
    <w:rsid w:val="00B04B49"/>
    <w:rsid w:val="00B060B0"/>
    <w:rsid w:val="00B34EA4"/>
    <w:rsid w:val="00B46346"/>
    <w:rsid w:val="00B54E66"/>
    <w:rsid w:val="00B609A3"/>
    <w:rsid w:val="00B61DBF"/>
    <w:rsid w:val="00B95DE2"/>
    <w:rsid w:val="00BA15D0"/>
    <w:rsid w:val="00BA409B"/>
    <w:rsid w:val="00BB7FF0"/>
    <w:rsid w:val="00BC30C9"/>
    <w:rsid w:val="00BC4BB1"/>
    <w:rsid w:val="00BC50CC"/>
    <w:rsid w:val="00BC5501"/>
    <w:rsid w:val="00BC609C"/>
    <w:rsid w:val="00BC7F89"/>
    <w:rsid w:val="00BE2402"/>
    <w:rsid w:val="00BE3468"/>
    <w:rsid w:val="00BE3E58"/>
    <w:rsid w:val="00BE7ABF"/>
    <w:rsid w:val="00BF3C83"/>
    <w:rsid w:val="00BF7857"/>
    <w:rsid w:val="00C01616"/>
    <w:rsid w:val="00C0162B"/>
    <w:rsid w:val="00C04868"/>
    <w:rsid w:val="00C06058"/>
    <w:rsid w:val="00C17524"/>
    <w:rsid w:val="00C316A4"/>
    <w:rsid w:val="00C345B1"/>
    <w:rsid w:val="00C40142"/>
    <w:rsid w:val="00C41352"/>
    <w:rsid w:val="00C57182"/>
    <w:rsid w:val="00C63496"/>
    <w:rsid w:val="00C655FD"/>
    <w:rsid w:val="00C716DF"/>
    <w:rsid w:val="00C751C2"/>
    <w:rsid w:val="00C76E57"/>
    <w:rsid w:val="00C867B1"/>
    <w:rsid w:val="00C9328D"/>
    <w:rsid w:val="00C94434"/>
    <w:rsid w:val="00C962DE"/>
    <w:rsid w:val="00CA1C95"/>
    <w:rsid w:val="00CA26AB"/>
    <w:rsid w:val="00CA5A9C"/>
    <w:rsid w:val="00CC0935"/>
    <w:rsid w:val="00CD5FE2"/>
    <w:rsid w:val="00CF34B5"/>
    <w:rsid w:val="00CF36D2"/>
    <w:rsid w:val="00CF3D80"/>
    <w:rsid w:val="00CF74C3"/>
    <w:rsid w:val="00D02B4C"/>
    <w:rsid w:val="00D32BC0"/>
    <w:rsid w:val="00D84576"/>
    <w:rsid w:val="00DA1BE9"/>
    <w:rsid w:val="00DC509F"/>
    <w:rsid w:val="00DD5637"/>
    <w:rsid w:val="00DD620A"/>
    <w:rsid w:val="00DE0019"/>
    <w:rsid w:val="00DE1960"/>
    <w:rsid w:val="00DE264A"/>
    <w:rsid w:val="00DE723B"/>
    <w:rsid w:val="00DE7C2B"/>
    <w:rsid w:val="00DF6976"/>
    <w:rsid w:val="00E041E7"/>
    <w:rsid w:val="00E14C57"/>
    <w:rsid w:val="00E16A75"/>
    <w:rsid w:val="00E20BCF"/>
    <w:rsid w:val="00E23CA1"/>
    <w:rsid w:val="00E268D6"/>
    <w:rsid w:val="00E409A8"/>
    <w:rsid w:val="00E45000"/>
    <w:rsid w:val="00E46C02"/>
    <w:rsid w:val="00E55031"/>
    <w:rsid w:val="00E65A75"/>
    <w:rsid w:val="00E65CEB"/>
    <w:rsid w:val="00E709B8"/>
    <w:rsid w:val="00E7209D"/>
    <w:rsid w:val="00E83292"/>
    <w:rsid w:val="00E91BA9"/>
    <w:rsid w:val="00EA50E1"/>
    <w:rsid w:val="00EB4303"/>
    <w:rsid w:val="00EC75CF"/>
    <w:rsid w:val="00ED19E0"/>
    <w:rsid w:val="00ED5CBE"/>
    <w:rsid w:val="00EE0131"/>
    <w:rsid w:val="00EE6639"/>
    <w:rsid w:val="00EF21D0"/>
    <w:rsid w:val="00EF32D4"/>
    <w:rsid w:val="00F02AE2"/>
    <w:rsid w:val="00F057D1"/>
    <w:rsid w:val="00F058F6"/>
    <w:rsid w:val="00F178E7"/>
    <w:rsid w:val="00F30C64"/>
    <w:rsid w:val="00F328C6"/>
    <w:rsid w:val="00F44EA8"/>
    <w:rsid w:val="00F454B1"/>
    <w:rsid w:val="00F70521"/>
    <w:rsid w:val="00F803ED"/>
    <w:rsid w:val="00FA3C87"/>
    <w:rsid w:val="00FA6486"/>
    <w:rsid w:val="00FB277E"/>
    <w:rsid w:val="00FB730C"/>
    <w:rsid w:val="00FC2695"/>
    <w:rsid w:val="00FC3E03"/>
    <w:rsid w:val="00FC5A3D"/>
    <w:rsid w:val="00FE2323"/>
    <w:rsid w:val="00FE6A2D"/>
    <w:rsid w:val="00FE6A8D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8938D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ing1">
    <w:name w:val="heading 1"/>
    <w:basedOn w:val="CETHeading1"/>
    <w:next w:val="Normal"/>
    <w:link w:val="Heading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Simple1">
    <w:name w:val="Table Simple 1"/>
    <w:basedOn w:val="Table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148D"/>
  </w:style>
  <w:style w:type="paragraph" w:styleId="BodyText2">
    <w:name w:val="Body Text 2"/>
    <w:basedOn w:val="Normal"/>
    <w:link w:val="BodyText2Char"/>
    <w:uiPriority w:val="99"/>
    <w:semiHidden/>
    <w:unhideWhenUsed/>
    <w:rsid w:val="000314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148D"/>
  </w:style>
  <w:style w:type="paragraph" w:styleId="BodyText3">
    <w:name w:val="Body Text 3"/>
    <w:basedOn w:val="Normal"/>
    <w:link w:val="BodyText3Ch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148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4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48D"/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03148D"/>
  </w:style>
  <w:style w:type="character" w:customStyle="1" w:styleId="DateChar">
    <w:name w:val="Date Char"/>
    <w:basedOn w:val="DefaultParagraphFont"/>
    <w:link w:val="Date"/>
    <w:uiPriority w:val="99"/>
    <w:semiHidden/>
    <w:rsid w:val="0003148D"/>
  </w:style>
  <w:style w:type="paragraph" w:styleId="Caption">
    <w:name w:val="caption"/>
    <w:basedOn w:val="Normal"/>
    <w:next w:val="Normal"/>
    <w:uiPriority w:val="35"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148D"/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0314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148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0314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148D"/>
  </w:style>
  <w:style w:type="paragraph" w:styleId="Closing">
    <w:name w:val="Closing"/>
    <w:basedOn w:val="Normal"/>
    <w:link w:val="Closing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EnvelopeAddress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148D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0314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148D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148D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4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148D"/>
  </w:style>
  <w:style w:type="paragraph" w:styleId="ListBullet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48D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148D"/>
    <w:rPr>
      <w:sz w:val="16"/>
      <w:szCs w:val="16"/>
    </w:rPr>
  </w:style>
  <w:style w:type="paragraph" w:styleId="NormalIndent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8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lockText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croText">
    <w:name w:val="macro"/>
    <w:link w:val="MacroTextCh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48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3148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48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DefaultParagraphFon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CF34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4B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984A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indre.b.oyen@ntnu.n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123A-9007-4641-A76D-62DBF5BB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Sindre Bakke Øyen</cp:lastModifiedBy>
  <cp:revision>236</cp:revision>
  <cp:lastPrinted>2019-04-30T09:05:00Z</cp:lastPrinted>
  <dcterms:created xsi:type="dcterms:W3CDTF">2019-04-29T09:40:00Z</dcterms:created>
  <dcterms:modified xsi:type="dcterms:W3CDTF">2019-04-30T13:59:00Z</dcterms:modified>
</cp:coreProperties>
</file>