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546A0" w:rsidRDefault="003B588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pacing w:val="-2"/>
          <w:sz w:val="28"/>
          <w:szCs w:val="28"/>
          <w:lang w:val="en-US" w:eastAsia="ko-KR"/>
        </w:rPr>
      </w:pPr>
      <w:r w:rsidRPr="00D546A0">
        <w:rPr>
          <w:rFonts w:asciiTheme="minorHAnsi" w:eastAsia="MS PGothic" w:hAnsiTheme="minorHAnsi"/>
          <w:b/>
          <w:bCs/>
          <w:spacing w:val="-2"/>
          <w:sz w:val="28"/>
          <w:szCs w:val="28"/>
          <w:lang w:val="en-US"/>
        </w:rPr>
        <w:lastRenderedPageBreak/>
        <w:t>Comparison between</w:t>
      </w:r>
      <w:r w:rsidR="003359E7" w:rsidRPr="00D546A0">
        <w:rPr>
          <w:rFonts w:asciiTheme="minorHAnsi" w:eastAsia="MS PGothic" w:hAnsiTheme="minorHAnsi"/>
          <w:b/>
          <w:bCs/>
          <w:spacing w:val="-2"/>
          <w:sz w:val="28"/>
          <w:szCs w:val="28"/>
          <w:lang w:val="en-US"/>
        </w:rPr>
        <w:t xml:space="preserve"> carbonic anhydrase biocatalysts for CO</w:t>
      </w:r>
      <w:r w:rsidR="003359E7" w:rsidRPr="00D546A0">
        <w:rPr>
          <w:rFonts w:asciiTheme="minorHAnsi" w:eastAsia="MS PGothic" w:hAnsiTheme="minorHAnsi"/>
          <w:b/>
          <w:bCs/>
          <w:spacing w:val="-2"/>
          <w:sz w:val="28"/>
          <w:szCs w:val="28"/>
          <w:vertAlign w:val="subscript"/>
          <w:lang w:val="en-US"/>
        </w:rPr>
        <w:t>2</w:t>
      </w:r>
      <w:r w:rsidR="003359E7" w:rsidRPr="00D546A0">
        <w:rPr>
          <w:rFonts w:asciiTheme="minorHAnsi" w:eastAsia="MS PGothic" w:hAnsiTheme="minorHAnsi"/>
          <w:b/>
          <w:bCs/>
          <w:spacing w:val="-2"/>
          <w:sz w:val="28"/>
          <w:szCs w:val="28"/>
          <w:lang w:val="en-US"/>
        </w:rPr>
        <w:t xml:space="preserve"> capture by </w:t>
      </w:r>
      <w:bookmarkStart w:id="0" w:name="_GoBack"/>
      <w:bookmarkEnd w:id="0"/>
      <w:r w:rsidR="003359E7" w:rsidRPr="00D546A0">
        <w:rPr>
          <w:rFonts w:asciiTheme="minorHAnsi" w:eastAsia="MS PGothic" w:hAnsiTheme="minorHAnsi"/>
          <w:b/>
          <w:bCs/>
          <w:spacing w:val="-2"/>
          <w:sz w:val="28"/>
          <w:szCs w:val="28"/>
          <w:lang w:val="en-US"/>
        </w:rPr>
        <w:t>enzymatic reactive absorption</w:t>
      </w:r>
    </w:p>
    <w:p w:rsidR="00DE0019" w:rsidRPr="00D546A0" w:rsidRDefault="003359E7" w:rsidP="00704BDF">
      <w:pPr>
        <w:snapToGrid w:val="0"/>
        <w:spacing w:after="120"/>
        <w:jc w:val="center"/>
        <w:rPr>
          <w:rFonts w:eastAsia="SimSun"/>
          <w:color w:val="000000"/>
          <w:spacing w:val="-2"/>
          <w:lang w:val="it-IT" w:eastAsia="zh-CN"/>
        </w:rPr>
      </w:pPr>
      <w:proofErr w:type="gramStart"/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u w:val="single"/>
          <w:lang w:val="it-IT" w:eastAsia="zh-CN"/>
        </w:rPr>
        <w:t>Maria Elena Russo</w:t>
      </w:r>
      <w:r w:rsidR="00704BDF" w:rsidRPr="00D546A0">
        <w:rPr>
          <w:rFonts w:asciiTheme="minorHAnsi" w:eastAsia="SimSun" w:hAnsiTheme="minorHAnsi"/>
          <w:color w:val="000000"/>
          <w:spacing w:val="-2"/>
          <w:sz w:val="24"/>
          <w:szCs w:val="24"/>
          <w:u w:val="single"/>
          <w:vertAlign w:val="superscript"/>
          <w:lang w:val="it-IT" w:eastAsia="zh-CN"/>
        </w:rPr>
        <w:t>1</w:t>
      </w:r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u w:val="single"/>
          <w:vertAlign w:val="superscript"/>
          <w:lang w:val="it-IT" w:eastAsia="zh-CN"/>
        </w:rPr>
        <w:t>*</w:t>
      </w:r>
      <w:r w:rsidR="00736B13" w:rsidRPr="00D546A0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 xml:space="preserve">, 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>Sara Peirce</w:t>
      </w:r>
      <w:r w:rsidR="005D5603" w:rsidRPr="005D5603">
        <w:rPr>
          <w:rFonts w:asciiTheme="minorHAnsi" w:eastAsia="SimSun" w:hAnsiTheme="minorHAnsi"/>
          <w:color w:val="000000"/>
          <w:spacing w:val="-2"/>
          <w:sz w:val="24"/>
          <w:szCs w:val="24"/>
          <w:vertAlign w:val="superscript"/>
          <w:lang w:val="it-IT" w:eastAsia="zh-CN"/>
        </w:rPr>
        <w:t>2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 xml:space="preserve">, </w:t>
      </w:r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>Sonia Del Prete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vertAlign w:val="superscript"/>
          <w:lang w:val="it-IT" w:eastAsia="zh-CN"/>
        </w:rPr>
        <w:t>3</w:t>
      </w:r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>, Clemente Capasso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vertAlign w:val="superscript"/>
          <w:lang w:val="it-IT" w:eastAsia="zh-CN"/>
        </w:rPr>
        <w:t>3</w:t>
      </w:r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>, Antonio Marzocchella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vertAlign w:val="superscript"/>
          <w:lang w:val="it-IT" w:eastAsia="zh-CN"/>
        </w:rPr>
        <w:t>2</w:t>
      </w:r>
      <w:r w:rsidRPr="00D546A0">
        <w:rPr>
          <w:rFonts w:asciiTheme="minorHAnsi" w:eastAsia="SimSun" w:hAnsiTheme="minorHAnsi"/>
          <w:color w:val="000000"/>
          <w:spacing w:val="-2"/>
          <w:sz w:val="24"/>
          <w:szCs w:val="24"/>
          <w:lang w:val="it-IT" w:eastAsia="zh-CN"/>
        </w:rPr>
        <w:t>, Piero Salatino</w:t>
      </w:r>
      <w:r w:rsidR="005D5603">
        <w:rPr>
          <w:rFonts w:asciiTheme="minorHAnsi" w:eastAsia="SimSun" w:hAnsiTheme="minorHAnsi"/>
          <w:color w:val="000000"/>
          <w:spacing w:val="-2"/>
          <w:sz w:val="24"/>
          <w:szCs w:val="24"/>
          <w:vertAlign w:val="superscript"/>
          <w:lang w:val="it-IT" w:eastAsia="zh-CN"/>
        </w:rPr>
        <w:t>2</w:t>
      </w:r>
      <w:proofErr w:type="gramEnd"/>
    </w:p>
    <w:p w:rsidR="00704BDF" w:rsidRPr="00D546A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pacing w:val="-2"/>
          <w:sz w:val="20"/>
          <w:lang w:val="it-IT"/>
        </w:rPr>
      </w:pPr>
      <w:r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1</w:t>
      </w:r>
      <w:r w:rsidRPr="00D546A0">
        <w:rPr>
          <w:rFonts w:asciiTheme="minorHAnsi" w:eastAsia="MS PGothic" w:hAnsiTheme="minorHAnsi"/>
          <w:i/>
          <w:iCs/>
          <w:color w:val="000000"/>
          <w:spacing w:val="-2"/>
          <w:sz w:val="20"/>
          <w:lang w:val="it-IT"/>
        </w:rPr>
        <w:t xml:space="preserve"> </w:t>
      </w:r>
      <w:r w:rsidR="000D3B57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Istituto di Ricerche sulla Combustione – Consiglio Nazionale delle Ricerche, P.le V. </w:t>
      </w:r>
      <w:proofErr w:type="spellStart"/>
      <w:r w:rsidR="000D3B57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Tecchio</w:t>
      </w:r>
      <w:proofErr w:type="spellEnd"/>
      <w:r w:rsidR="000D3B57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80, 80125 Napoli, </w:t>
      </w:r>
      <w:proofErr w:type="spellStart"/>
      <w:r w:rsidR="000D3B57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Italy</w:t>
      </w:r>
      <w:proofErr w:type="spellEnd"/>
      <w:r w:rsidRPr="005D5603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; </w:t>
      </w:r>
      <w:proofErr w:type="gramStart"/>
      <w:r w:rsidRPr="005D5603">
        <w:rPr>
          <w:rFonts w:eastAsia="MS PGothic"/>
          <w:i/>
          <w:iCs/>
          <w:color w:val="000000"/>
          <w:spacing w:val="-2"/>
          <w:sz w:val="20"/>
          <w:lang w:val="it-IT"/>
        </w:rPr>
        <w:t>2</w:t>
      </w:r>
      <w:proofErr w:type="gramEnd"/>
      <w:r w:rsidR="005D5603" w:rsidRPr="005D5603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</w:t>
      </w:r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Dipartimento di Ingegneria Chimica dei Materiali e della Produzione Industriale – Università degli Studi di Napoli Federico II, </w:t>
      </w:r>
      <w:proofErr w:type="spellStart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P.le</w:t>
      </w:r>
      <w:proofErr w:type="spellEnd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V. </w:t>
      </w:r>
      <w:proofErr w:type="spellStart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Tecchio</w:t>
      </w:r>
      <w:proofErr w:type="spellEnd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80, 80125 Napoli, </w:t>
      </w:r>
      <w:proofErr w:type="spellStart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Italy</w:t>
      </w:r>
      <w:proofErr w:type="spellEnd"/>
      <w:r w:rsidR="000D3B57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, 3 </w:t>
      </w:r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Istituto di Bioscienze e </w:t>
      </w:r>
      <w:proofErr w:type="spellStart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Biorisorse</w:t>
      </w:r>
      <w:proofErr w:type="spellEnd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– Consiglio Nazionale delle Ricerche, Via P. Castellino 111, 80131 Napoli, </w:t>
      </w:r>
      <w:proofErr w:type="spellStart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>Italy</w:t>
      </w:r>
      <w:proofErr w:type="spellEnd"/>
      <w:r w:rsidR="005D5603" w:rsidRPr="00D546A0">
        <w:rPr>
          <w:rFonts w:eastAsia="MS PGothic"/>
          <w:i/>
          <w:iCs/>
          <w:color w:val="000000"/>
          <w:spacing w:val="-2"/>
          <w:sz w:val="20"/>
          <w:lang w:val="it-IT"/>
        </w:rPr>
        <w:t xml:space="preserve"> </w:t>
      </w:r>
    </w:p>
    <w:p w:rsidR="00704BDF" w:rsidRPr="00D546A0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pacing w:val="-2"/>
          <w:sz w:val="20"/>
          <w:lang w:val="en-US"/>
        </w:rPr>
      </w:pPr>
      <w:r w:rsidRPr="00D546A0">
        <w:rPr>
          <w:rFonts w:asciiTheme="minorHAnsi" w:eastAsia="MS PGothic" w:hAnsiTheme="minorHAnsi"/>
          <w:bCs/>
          <w:i/>
          <w:iCs/>
          <w:color w:val="000000"/>
          <w:spacing w:val="-2"/>
          <w:sz w:val="20"/>
          <w:lang w:val="en-US"/>
        </w:rPr>
        <w:t>*Corresponding author</w:t>
      </w:r>
      <w:r w:rsidRPr="00D546A0">
        <w:rPr>
          <w:rFonts w:asciiTheme="minorHAnsi" w:eastAsia="MS PGothic" w:hAnsiTheme="minorHAnsi"/>
          <w:bCs/>
          <w:i/>
          <w:iCs/>
          <w:spacing w:val="-2"/>
          <w:sz w:val="20"/>
          <w:lang w:val="en-US" w:eastAsia="ko-KR"/>
        </w:rPr>
        <w:t>:</w:t>
      </w:r>
      <w:r w:rsidRPr="00D546A0">
        <w:rPr>
          <w:rFonts w:asciiTheme="minorHAnsi" w:eastAsia="MS PGothic" w:hAnsiTheme="minorHAnsi"/>
          <w:bCs/>
          <w:i/>
          <w:iCs/>
          <w:spacing w:val="-2"/>
          <w:sz w:val="20"/>
          <w:lang w:val="en-US"/>
        </w:rPr>
        <w:t xml:space="preserve"> </w:t>
      </w:r>
      <w:r w:rsidR="003359E7" w:rsidRPr="00D546A0">
        <w:rPr>
          <w:rFonts w:asciiTheme="minorHAnsi" w:eastAsia="MS PGothic" w:hAnsiTheme="minorHAnsi"/>
          <w:bCs/>
          <w:i/>
          <w:iCs/>
          <w:spacing w:val="-2"/>
          <w:sz w:val="20"/>
          <w:lang w:val="en-US"/>
        </w:rPr>
        <w:t>m.russo</w:t>
      </w:r>
      <w:r w:rsidRPr="00D546A0">
        <w:rPr>
          <w:rFonts w:asciiTheme="minorHAnsi" w:eastAsia="MS PGothic" w:hAnsiTheme="minorHAnsi"/>
          <w:bCs/>
          <w:i/>
          <w:iCs/>
          <w:spacing w:val="-2"/>
          <w:sz w:val="20"/>
          <w:lang w:val="en-US"/>
        </w:rPr>
        <w:t>@</w:t>
      </w:r>
      <w:r w:rsidR="003359E7" w:rsidRPr="00D546A0">
        <w:rPr>
          <w:rFonts w:asciiTheme="minorHAnsi" w:eastAsia="MS PGothic" w:hAnsiTheme="minorHAnsi"/>
          <w:bCs/>
          <w:i/>
          <w:iCs/>
          <w:spacing w:val="-2"/>
          <w:sz w:val="20"/>
          <w:lang w:val="en-US"/>
        </w:rPr>
        <w:t>irc.cnr.it</w:t>
      </w:r>
    </w:p>
    <w:p w:rsidR="00704BDF" w:rsidRPr="00D546A0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spacing w:val="-2"/>
        </w:rPr>
      </w:pPr>
      <w:r w:rsidRPr="00D546A0">
        <w:rPr>
          <w:rFonts w:asciiTheme="minorHAnsi" w:hAnsiTheme="minorHAnsi"/>
          <w:b/>
          <w:spacing w:val="-2"/>
        </w:rPr>
        <w:t>Highlights</w:t>
      </w:r>
    </w:p>
    <w:p w:rsidR="00704BDF" w:rsidRPr="00D546A0" w:rsidRDefault="00430B19" w:rsidP="00704BDF">
      <w:pPr>
        <w:pStyle w:val="AbstractBody"/>
        <w:numPr>
          <w:ilvl w:val="0"/>
          <w:numId w:val="16"/>
        </w:numPr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D</w:t>
      </w:r>
      <w:r w:rsidR="000D3B57" w:rsidRPr="00D546A0">
        <w:rPr>
          <w:rFonts w:asciiTheme="minorHAnsi" w:hAnsiTheme="minorHAnsi"/>
          <w:spacing w:val="-2"/>
        </w:rPr>
        <w:t>ifferent immobilization techniques</w:t>
      </w:r>
      <w:r>
        <w:rPr>
          <w:rFonts w:asciiTheme="minorHAnsi" w:hAnsiTheme="minorHAnsi"/>
          <w:spacing w:val="-2"/>
        </w:rPr>
        <w:t xml:space="preserve"> have been applied to carbonic anhydrase</w:t>
      </w:r>
      <w:r w:rsidR="00704BDF" w:rsidRPr="00D546A0">
        <w:rPr>
          <w:rFonts w:asciiTheme="minorHAnsi" w:hAnsiTheme="minorHAnsi"/>
          <w:spacing w:val="-2"/>
        </w:rPr>
        <w:t>.</w:t>
      </w:r>
    </w:p>
    <w:p w:rsidR="00704BDF" w:rsidRPr="00D546A0" w:rsidRDefault="000D3B57" w:rsidP="00704BDF">
      <w:pPr>
        <w:pStyle w:val="AbstractBody"/>
        <w:numPr>
          <w:ilvl w:val="0"/>
          <w:numId w:val="16"/>
        </w:numPr>
        <w:rPr>
          <w:rFonts w:asciiTheme="minorHAnsi" w:hAnsiTheme="minorHAnsi"/>
          <w:spacing w:val="-2"/>
        </w:rPr>
      </w:pPr>
      <w:r w:rsidRPr="00D546A0">
        <w:rPr>
          <w:rFonts w:asciiTheme="minorHAnsi" w:hAnsiTheme="minorHAnsi"/>
          <w:spacing w:val="-2"/>
        </w:rPr>
        <w:t>Whole cell catalyst bearing carbonic anhydrase has been developed</w:t>
      </w:r>
      <w:r w:rsidR="00704BDF" w:rsidRPr="00D546A0">
        <w:rPr>
          <w:rFonts w:asciiTheme="minorHAnsi" w:hAnsiTheme="minorHAnsi"/>
          <w:spacing w:val="-2"/>
        </w:rPr>
        <w:t>.</w:t>
      </w:r>
    </w:p>
    <w:p w:rsidR="00704BDF" w:rsidRPr="00D546A0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pacing w:val="-2"/>
          <w:sz w:val="20"/>
          <w:lang w:val="en-US" w:eastAsia="zh-CN"/>
        </w:rPr>
      </w:pPr>
    </w:p>
    <w:p w:rsidR="00704BDF" w:rsidRPr="00D546A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 w:eastAsia="ko-KR"/>
        </w:rPr>
      </w:pP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/>
        </w:rPr>
        <w:t>1. Introduction</w:t>
      </w:r>
    </w:p>
    <w:p w:rsidR="00914727" w:rsidRPr="00D546A0" w:rsidRDefault="0018666B" w:rsidP="003B588A">
      <w:pPr>
        <w:snapToGrid w:val="0"/>
        <w:spacing w:before="240"/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Post-combustion CO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capture strategy asks for novel processes avoiding the use of polluting solvents and aimed at CO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utilization. CO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absorption processes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based on the enhancement of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capture rate by the enzyme carbonic anhydrase (CA) (EC - 4.2.1.1)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have been deeply investigated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[1]. CA is able to catalyze the CO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hydration reaction and its thermophilic and halophilic forms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are active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into aqueous alkaline solvents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[2]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. In addition, the use of carbonate </w:t>
      </w:r>
      <w:proofErr w:type="spellStart"/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aq</w:t>
      </w:r>
      <w:proofErr w:type="spellEnd"/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solvents and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CA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allows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the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exploitation of the bicarbonate enriched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solvent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for CO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utilization processes based on the cultivation of high value microalgae biomass [3, 4].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This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contribution reports on recent efforts for the development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of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three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techniques for the production of CA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biocatalysts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: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two different CA immobilization techniques were developed and compared with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whole cell biocatalyst </w:t>
      </w:r>
      <w:r w:rsidR="007D6A0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where CA is present on the outer membrane of engineered </w:t>
      </w:r>
      <w:proofErr w:type="spellStart"/>
      <w:r w:rsidR="007D6A08" w:rsidRPr="00D546A0">
        <w:rPr>
          <w:rFonts w:asciiTheme="minorHAnsi" w:eastAsia="MS PGothic" w:hAnsiTheme="minorHAnsi"/>
          <w:i/>
          <w:color w:val="000000"/>
          <w:spacing w:val="-2"/>
          <w:sz w:val="22"/>
          <w:szCs w:val="22"/>
          <w:lang w:val="en-US"/>
        </w:rPr>
        <w:t>E</w:t>
      </w:r>
      <w:r w:rsidR="005D5603">
        <w:rPr>
          <w:rFonts w:asciiTheme="minorHAnsi" w:eastAsia="MS PGothic" w:hAnsiTheme="minorHAnsi"/>
          <w:i/>
          <w:color w:val="000000"/>
          <w:spacing w:val="-2"/>
          <w:sz w:val="22"/>
          <w:szCs w:val="22"/>
          <w:lang w:val="en-US"/>
        </w:rPr>
        <w:t>schierichia</w:t>
      </w:r>
      <w:proofErr w:type="spellEnd"/>
      <w:r w:rsidR="007D6A08" w:rsidRPr="00D546A0">
        <w:rPr>
          <w:rFonts w:asciiTheme="minorHAnsi" w:eastAsia="MS PGothic" w:hAnsiTheme="minorHAnsi"/>
          <w:i/>
          <w:color w:val="000000"/>
          <w:spacing w:val="-2"/>
          <w:sz w:val="22"/>
          <w:szCs w:val="22"/>
          <w:lang w:val="en-US"/>
        </w:rPr>
        <w:t xml:space="preserve"> coli</w:t>
      </w:r>
      <w:r w:rsidR="007D6A0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cells</w:t>
      </w:r>
      <w:r w:rsidR="00914727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[5]</w:t>
      </w:r>
      <w:r w:rsidR="007D6A0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.</w:t>
      </w:r>
    </w:p>
    <w:p w:rsidR="00704BDF" w:rsidRPr="00D546A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/>
        </w:rPr>
        <w:t>2. Methods</w:t>
      </w:r>
    </w:p>
    <w:p w:rsidR="00704BDF" w:rsidRPr="00D546A0" w:rsidRDefault="00EB77EA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Thermostable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CA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was </w:t>
      </w:r>
      <w:r w:rsidR="005D5603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(</w:t>
      </w:r>
      <w:proofErr w:type="spellStart"/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Novozymes</w:t>
      </w:r>
      <w:proofErr w:type="spellEnd"/>
      <w:r w:rsidR="005D5603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)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and immobilized in the form of Cross Liked Enzyme Aggregates (CLEA) [</w:t>
      </w:r>
      <w:r w:rsidR="003004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6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] and </w:t>
      </w:r>
      <w:r w:rsidR="00CF2AB3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covalently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attached on magnetic nanoparticles </w:t>
      </w:r>
      <w:r w:rsidR="008C3DB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(MNP)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[</w:t>
      </w:r>
      <w:r w:rsidR="003004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7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]. Whole cell biocatalyst bearing CA on outer sur</w:t>
      </w:r>
      <w:r w:rsidR="00171FF4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face of cell membrane were prepa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red according to Del </w:t>
      </w:r>
      <w:proofErr w:type="spellStart"/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Prete</w:t>
      </w:r>
      <w:proofErr w:type="spellEnd"/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</w:t>
      </w:r>
      <w:r w:rsidRPr="005D5603">
        <w:rPr>
          <w:rFonts w:asciiTheme="minorHAnsi" w:eastAsia="MS PGothic" w:hAnsiTheme="minorHAnsi"/>
          <w:i/>
          <w:color w:val="000000"/>
          <w:spacing w:val="-2"/>
          <w:sz w:val="22"/>
          <w:szCs w:val="22"/>
          <w:lang w:val="en-US"/>
        </w:rPr>
        <w:t>et al.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[</w:t>
      </w:r>
      <w:r w:rsidR="00803773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5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].</w:t>
      </w:r>
      <w:r w:rsidR="0020706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Kinetic characterization of CA based biocatalyst was performed through CO</w:t>
      </w:r>
      <w:r w:rsidR="0020706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="00207068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absorption tests in a stirred cell lab scale bioreactor [6, 7].</w:t>
      </w:r>
    </w:p>
    <w:p w:rsidR="00704BDF" w:rsidRPr="00D546A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/>
        </w:rPr>
        <w:t>3. Results and discussion</w:t>
      </w:r>
    </w:p>
    <w:p w:rsidR="00704BDF" w:rsidRPr="00D546A0" w:rsidRDefault="008C3DBF" w:rsidP="00704BDF">
      <w:pPr>
        <w:snapToGrid w:val="0"/>
        <w:spacing w:after="120"/>
        <w:rPr>
          <w:rFonts w:asciiTheme="minorHAnsi" w:eastAsia="MS PGothic" w:hAnsiTheme="minorHAnsi"/>
          <w:color w:val="000000"/>
          <w:spacing w:val="-2"/>
          <w:sz w:val="22"/>
          <w:szCs w:val="22"/>
        </w:rPr>
      </w:pP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Figure 1 shows the immobilization yields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(mass of immobilized enzyme/initial mass of enzyme)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and 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the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enzyme loadings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(mass of enzyme/mass of biocatalyst) 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after preparation of CA CLEA and MNP with attached CA.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CLEA shows remarkable improvement of these characteristics with respect to 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CA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covalent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ly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attach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ed on MNP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. On the other hand, large CLEA size (low biocatalyst effectiveness) did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lastRenderedPageBreak/>
        <w:t xml:space="preserve">not allow kinetic characterization [6]. MNP and free CA apparent kinetics were fully characterized under industrially relevant conditions [7]. 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W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hole cell biocatalyst 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showed active CA on its membrane [5] and its kinetic characterization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is ongoing </w:t>
      </w:r>
      <w:r w:rsidR="00B22E3F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through 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CO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absorption tests used for CLEA and MNP characterization [6, 7]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.</w:t>
      </w:r>
    </w:p>
    <w:p w:rsidR="00704BDF" w:rsidRPr="00D546A0" w:rsidRDefault="00CF2AB3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pacing w:val="-2"/>
        </w:rPr>
      </w:pPr>
      <w:r w:rsidRPr="00D546A0">
        <w:rPr>
          <w:rFonts w:asciiTheme="minorHAnsi" w:hAnsiTheme="minorHAnsi"/>
          <w:noProof/>
          <w:spacing w:val="-2"/>
          <w:lang w:val="it-IT" w:eastAsia="it-IT"/>
        </w:rPr>
        <w:drawing>
          <wp:inline distT="0" distB="0" distL="0" distR="0" wp14:anchorId="6FF38B0E" wp14:editId="6D2A8BD9">
            <wp:extent cx="2597654" cy="193162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43" cy="193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546A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pacing w:val="-2"/>
          <w:szCs w:val="18"/>
          <w:lang w:val="en-US"/>
        </w:rPr>
      </w:pPr>
      <w:proofErr w:type="gramStart"/>
      <w:r w:rsidRPr="00D546A0">
        <w:rPr>
          <w:rFonts w:asciiTheme="minorHAnsi" w:eastAsia="MS PGothic" w:hAnsiTheme="minorHAnsi"/>
          <w:b/>
          <w:color w:val="000000"/>
          <w:spacing w:val="-2"/>
          <w:szCs w:val="18"/>
          <w:lang w:val="en-US"/>
        </w:rPr>
        <w:t>Figure 1</w:t>
      </w:r>
      <w:r w:rsidRPr="00D546A0">
        <w:rPr>
          <w:rFonts w:asciiTheme="minorHAnsi" w:eastAsia="MS PGothic" w:hAnsiTheme="minorHAnsi"/>
          <w:b/>
          <w:color w:val="000000"/>
          <w:spacing w:val="-2"/>
          <w:szCs w:val="18"/>
          <w:lang w:val="en-US" w:eastAsia="ko-KR"/>
        </w:rPr>
        <w:t>.</w:t>
      </w:r>
      <w:proofErr w:type="gramEnd"/>
      <w:r w:rsidRPr="00D546A0">
        <w:rPr>
          <w:rFonts w:asciiTheme="minorHAnsi" w:hAnsiTheme="minorHAnsi"/>
          <w:spacing w:val="-2"/>
          <w:lang w:val="en-US"/>
        </w:rPr>
        <w:t xml:space="preserve"> </w:t>
      </w:r>
      <w:r w:rsidR="00CF2AB3"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>Comparison between CA immobilized on magnetic nanoparticles (MNP</w:t>
      </w:r>
      <w:proofErr w:type="gramStart"/>
      <w:r w:rsidR="00CF2AB3"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>)and</w:t>
      </w:r>
      <w:proofErr w:type="gramEnd"/>
      <w:r w:rsidR="00CF2AB3"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 xml:space="preserve"> cross linked enzyme aggregates (CLEA)</w:t>
      </w:r>
      <w:r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>.</w:t>
      </w:r>
    </w:p>
    <w:p w:rsidR="00704BDF" w:rsidRPr="00D546A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pacing w:val="-2"/>
          <w:sz w:val="22"/>
          <w:szCs w:val="22"/>
          <w:lang w:val="en-US" w:eastAsia="ko-KR"/>
        </w:rPr>
      </w:pP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/>
        </w:rPr>
        <w:t>4. Conclusion</w:t>
      </w: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2"/>
          <w:szCs w:val="22"/>
          <w:lang w:val="en-US" w:eastAsia="ko-KR"/>
        </w:rPr>
        <w:t>s</w:t>
      </w:r>
    </w:p>
    <w:p w:rsidR="00704BDF" w:rsidRPr="00D546A0" w:rsidRDefault="008D64A1" w:rsidP="00704BDF">
      <w:pPr>
        <w:snapToGrid w:val="0"/>
        <w:spacing w:after="120"/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T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hree technologies h</w:t>
      </w:r>
      <w:r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ave been developed to produce CA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-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biocatalysts for the development of CO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capture processes oriented through </w:t>
      </w:r>
      <w:proofErr w:type="spellStart"/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aq</w:t>
      </w:r>
      <w:proofErr w:type="spellEnd"/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phase CO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vertAlign w:val="subscript"/>
          <w:lang w:val="en-US"/>
        </w:rPr>
        <w:t>2</w:t>
      </w:r>
      <w:r w:rsidR="00C1082C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utilization [3, 4]. </w:t>
      </w:r>
      <w:r w:rsidR="007301E1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Table 1 reports pros and cons about each investigated biocatalyst.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Among these, MNP biocatalyst is ready to further scale-up tests since assessed kinetic parameters have been </w:t>
      </w:r>
      <w:r w:rsidR="005D5603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used for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 </w:t>
      </w:r>
      <w:r w:rsidR="005D5603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 xml:space="preserve">an </w:t>
      </w:r>
      <w:r w:rsidR="00664B0D" w:rsidRPr="00D546A0"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  <w:t>absorption column design study [8].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1912"/>
        <w:gridCol w:w="1346"/>
        <w:gridCol w:w="771"/>
        <w:gridCol w:w="2098"/>
      </w:tblGrid>
      <w:tr w:rsidR="00C1082C" w:rsidRPr="00D546A0" w:rsidTr="00D023BB">
        <w:trPr>
          <w:jc w:val="center"/>
        </w:trPr>
        <w:tc>
          <w:tcPr>
            <w:tcW w:w="238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</w:p>
        </w:tc>
        <w:tc>
          <w:tcPr>
            <w:tcW w:w="191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Free CA/aggregates</w:t>
            </w:r>
          </w:p>
        </w:tc>
        <w:tc>
          <w:tcPr>
            <w:tcW w:w="1346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CA on MNP</w:t>
            </w:r>
          </w:p>
        </w:tc>
        <w:tc>
          <w:tcPr>
            <w:tcW w:w="771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CLEA</w:t>
            </w:r>
          </w:p>
        </w:tc>
        <w:tc>
          <w:tcPr>
            <w:tcW w:w="2098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Whole cell biocatalyst</w:t>
            </w:r>
          </w:p>
        </w:tc>
      </w:tr>
      <w:tr w:rsidR="00C1082C" w:rsidRPr="00D546A0" w:rsidTr="00D023BB">
        <w:trPr>
          <w:jc w:val="center"/>
        </w:trPr>
        <w:tc>
          <w:tcPr>
            <w:tcW w:w="238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Enzyme purification</w:t>
            </w:r>
          </w:p>
        </w:tc>
        <w:tc>
          <w:tcPr>
            <w:tcW w:w="191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1346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771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2098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-</w:t>
            </w:r>
          </w:p>
        </w:tc>
      </w:tr>
      <w:tr w:rsidR="00C1082C" w:rsidRPr="00D546A0" w:rsidTr="00D023BB">
        <w:trPr>
          <w:jc w:val="center"/>
        </w:trPr>
        <w:tc>
          <w:tcPr>
            <w:tcW w:w="238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Stability</w:t>
            </w:r>
          </w:p>
        </w:tc>
        <w:tc>
          <w:tcPr>
            <w:tcW w:w="191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-</w:t>
            </w:r>
          </w:p>
        </w:tc>
        <w:tc>
          <w:tcPr>
            <w:tcW w:w="1346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771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2098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Ongoing</w:t>
            </w:r>
          </w:p>
        </w:tc>
      </w:tr>
      <w:tr w:rsidR="00C1082C" w:rsidRPr="00D546A0" w:rsidTr="00D023BB">
        <w:trPr>
          <w:jc w:val="center"/>
        </w:trPr>
        <w:tc>
          <w:tcPr>
            <w:tcW w:w="238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Biocatalyst effectiveness</w:t>
            </w:r>
          </w:p>
        </w:tc>
        <w:tc>
          <w:tcPr>
            <w:tcW w:w="191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+/-</w:t>
            </w:r>
          </w:p>
        </w:tc>
        <w:tc>
          <w:tcPr>
            <w:tcW w:w="1346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771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</w:tr>
      <w:tr w:rsidR="00C1082C" w:rsidRPr="00D546A0" w:rsidTr="00D023BB">
        <w:trPr>
          <w:jc w:val="center"/>
        </w:trPr>
        <w:tc>
          <w:tcPr>
            <w:tcW w:w="238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Kinetic parameters</w:t>
            </w:r>
          </w:p>
        </w:tc>
        <w:tc>
          <w:tcPr>
            <w:tcW w:w="1912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1346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+</w:t>
            </w:r>
          </w:p>
        </w:tc>
        <w:tc>
          <w:tcPr>
            <w:tcW w:w="771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C1082C" w:rsidRPr="00D546A0" w:rsidRDefault="00C1082C" w:rsidP="00D023BB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</w:pPr>
            <w:r w:rsidRPr="00D546A0">
              <w:rPr>
                <w:rFonts w:asciiTheme="minorHAnsi" w:eastAsia="MS PGothic" w:hAnsiTheme="minorHAnsi"/>
                <w:color w:val="000000"/>
                <w:spacing w:val="-2"/>
                <w:sz w:val="20"/>
                <w:lang w:val="en-US"/>
              </w:rPr>
              <w:t>Ongoing</w:t>
            </w:r>
          </w:p>
        </w:tc>
      </w:tr>
    </w:tbl>
    <w:p w:rsidR="00CF2AB3" w:rsidRPr="00D546A0" w:rsidRDefault="00C1082C" w:rsidP="00704BDF">
      <w:pPr>
        <w:snapToGrid w:val="0"/>
        <w:spacing w:after="120"/>
        <w:rPr>
          <w:rFonts w:asciiTheme="minorHAnsi" w:eastAsia="MS PGothic" w:hAnsiTheme="minorHAnsi"/>
          <w:color w:val="000000"/>
          <w:spacing w:val="-2"/>
          <w:sz w:val="22"/>
          <w:szCs w:val="22"/>
          <w:lang w:val="en-US"/>
        </w:rPr>
      </w:pPr>
      <w:r w:rsidRPr="00D546A0">
        <w:rPr>
          <w:rFonts w:asciiTheme="minorHAnsi" w:eastAsia="MS PGothic" w:hAnsiTheme="minorHAnsi"/>
          <w:b/>
          <w:color w:val="000000"/>
          <w:spacing w:val="-2"/>
          <w:szCs w:val="18"/>
          <w:lang w:val="en-US"/>
        </w:rPr>
        <w:t>Table 1</w:t>
      </w:r>
      <w:r w:rsidRPr="00D546A0">
        <w:rPr>
          <w:rFonts w:asciiTheme="minorHAnsi" w:hAnsiTheme="minorHAnsi"/>
          <w:spacing w:val="-2"/>
          <w:lang w:val="en-US"/>
        </w:rPr>
        <w:t xml:space="preserve"> Comparison between </w:t>
      </w:r>
      <w:r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>possible strategies for CA use as promoter of enzymatic reactive absorption for CO</w:t>
      </w:r>
      <w:r w:rsidRPr="00D546A0">
        <w:rPr>
          <w:rFonts w:asciiTheme="minorHAnsi" w:eastAsia="MS PGothic" w:hAnsiTheme="minorHAnsi"/>
          <w:color w:val="000000"/>
          <w:spacing w:val="-2"/>
          <w:szCs w:val="18"/>
          <w:vertAlign w:val="subscript"/>
          <w:lang w:val="en-US"/>
        </w:rPr>
        <w:t>2</w:t>
      </w:r>
      <w:r w:rsidRPr="00D546A0">
        <w:rPr>
          <w:rFonts w:asciiTheme="minorHAnsi" w:eastAsia="MS PGothic" w:hAnsiTheme="minorHAnsi"/>
          <w:color w:val="000000"/>
          <w:spacing w:val="-2"/>
          <w:szCs w:val="18"/>
          <w:lang w:val="en-US"/>
        </w:rPr>
        <w:t xml:space="preserve"> capture.</w:t>
      </w:r>
    </w:p>
    <w:p w:rsidR="00704BDF" w:rsidRPr="00D546A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pacing w:val="-2"/>
          <w:sz w:val="20"/>
          <w:lang w:val="en-US"/>
        </w:rPr>
      </w:pPr>
      <w:r w:rsidRPr="00D546A0">
        <w:rPr>
          <w:rFonts w:asciiTheme="minorHAnsi" w:eastAsia="MS PGothic" w:hAnsiTheme="minorHAnsi"/>
          <w:b/>
          <w:bCs/>
          <w:color w:val="000000"/>
          <w:spacing w:val="-2"/>
          <w:sz w:val="20"/>
          <w:lang w:val="en-US"/>
        </w:rPr>
        <w:t>References</w:t>
      </w:r>
    </w:p>
    <w:p w:rsidR="00704BDF" w:rsidRPr="00D546A0" w:rsidRDefault="00914727" w:rsidP="0091472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spacing w:val="-2"/>
          <w:lang w:val="it-IT"/>
        </w:rPr>
      </w:pP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M.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E.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Russo, G. Olivieri, A. Marzocchella, P. Salatino, P.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Caramuscio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C.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Cavaleiro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Sep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Pur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Technol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107 (2013) 331–339. </w:t>
      </w:r>
    </w:p>
    <w:p w:rsidR="005346C8" w:rsidRPr="00D546A0" w:rsidRDefault="00914727" w:rsidP="0091472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pacing w:val="-2"/>
          <w:sz w:val="22"/>
          <w:szCs w:val="22"/>
          <w:lang w:eastAsia="zh-CN"/>
        </w:rPr>
      </w:pPr>
      <w:r w:rsidRPr="00D546A0">
        <w:rPr>
          <w:rFonts w:asciiTheme="minorHAnsi" w:hAnsiTheme="minorHAnsi"/>
          <w:color w:val="000000"/>
          <w:spacing w:val="-2"/>
        </w:rPr>
        <w:t xml:space="preserve">M.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Leimbrink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S.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Tlatlik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S. Salmon, A. K.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Kunze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T.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Limberg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R. Spitzer, A. Gottschalk, A.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Górak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M.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Skiborowski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, </w:t>
      </w:r>
      <w:proofErr w:type="spellStart"/>
      <w:r w:rsidRPr="00D546A0">
        <w:rPr>
          <w:rFonts w:asciiTheme="minorHAnsi" w:hAnsiTheme="minorHAnsi"/>
          <w:color w:val="000000"/>
          <w:spacing w:val="-2"/>
        </w:rPr>
        <w:t>Int</w:t>
      </w:r>
      <w:proofErr w:type="spellEnd"/>
      <w:r w:rsidRPr="00D546A0">
        <w:rPr>
          <w:rFonts w:asciiTheme="minorHAnsi" w:hAnsiTheme="minorHAnsi"/>
          <w:color w:val="000000"/>
          <w:spacing w:val="-2"/>
        </w:rPr>
        <w:t xml:space="preserve"> J Greenhouse Gas Control, 62 (2017) 100–112.</w:t>
      </w:r>
    </w:p>
    <w:p w:rsidR="00CF670C" w:rsidRPr="00D546A0" w:rsidRDefault="00CF670C" w:rsidP="00CF670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pacing w:val="-2"/>
        </w:rPr>
      </w:pPr>
      <w:r w:rsidRPr="00D546A0">
        <w:rPr>
          <w:rFonts w:asciiTheme="minorHAnsi" w:hAnsiTheme="minorHAnsi"/>
          <w:color w:val="000000"/>
          <w:spacing w:val="-2"/>
        </w:rPr>
        <w:t>Z. Chi, J. V O’Fallon, S. Chen, Trend</w:t>
      </w:r>
      <w:r w:rsidR="00B906A1" w:rsidRPr="00D546A0">
        <w:rPr>
          <w:rFonts w:asciiTheme="minorHAnsi" w:hAnsiTheme="minorHAnsi"/>
          <w:color w:val="000000"/>
          <w:spacing w:val="-2"/>
        </w:rPr>
        <w:t xml:space="preserve">s </w:t>
      </w:r>
      <w:proofErr w:type="spellStart"/>
      <w:r w:rsidR="00B906A1" w:rsidRPr="00D546A0">
        <w:rPr>
          <w:rFonts w:asciiTheme="minorHAnsi" w:hAnsiTheme="minorHAnsi"/>
          <w:color w:val="000000"/>
          <w:spacing w:val="-2"/>
        </w:rPr>
        <w:t>Biotechnol</w:t>
      </w:r>
      <w:proofErr w:type="spellEnd"/>
      <w:r w:rsidR="00B906A1" w:rsidRPr="00D546A0">
        <w:rPr>
          <w:rFonts w:asciiTheme="minorHAnsi" w:hAnsiTheme="minorHAnsi"/>
          <w:color w:val="000000"/>
          <w:spacing w:val="-2"/>
        </w:rPr>
        <w:t>. 29 (2011) 537–41.</w:t>
      </w:r>
    </w:p>
    <w:p w:rsidR="00704BDF" w:rsidRPr="00D546A0" w:rsidRDefault="00944158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pacing w:val="-2"/>
          <w:sz w:val="22"/>
          <w:szCs w:val="22"/>
          <w:lang w:val="it-IT" w:eastAsia="zh-CN"/>
        </w:rPr>
      </w:pP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B. Gris,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E.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Sforza, L.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Vecchiato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A.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Bertucco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Ind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Eng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Chem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>. Res. 53 (2014) 16678–16688.</w:t>
      </w:r>
    </w:p>
    <w:p w:rsidR="00704BDF" w:rsidRPr="00D546A0" w:rsidRDefault="00171FF4" w:rsidP="0080377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pacing w:val="-2"/>
          <w:lang w:val="it-IT"/>
        </w:rPr>
      </w:pPr>
      <w:r w:rsidRPr="00D546A0">
        <w:rPr>
          <w:rFonts w:asciiTheme="minorHAnsi" w:eastAsia="SimSun" w:hAnsiTheme="minorHAnsi"/>
          <w:spacing w:val="-2"/>
          <w:sz w:val="22"/>
          <w:szCs w:val="22"/>
          <w:lang w:val="it-IT" w:eastAsia="zh-CN"/>
        </w:rPr>
        <w:t>S</w:t>
      </w: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Del Prete, R. Perfetto, M. Rossi, F. A. S.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Alasmary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S. M.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Osman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Z.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AlOthman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C. T.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Supuran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C. Capasso, J.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Enz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Inihib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Medicinal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Chem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>, 32 (2017) 1120–1128</w:t>
      </w:r>
    </w:p>
    <w:p w:rsidR="00803773" w:rsidRPr="00D546A0" w:rsidRDefault="00803773" w:rsidP="0080377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pacing w:val="-2"/>
        </w:rPr>
      </w:pP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S. Peirce,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M.E.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Russo, R. Isticato, R.F.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Lafuente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P. Salatino, A. Marzocchella,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Biochem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r w:rsidRPr="00D546A0">
        <w:rPr>
          <w:rFonts w:asciiTheme="minorHAnsi" w:hAnsiTheme="minorHAnsi"/>
          <w:color w:val="000000"/>
          <w:spacing w:val="-2"/>
        </w:rPr>
        <w:t>Eng. J. 127 (2017) 188–195.</w:t>
      </w:r>
    </w:p>
    <w:p w:rsidR="00704BDF" w:rsidRPr="00D546A0" w:rsidRDefault="00803773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pacing w:val="-2"/>
          <w:sz w:val="22"/>
          <w:szCs w:val="22"/>
          <w:lang w:val="it-IT" w:eastAsia="zh-CN"/>
        </w:rPr>
      </w:pP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S. Peirce,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M.E.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Russo, R. Perfetto, C. Capasso, M. Rossi, R.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Fernandez-Lafuente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, P. Salatino, A. Marzocchella,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Biochem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Eng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J.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138 (2018) 1–11.</w:t>
      </w:r>
    </w:p>
    <w:p w:rsidR="008D64A1" w:rsidRPr="00D546A0" w:rsidRDefault="008D64A1" w:rsidP="008D64A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pacing w:val="-2"/>
          <w:sz w:val="22"/>
          <w:szCs w:val="22"/>
          <w:lang w:val="it-IT" w:eastAsia="zh-CN"/>
        </w:rPr>
      </w:pPr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M. </w:t>
      </w:r>
      <w:proofErr w:type="gramStart"/>
      <w:r w:rsidRPr="00D546A0">
        <w:rPr>
          <w:rFonts w:asciiTheme="minorHAnsi" w:hAnsiTheme="minorHAnsi"/>
          <w:color w:val="000000"/>
          <w:spacing w:val="-2"/>
          <w:lang w:val="it-IT"/>
        </w:rPr>
        <w:t>E.</w:t>
      </w:r>
      <w:proofErr w:type="gram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 Russo, P. Bareschino, F. Pepe, A. Marzocchella, P. Salatino,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Chem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Eng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 xml:space="preserve">. </w:t>
      </w:r>
      <w:proofErr w:type="spellStart"/>
      <w:r w:rsidRPr="00D546A0">
        <w:rPr>
          <w:rFonts w:asciiTheme="minorHAnsi" w:hAnsiTheme="minorHAnsi"/>
          <w:color w:val="000000"/>
          <w:spacing w:val="-2"/>
          <w:lang w:val="it-IT"/>
        </w:rPr>
        <w:t>Transact</w:t>
      </w:r>
      <w:proofErr w:type="spellEnd"/>
      <w:r w:rsidRPr="00D546A0">
        <w:rPr>
          <w:rFonts w:asciiTheme="minorHAnsi" w:hAnsiTheme="minorHAnsi"/>
          <w:color w:val="000000"/>
          <w:spacing w:val="-2"/>
          <w:lang w:val="it-IT"/>
        </w:rPr>
        <w:t>. 69 (2018)</w:t>
      </w:r>
    </w:p>
    <w:sectPr w:rsidR="008D64A1" w:rsidRPr="00D546A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44" w:rsidRDefault="00430E44" w:rsidP="004F5E36">
      <w:r>
        <w:separator/>
      </w:r>
    </w:p>
  </w:endnote>
  <w:endnote w:type="continuationSeparator" w:id="0">
    <w:p w:rsidR="00430E44" w:rsidRDefault="00430E4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44" w:rsidRDefault="00430E44" w:rsidP="004F5E36">
      <w:r>
        <w:separator/>
      </w:r>
    </w:p>
  </w:footnote>
  <w:footnote w:type="continuationSeparator" w:id="0">
    <w:p w:rsidR="00430E44" w:rsidRDefault="00430E4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9185F6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5EDD879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D3B57"/>
    <w:rsid w:val="000E36F1"/>
    <w:rsid w:val="000E3A73"/>
    <w:rsid w:val="000E414A"/>
    <w:rsid w:val="0013121F"/>
    <w:rsid w:val="00134DE4"/>
    <w:rsid w:val="00150E59"/>
    <w:rsid w:val="00171FF4"/>
    <w:rsid w:val="00184AD6"/>
    <w:rsid w:val="0018666B"/>
    <w:rsid w:val="001B65C1"/>
    <w:rsid w:val="001C684B"/>
    <w:rsid w:val="001D53FC"/>
    <w:rsid w:val="001F2EC7"/>
    <w:rsid w:val="002065DB"/>
    <w:rsid w:val="00207068"/>
    <w:rsid w:val="002447EF"/>
    <w:rsid w:val="00251550"/>
    <w:rsid w:val="0027221A"/>
    <w:rsid w:val="00275B61"/>
    <w:rsid w:val="002D1F12"/>
    <w:rsid w:val="003004E1"/>
    <w:rsid w:val="003009B7"/>
    <w:rsid w:val="0030469C"/>
    <w:rsid w:val="003359E7"/>
    <w:rsid w:val="003723D4"/>
    <w:rsid w:val="003A7D1C"/>
    <w:rsid w:val="003B588A"/>
    <w:rsid w:val="003C335E"/>
    <w:rsid w:val="00430B19"/>
    <w:rsid w:val="00430E44"/>
    <w:rsid w:val="0046164A"/>
    <w:rsid w:val="00462DCD"/>
    <w:rsid w:val="00474427"/>
    <w:rsid w:val="004D1162"/>
    <w:rsid w:val="004E4DD6"/>
    <w:rsid w:val="004F563B"/>
    <w:rsid w:val="004F5E36"/>
    <w:rsid w:val="005119A5"/>
    <w:rsid w:val="005278B7"/>
    <w:rsid w:val="005346C8"/>
    <w:rsid w:val="0058061E"/>
    <w:rsid w:val="00594E9F"/>
    <w:rsid w:val="005B61E6"/>
    <w:rsid w:val="005C77E1"/>
    <w:rsid w:val="005D5603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64B0D"/>
    <w:rsid w:val="006B01AC"/>
    <w:rsid w:val="006C5579"/>
    <w:rsid w:val="00704BDF"/>
    <w:rsid w:val="007301E1"/>
    <w:rsid w:val="00736B13"/>
    <w:rsid w:val="007447F3"/>
    <w:rsid w:val="007661C8"/>
    <w:rsid w:val="007D52CD"/>
    <w:rsid w:val="007D6A08"/>
    <w:rsid w:val="00803773"/>
    <w:rsid w:val="00813288"/>
    <w:rsid w:val="008168FC"/>
    <w:rsid w:val="008479A2"/>
    <w:rsid w:val="0087637F"/>
    <w:rsid w:val="00887DFB"/>
    <w:rsid w:val="008A1512"/>
    <w:rsid w:val="008C3DBF"/>
    <w:rsid w:val="008C570C"/>
    <w:rsid w:val="008D0BEB"/>
    <w:rsid w:val="008D64A1"/>
    <w:rsid w:val="008E566E"/>
    <w:rsid w:val="00901EB6"/>
    <w:rsid w:val="00914727"/>
    <w:rsid w:val="00944158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A1531"/>
    <w:rsid w:val="00AB0964"/>
    <w:rsid w:val="00AE377D"/>
    <w:rsid w:val="00B22E3F"/>
    <w:rsid w:val="00B61DBF"/>
    <w:rsid w:val="00B906A1"/>
    <w:rsid w:val="00BC30C9"/>
    <w:rsid w:val="00BE3E58"/>
    <w:rsid w:val="00C01616"/>
    <w:rsid w:val="00C0162B"/>
    <w:rsid w:val="00C1082C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CF2AB3"/>
    <w:rsid w:val="00CF670C"/>
    <w:rsid w:val="00D02B4C"/>
    <w:rsid w:val="00D546A0"/>
    <w:rsid w:val="00D82146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B77EA"/>
    <w:rsid w:val="00EE0131"/>
    <w:rsid w:val="00F30C64"/>
    <w:rsid w:val="00F972C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Revisione">
    <w:name w:val="Revision"/>
    <w:hidden/>
    <w:uiPriority w:val="99"/>
    <w:semiHidden/>
    <w:rsid w:val="000D3B5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Revisione">
    <w:name w:val="Revision"/>
    <w:hidden/>
    <w:uiPriority w:val="99"/>
    <w:semiHidden/>
    <w:rsid w:val="000D3B5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87DF-8867-49A1-BD92-4BC927A4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maria elena russo</cp:lastModifiedBy>
  <cp:revision>19</cp:revision>
  <cp:lastPrinted>2015-05-12T18:31:00Z</cp:lastPrinted>
  <dcterms:created xsi:type="dcterms:W3CDTF">2019-04-29T13:27:00Z</dcterms:created>
  <dcterms:modified xsi:type="dcterms:W3CDTF">2019-04-30T12:42:00Z</dcterms:modified>
</cp:coreProperties>
</file>