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421B7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The</w:t>
      </w:r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033186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Power-to-Liquid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Concept:</w:t>
      </w:r>
      <w:r w:rsidR="00033186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 Novel process for the</w:t>
      </w:r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>roduction of (Poly-)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>Oxymethylene</w:t>
      </w:r>
      <w:proofErr w:type="spellEnd"/>
      <w:r w:rsidR="00BC083A" w:rsidRPr="00BC08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Dimethyl Ether</w:t>
      </w:r>
      <w:r w:rsidR="00372FA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(OME)</w:t>
      </w:r>
    </w:p>
    <w:p w:rsidR="00DE0019" w:rsidRPr="0072086A" w:rsidRDefault="00C73581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Franz </w:t>
      </w:r>
      <w:bookmarkStart w:id="0" w:name="_GoBack"/>
      <w:bookmarkEnd w:id="0"/>
      <w:r w:rsidR="00033186" w:rsidRPr="0072086A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Mantei</w:t>
      </w:r>
      <w:r w:rsidR="00033186" w:rsidRPr="0072086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1, 2</w:t>
      </w:r>
      <w:r w:rsidR="00033186" w:rsidRPr="0072086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033186" w:rsidRPr="007208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 xml:space="preserve"> </w:t>
      </w:r>
      <w:r w:rsidR="00BC083A" w:rsidRPr="0072086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Lara Theiss</w:t>
      </w:r>
      <w:r w:rsidR="00704BDF" w:rsidRPr="007208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72086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421B7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Mohamed </w:t>
      </w:r>
      <w:r w:rsidR="00BC083A" w:rsidRPr="0072086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Ouda</w:t>
      </w:r>
      <w:r w:rsidR="00BC083A" w:rsidRPr="007208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BC083A" w:rsidRPr="0072086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Dr. </w:t>
      </w:r>
      <w:proofErr w:type="spellStart"/>
      <w:r w:rsidR="00BC083A" w:rsidRPr="0072086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Achim</w:t>
      </w:r>
      <w:proofErr w:type="spellEnd"/>
      <w:r w:rsidR="00BC083A" w:rsidRPr="0072086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Schaadt</w:t>
      </w:r>
      <w:r w:rsidR="00BC083A" w:rsidRPr="007208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72086A" w:rsidRDefault="00704BDF" w:rsidP="00BC083A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2086A">
        <w:rPr>
          <w:rFonts w:eastAsia="MS PGothic"/>
          <w:i/>
          <w:iCs/>
          <w:color w:val="000000"/>
          <w:sz w:val="20"/>
          <w:lang w:val="en-US"/>
        </w:rPr>
        <w:t>1</w:t>
      </w:r>
      <w:r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Fraunhofer</w:t>
      </w:r>
      <w:proofErr w:type="spellEnd"/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</w:t>
      </w:r>
      <w:r w:rsidR="00BC54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f</w:t>
      </w:r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or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Solar Energ</w:t>
      </w:r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y S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ystem</w:t>
      </w:r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ISE, </w:t>
      </w:r>
      <w:proofErr w:type="spellStart"/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Heidenhofstraße</w:t>
      </w:r>
      <w:proofErr w:type="spellEnd"/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2, 79110 Freiburg, Germany</w:t>
      </w:r>
      <w:r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ab/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ab/>
      </w:r>
      <w:r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Chair of Chemical &amp; Process Engineering, TU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Berlin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Fraunhoferstraße</w:t>
      </w:r>
      <w:proofErr w:type="spellEnd"/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33-36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033186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10587 Berlin,</w:t>
      </w:r>
      <w:r w:rsidR="00BC083A" w:rsidRPr="0072086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Germany</w:t>
      </w:r>
    </w:p>
    <w:p w:rsidR="00704BDF" w:rsidRPr="00BC083A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BC083A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BC083A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BC083A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33186">
        <w:rPr>
          <w:rFonts w:asciiTheme="minorHAnsi" w:eastAsia="MS PGothic" w:hAnsiTheme="minorHAnsi"/>
          <w:bCs/>
          <w:i/>
          <w:iCs/>
          <w:sz w:val="20"/>
          <w:lang w:val="en-US"/>
        </w:rPr>
        <w:t>franz</w:t>
      </w:r>
      <w:r w:rsidR="00BC083A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033186">
        <w:rPr>
          <w:rFonts w:asciiTheme="minorHAnsi" w:eastAsia="MS PGothic" w:hAnsiTheme="minorHAnsi"/>
          <w:bCs/>
          <w:i/>
          <w:iCs/>
          <w:sz w:val="20"/>
          <w:lang w:val="en-US"/>
        </w:rPr>
        <w:t>mantei</w:t>
      </w:r>
      <w:r w:rsidR="00BC083A">
        <w:rPr>
          <w:rFonts w:asciiTheme="minorHAnsi" w:eastAsia="MS PGothic" w:hAnsiTheme="minorHAnsi"/>
          <w:bCs/>
          <w:i/>
          <w:iCs/>
          <w:sz w:val="20"/>
          <w:lang w:val="en-US"/>
        </w:rPr>
        <w:t>@ise.fraunhofer.de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033186" w:rsidRDefault="00033186" w:rsidP="00C40B1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sustainable and efficient production of OME</w:t>
      </w:r>
    </w:p>
    <w:p w:rsidR="00C40B13" w:rsidRDefault="00421B72" w:rsidP="00C40B1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Overall Process energy</w:t>
      </w:r>
      <w:r w:rsidR="00033186">
        <w:rPr>
          <w:rFonts w:asciiTheme="minorHAnsi" w:hAnsiTheme="minorHAnsi"/>
        </w:rPr>
        <w:t xml:space="preserve"> efficiency of &gt;</w:t>
      </w:r>
      <w:r w:rsidR="009239F8">
        <w:rPr>
          <w:rFonts w:asciiTheme="minorHAnsi" w:hAnsiTheme="minorHAnsi"/>
        </w:rPr>
        <w:t xml:space="preserve"> 55</w:t>
      </w:r>
      <w:r w:rsidR="00033186">
        <w:rPr>
          <w:rFonts w:asciiTheme="minorHAnsi" w:hAnsiTheme="minorHAnsi"/>
        </w:rPr>
        <w:t xml:space="preserve"> %</w:t>
      </w:r>
      <w:r>
        <w:rPr>
          <w:rFonts w:asciiTheme="minorHAnsi" w:hAnsiTheme="minorHAnsi"/>
        </w:rPr>
        <w:t xml:space="preserve"> starting from H</w:t>
      </w:r>
      <w:r w:rsidRPr="00421B72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and CO</w:t>
      </w:r>
      <w:r w:rsidRPr="00421B72">
        <w:rPr>
          <w:rFonts w:asciiTheme="minorHAnsi" w:hAnsiTheme="minorHAnsi"/>
          <w:vertAlign w:val="subscript"/>
        </w:rPr>
        <w:t>2</w:t>
      </w:r>
    </w:p>
    <w:p w:rsidR="00272C84" w:rsidRDefault="00033186" w:rsidP="00C40B1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Yield of &gt;</w:t>
      </w:r>
      <w:r w:rsidR="009239F8">
        <w:rPr>
          <w:rFonts w:asciiTheme="minorHAnsi" w:hAnsiTheme="minorHAnsi"/>
        </w:rPr>
        <w:t xml:space="preserve"> 45</w:t>
      </w:r>
      <w:r>
        <w:rPr>
          <w:rFonts w:asciiTheme="minorHAnsi" w:hAnsiTheme="minorHAnsi"/>
        </w:rPr>
        <w:t xml:space="preserve"> % </w:t>
      </w:r>
      <w:r w:rsidR="00C43A32">
        <w:rPr>
          <w:rFonts w:asciiTheme="minorHAnsi" w:hAnsiTheme="minorHAnsi"/>
        </w:rPr>
        <w:t xml:space="preserve">OME </w:t>
      </w:r>
      <w:r>
        <w:rPr>
          <w:rFonts w:asciiTheme="minorHAnsi" w:hAnsiTheme="minorHAnsi"/>
        </w:rPr>
        <w:t>starting from H</w:t>
      </w:r>
      <w:r w:rsidRPr="00033186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and CO</w:t>
      </w:r>
      <w:r w:rsidRPr="00033186">
        <w:rPr>
          <w:rFonts w:asciiTheme="minorHAnsi" w:hAnsiTheme="minorHAnsi"/>
          <w:vertAlign w:val="subscript"/>
        </w:rPr>
        <w:t>2</w:t>
      </w:r>
    </w:p>
    <w:p w:rsidR="00704BDF" w:rsidRPr="005A2521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5A25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E68D5" w:rsidRDefault="00CE68D5" w:rsidP="00C40B1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OME 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interesting </w:t>
      </w:r>
      <w:proofErr w:type="spellStart"/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physical</w:t>
      </w:r>
      <w:proofErr w:type="spellEnd"/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properties 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make them suitable for 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applications 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Pr="009239F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absorption, solvent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 direct oxidation fuel cells (DOFC) and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diesel fuel blend or alternative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E2043" w:rsidRP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[1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>-3</w:t>
      </w:r>
      <w:r w:rsidR="00FE2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OME have a relatively high energy density and are environmental benign which adds to their advantages as a fuel or chemical/solvent candidate. 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Especially </w:t>
      </w:r>
      <w:proofErr w:type="spellStart"/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OME</w:t>
      </w:r>
      <w:r w:rsidRPr="006646E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n</w:t>
      </w:r>
      <w:proofErr w:type="spellEnd"/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chain length of n = 3-5 show fuel properties close to diesel fuel. Due to their high molecular bound oxygen content and missing C-C bounds</w:t>
      </w:r>
      <w:r w:rsidR="0066726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already low blends to diesel fuel can reduce soot emission considerably which enables a reduction for NO</w:t>
      </w:r>
      <w:r w:rsidRPr="00CE68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</w:t>
      </w:r>
      <w:r w:rsidR="00D828C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2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</w:p>
    <w:p w:rsidR="00CE68D5" w:rsidRDefault="00D575AB" w:rsidP="00C40B1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studies 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regarding their application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potential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alternative 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fuel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extensive</w:t>
      </w:r>
      <w:r w:rsidR="001A4CAB"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sustainable, economical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scalable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efficient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industrial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for the production of OME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3-5</w:t>
      </w:r>
      <w:r w:rsid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still not realized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 a simple and efficient OME synthesis process will be introduced.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aim is to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number of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units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increase the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efficiency and total yield of OME</w:t>
      </w:r>
      <w:r w:rsidR="00CE68D5" w:rsidRPr="00E44EC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3-5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considering 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scalability 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economic feasibility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D575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[5]</w:t>
      </w:r>
      <w:r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novel process addressed in this work comprises two steps, namely: (1) 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oxidative dehydrogenation of </w:t>
      </w:r>
      <w:proofErr w:type="spellStart"/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MeOH</w:t>
      </w:r>
      <w:proofErr w:type="spellEnd"/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wards Formaldehyde (FA) and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OME</w:t>
      </w:r>
      <w:r w:rsidR="00CE68D5" w:rsidRPr="00E44EC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E44EC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E44EC8" w:rsidRP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single reactor unit.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(2) 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mixture 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subsequently be converted to OME</w:t>
      </w:r>
      <w:r w:rsidR="00CE68D5" w:rsidRPr="00E44EC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3-5</w:t>
      </w:r>
      <w:r w:rsidR="00855865" w:rsidRPr="00855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mild conditions</w:t>
      </w:r>
      <w:r w:rsidR="00CE68D5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major challenge for the OME processes is the water management, since it</w:t>
      </w:r>
      <w:r w:rsidR="00583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39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produced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46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 side product of the</w:t>
      </w:r>
      <w:r w:rsidR="00C957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reactions</w:t>
      </w:r>
      <w:r w:rsidR="005839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starting from </w:t>
      </w:r>
      <w:proofErr w:type="spellStart"/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MeOH</w:t>
      </w:r>
      <w:proofErr w:type="spellEnd"/>
      <w:r w:rsidR="00E44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92C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Its separation </w:t>
      </w:r>
      <w:r w:rsidR="00CD0C34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492C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thermal separation units is a complex challenge due to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formation of </w:t>
      </w:r>
      <w:r w:rsidR="001A4CAB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</w:t>
      </w:r>
      <w:r w:rsidR="00492C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azeotropes, reactions and miscibility gaps, thus some research is done investigating alternative separation </w:t>
      </w:r>
      <w:proofErr w:type="spellStart"/>
      <w:r w:rsidR="001A4CAB">
        <w:rPr>
          <w:rFonts w:asciiTheme="minorHAnsi" w:eastAsia="MS PGothic" w:hAnsiTheme="minorHAnsi"/>
          <w:color w:val="000000"/>
          <w:sz w:val="22"/>
          <w:szCs w:val="22"/>
          <w:lang w:val="en-US"/>
        </w:rPr>
        <w:t>tehnologies</w:t>
      </w:r>
      <w:proofErr w:type="spellEnd"/>
      <w:r w:rsidR="001A4C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2C15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membranes, adsorption or extraction.</w:t>
      </w:r>
      <w:r w:rsidR="00492C15" w:rsidRPr="00957870">
        <w:rPr>
          <w:rFonts w:asciiTheme="minorHAnsi" w:hAnsiTheme="minorHAnsi" w:cstheme="minorHAnsi"/>
          <w:sz w:val="22"/>
          <w:lang w:val="en-US"/>
        </w:rPr>
        <w:t xml:space="preserve"> </w:t>
      </w:r>
      <w:r w:rsidR="0038026D" w:rsidRPr="00D828CB">
        <w:rPr>
          <w:rFonts w:asciiTheme="minorHAnsi" w:hAnsiTheme="minorHAnsi" w:cstheme="minorHAnsi"/>
          <w:sz w:val="22"/>
          <w:lang w:val="en-US"/>
        </w:rPr>
        <w:t xml:space="preserve">[6, </w:t>
      </w:r>
      <w:r w:rsidR="00D828CB" w:rsidRPr="00D828CB">
        <w:rPr>
          <w:rFonts w:asciiTheme="minorHAnsi" w:hAnsiTheme="minorHAnsi" w:cstheme="minorHAnsi"/>
          <w:sz w:val="22"/>
          <w:lang w:val="en-US"/>
        </w:rPr>
        <w:t>7]</w:t>
      </w:r>
      <w:r w:rsidR="00E44EC8" w:rsidRPr="00957870">
        <w:rPr>
          <w:rFonts w:asciiTheme="minorHAnsi" w:eastAsia="MS PGothic" w:hAnsiTheme="minorHAnsi" w:cstheme="minorHAnsi"/>
          <w:color w:val="000000"/>
          <w:sz w:val="28"/>
          <w:szCs w:val="22"/>
          <w:lang w:val="en-US"/>
        </w:rPr>
        <w:t xml:space="preserve"> </w:t>
      </w:r>
    </w:p>
    <w:p w:rsidR="00956930" w:rsidRPr="005A2521" w:rsidRDefault="00704BDF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5A25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5430EB" w:rsidRDefault="005430EB" w:rsidP="005430E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evaluate the potential of the investigated process based on the </w:t>
      </w:r>
      <w:r w:rsidR="00757057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oxidative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</w:t>
      </w:r>
      <w:r w:rsidR="00757057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hydrogenation of </w:t>
      </w:r>
      <w:proofErr w:type="spellStart"/>
      <w:r w:rsidR="00757057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MeOH</w:t>
      </w:r>
      <w:proofErr w:type="spellEnd"/>
      <w:r w:rsidR="00757057" w:rsidRPr="005A25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produce OME</w:t>
      </w:r>
      <w:r w:rsidR="0066726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process</w:t>
      </w:r>
      <w:r w:rsidR="00E270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simulated using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commercial process simulation software. Different</w:t>
      </w:r>
      <w:r w:rsidR="00250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units were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validated to ensure </w:t>
      </w:r>
      <w:r w:rsidR="00CF4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realistic behavior of the applied models.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70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increase the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="00E27026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>y efficiency</w:t>
      </w:r>
      <w:r w:rsidR="0066726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270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A4CAB">
        <w:rPr>
          <w:rFonts w:asciiTheme="minorHAnsi" w:eastAsia="MS PGothic" w:hAnsiTheme="minorHAnsi"/>
          <w:color w:val="000000"/>
          <w:sz w:val="22"/>
          <w:szCs w:val="22"/>
          <w:lang w:val="en-US"/>
        </w:rPr>
        <w:t>heat</w:t>
      </w:r>
      <w:r w:rsidR="00E270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integration was conducted for the whole process covering the </w:t>
      </w:r>
      <w:proofErr w:type="spellStart"/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>MeOH</w:t>
      </w:r>
      <w:proofErr w:type="spellEnd"/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70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synthesis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H</w:t>
      </w:r>
      <w:r w:rsidR="00CB340D" w:rsidRPr="00CB340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</w:t>
      </w:r>
      <w:r w:rsidR="00CB340D" w:rsidRPr="00CB340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70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subsequent OME </w:t>
      </w:r>
      <w:r w:rsidR="00E270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synthesis.</w:t>
      </w:r>
      <w:r w:rsidR="003436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3436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3436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process with alternative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OME synthesis </w:t>
      </w:r>
      <w:r w:rsidR="003436E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processes</w:t>
      </w:r>
      <w:r w:rsidR="0066726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436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36E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key performance </w:t>
      </w:r>
      <w:r w:rsidR="00E121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indicators </w:t>
      </w:r>
      <w:r w:rsidR="00184E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(KPIs) </w:t>
      </w:r>
      <w:r w:rsidR="00E121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evaluated</w:t>
      </w:r>
      <w:r w:rsidR="00E121CC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Finally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A4CA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preliminary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</w:t>
      </w:r>
      <w:r w:rsidR="00E121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cost estimation was conducted </w:t>
      </w:r>
      <w:r w:rsidR="00CB340D">
        <w:rPr>
          <w:rFonts w:asciiTheme="minorHAnsi" w:eastAsia="MS PGothic" w:hAnsiTheme="minorHAnsi"/>
          <w:color w:val="000000"/>
          <w:sz w:val="22"/>
          <w:szCs w:val="22"/>
          <w:lang w:val="en-US"/>
        </w:rPr>
        <w:t>identifying the economic advantage of the investigated process</w:t>
      </w:r>
      <w:r w:rsidR="00E121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5A252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A25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27410E" w:rsidRPr="00CD0C34" w:rsidRDefault="000771A8" w:rsidP="00CD0C34">
      <w:pPr>
        <w:pStyle w:val="Beschriftung"/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</w:pP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The production </w:t>
      </w:r>
      <w:r w:rsidR="008D6190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capacity 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of </w:t>
      </w:r>
      <w:r w:rsidR="0048782B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35 </w:t>
      </w:r>
      <w:proofErr w:type="spellStart"/>
      <w:r w:rsidR="0048782B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kt</w:t>
      </w:r>
      <w:proofErr w:type="spellEnd"/>
      <w:r w:rsidR="0048782B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OME </w:t>
      </w:r>
      <w:r w:rsidR="0048782B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per </w:t>
      </w:r>
      <w:r w:rsidR="00CB340D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annum</w:t>
      </w:r>
      <w:r w:rsidR="0048782B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starting from H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vertAlign w:val="subscript"/>
          <w:lang w:val="en-US"/>
        </w:rPr>
        <w:t>2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and CO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vertAlign w:val="subscript"/>
          <w:lang w:val="en-US"/>
        </w:rPr>
        <w:t>2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r w:rsidR="00CB340D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to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MeOH</w:t>
      </w:r>
      <w:proofErr w:type="spellEnd"/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r w:rsidR="00CB340D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and further </w:t>
      </w:r>
      <w:r w:rsidR="008D6190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oxidative </w:t>
      </w:r>
      <w:r w:rsidR="00CB340D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dehyd</w:t>
      </w:r>
      <w:r w:rsidR="008D6190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r</w:t>
      </w:r>
      <w:r w:rsidR="00CB340D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ogenation 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to FA and OME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vertAlign w:val="subscript"/>
          <w:lang w:val="en-US"/>
        </w:rPr>
        <w:t>1</w:t>
      </w:r>
      <w:r w:rsidR="008D6190" w:rsidRPr="008D6190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, water separation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and finally </w:t>
      </w:r>
      <w:proofErr w:type="spellStart"/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OME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vertAlign w:val="subscript"/>
          <w:lang w:val="en-US"/>
        </w:rPr>
        <w:t>n</w:t>
      </w:r>
      <w:proofErr w:type="spellEnd"/>
      <w:r w:rsidR="008D6190">
        <w:rPr>
          <w:rFonts w:asciiTheme="minorHAnsi" w:eastAsia="MS PGothic" w:hAnsiTheme="minorHAnsi"/>
          <w:b w:val="0"/>
          <w:color w:val="000000"/>
          <w:sz w:val="22"/>
          <w:szCs w:val="22"/>
          <w:vertAlign w:val="subscript"/>
          <w:lang w:val="en-US"/>
        </w:rPr>
        <w:t xml:space="preserve"> </w:t>
      </w:r>
      <w:r w:rsidR="008D6190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synthesis</w:t>
      </w:r>
      <w:r w:rsidR="00667262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, </w:t>
      </w:r>
      <w:r w:rsidR="008D6190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is introduced</w:t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. A scheme of the process is shown in</w:t>
      </w:r>
      <w:r w:rsidR="006B5C78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r w:rsidR="006B5C78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fldChar w:fldCharType="begin"/>
      </w:r>
      <w:r w:rsidR="006B5C78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instrText xml:space="preserve"> REF _Ref5172165 \h  \* MERGEFORMAT </w:instrText>
      </w:r>
      <w:r w:rsidR="006B5C78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</w:r>
      <w:r w:rsidR="006B5C78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fldChar w:fldCharType="separate"/>
      </w:r>
      <w:r w:rsidR="006B5C78" w:rsidRPr="006B5C78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Figure 1</w:t>
      </w:r>
      <w:r w:rsidR="006B5C78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fldChar w:fldCharType="end"/>
      </w:r>
      <w:r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. </w:t>
      </w:r>
      <w:r w:rsidR="00184EA0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The KPIs show great potential for the process in terms of </w:t>
      </w:r>
      <w:r w:rsidR="00C10647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process </w:t>
      </w:r>
      <w:r w:rsidR="00184EA0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energ</w:t>
      </w:r>
      <w:r w:rsidR="00C10647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y</w:t>
      </w:r>
      <w:r w:rsidR="00184EA0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efficiency</w:t>
      </w:r>
      <w:r w:rsidR="00CB29E6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&gt; </w:t>
      </w:r>
      <w:r w:rsidR="000C3E50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55</w:t>
      </w:r>
      <w:r w:rsidR="00CB29E6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%</w:t>
      </w:r>
      <w:r w:rsidR="000F46D2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and</w:t>
      </w:r>
      <w:r w:rsidR="00CB29E6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yield of </w:t>
      </w:r>
      <w:proofErr w:type="spellStart"/>
      <w:r w:rsidR="00CB29E6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OME</w:t>
      </w:r>
      <w:r w:rsidR="00CB29E6" w:rsidRPr="00CD0C34">
        <w:rPr>
          <w:rFonts w:asciiTheme="minorHAnsi" w:eastAsia="MS PGothic" w:hAnsiTheme="minorHAnsi"/>
          <w:b w:val="0"/>
          <w:color w:val="000000"/>
          <w:sz w:val="22"/>
          <w:szCs w:val="22"/>
          <w:vertAlign w:val="subscript"/>
          <w:lang w:val="en-US"/>
        </w:rPr>
        <w:t>n</w:t>
      </w:r>
      <w:proofErr w:type="spellEnd"/>
      <w:r w:rsidR="00184EA0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r w:rsidR="000F46D2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&gt;</w:t>
      </w:r>
      <w:r w:rsidR="000C3E50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45</w:t>
      </w:r>
      <w:r w:rsidR="000F46D2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%</w:t>
      </w:r>
      <w:r w:rsidR="00C10647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with</w:t>
      </w:r>
      <w:r w:rsidR="000F46D2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estimated costs </w:t>
      </w:r>
      <w:r w:rsidR="00C10647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of </w:t>
      </w:r>
      <w:r w:rsidR="000F46D2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&gt; 1000 </w:t>
      </w:r>
      <w:r w:rsidR="000C3E50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US$</w:t>
      </w:r>
      <w:r w:rsidR="000F46D2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/</w:t>
      </w:r>
      <w:proofErr w:type="spellStart"/>
      <w:r w:rsidR="000F46D2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t</w:t>
      </w:r>
      <w:r w:rsidR="000F46D2" w:rsidRPr="00CD0C34">
        <w:rPr>
          <w:rFonts w:asciiTheme="minorHAnsi" w:eastAsia="MS PGothic" w:hAnsiTheme="minorHAnsi"/>
          <w:b w:val="0"/>
          <w:color w:val="000000"/>
          <w:sz w:val="22"/>
          <w:szCs w:val="22"/>
          <w:vertAlign w:val="subscript"/>
          <w:lang w:val="en-US"/>
        </w:rPr>
        <w:t>OME</w:t>
      </w:r>
      <w:proofErr w:type="spellEnd"/>
      <w:r w:rsidR="00610E23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. </w:t>
      </w:r>
      <w:r w:rsidR="00897C76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The</w:t>
      </w:r>
      <w:r w:rsidR="0048782B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cost</w:t>
      </w:r>
      <w:r w:rsidR="00897C76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s are mainly influenced</w:t>
      </w:r>
      <w:r w:rsidR="0048782B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r w:rsidR="00897C76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by the scale of the process</w:t>
      </w:r>
      <w:r w:rsidR="004E4AAD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  <w:r w:rsidR="00897C76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and the costs for renewable H</w:t>
      </w:r>
      <w:r w:rsidR="00897C76" w:rsidRPr="00897C76">
        <w:rPr>
          <w:rFonts w:asciiTheme="minorHAnsi" w:eastAsia="MS PGothic" w:hAnsiTheme="minorHAnsi"/>
          <w:b w:val="0"/>
          <w:color w:val="000000"/>
          <w:sz w:val="22"/>
          <w:szCs w:val="22"/>
          <w:vertAlign w:val="subscript"/>
          <w:lang w:val="en-US"/>
        </w:rPr>
        <w:t>2</w:t>
      </w:r>
      <w:r w:rsidR="00897C76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which can be reduced </w:t>
      </w:r>
      <w:r w:rsidR="00B24D72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in </w:t>
      </w:r>
      <w:r w:rsidR="00F75C6E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regions with lower costs for renewable </w:t>
      </w:r>
      <w:r w:rsidR="005A0AB9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electricity</w:t>
      </w:r>
      <w:r w:rsidR="00F75C6E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>.</w:t>
      </w:r>
      <w:r w:rsidR="0048782B" w:rsidRPr="00CD0C34">
        <w:rPr>
          <w:rFonts w:asciiTheme="minorHAnsi" w:eastAsia="MS PGothic" w:hAnsiTheme="minorHAnsi"/>
          <w:b w:val="0"/>
          <w:color w:val="000000"/>
          <w:sz w:val="22"/>
          <w:szCs w:val="22"/>
          <w:lang w:val="en-US"/>
        </w:rPr>
        <w:t xml:space="preserve"> </w:t>
      </w:r>
    </w:p>
    <w:p w:rsidR="00CD0C34" w:rsidRDefault="002A3461" w:rsidP="00CD0C34">
      <w:pPr>
        <w:keepNext/>
        <w:snapToGrid w:val="0"/>
        <w:spacing w:after="120"/>
        <w:jc w:val="center"/>
      </w:pPr>
      <w:r>
        <w:rPr>
          <w:noProof/>
          <w:lang w:val="de-DE" w:eastAsia="de-DE"/>
        </w:rPr>
        <w:drawing>
          <wp:inline distT="0" distB="0" distL="0" distR="0" wp14:anchorId="3C385CBE" wp14:editId="228081DB">
            <wp:extent cx="5579745" cy="1929716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92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DE0019" w:rsidRDefault="00CD0C34" w:rsidP="00CD0C34">
      <w:pPr>
        <w:pStyle w:val="Beschriftung"/>
        <w:jc w:val="center"/>
        <w:rPr>
          <w:rFonts w:asciiTheme="minorHAnsi" w:eastAsia="MS PGothic" w:hAnsiTheme="minorHAnsi"/>
          <w:color w:val="000000"/>
        </w:rPr>
      </w:pPr>
      <w:bookmarkStart w:id="1" w:name="_Ref5172165"/>
      <w:r w:rsidRPr="00CD0C34">
        <w:rPr>
          <w:rFonts w:asciiTheme="minorHAnsi" w:eastAsia="MS PGothic" w:hAnsiTheme="minorHAnsi"/>
          <w:bCs w:val="0"/>
          <w:color w:val="000000"/>
          <w:lang w:val="en-US"/>
        </w:rPr>
        <w:t xml:space="preserve">Figure </w:t>
      </w:r>
      <w:r w:rsidRPr="00CD0C34">
        <w:rPr>
          <w:rFonts w:asciiTheme="minorHAnsi" w:eastAsia="MS PGothic" w:hAnsiTheme="minorHAnsi"/>
          <w:bCs w:val="0"/>
          <w:color w:val="000000"/>
          <w:lang w:val="en-US"/>
        </w:rPr>
        <w:fldChar w:fldCharType="begin"/>
      </w:r>
      <w:r w:rsidRPr="00CD0C34">
        <w:rPr>
          <w:rFonts w:asciiTheme="minorHAnsi" w:eastAsia="MS PGothic" w:hAnsiTheme="minorHAnsi"/>
          <w:bCs w:val="0"/>
          <w:color w:val="000000"/>
          <w:lang w:val="en-US"/>
        </w:rPr>
        <w:instrText xml:space="preserve"> SEQ Figure \* ARABIC </w:instrText>
      </w:r>
      <w:r w:rsidRPr="00CD0C34">
        <w:rPr>
          <w:rFonts w:asciiTheme="minorHAnsi" w:eastAsia="MS PGothic" w:hAnsiTheme="minorHAnsi"/>
          <w:bCs w:val="0"/>
          <w:color w:val="000000"/>
          <w:lang w:val="en-US"/>
        </w:rPr>
        <w:fldChar w:fldCharType="separate"/>
      </w:r>
      <w:r w:rsidR="006B5C78">
        <w:rPr>
          <w:rFonts w:asciiTheme="minorHAnsi" w:eastAsia="MS PGothic" w:hAnsiTheme="minorHAnsi"/>
          <w:bCs w:val="0"/>
          <w:noProof/>
          <w:color w:val="000000"/>
          <w:lang w:val="en-US"/>
        </w:rPr>
        <w:t>1</w:t>
      </w:r>
      <w:r w:rsidRPr="00CD0C34">
        <w:rPr>
          <w:rFonts w:asciiTheme="minorHAnsi" w:eastAsia="MS PGothic" w:hAnsiTheme="minorHAnsi"/>
          <w:bCs w:val="0"/>
          <w:color w:val="000000"/>
          <w:lang w:val="en-US"/>
        </w:rPr>
        <w:fldChar w:fldCharType="end"/>
      </w:r>
      <w:bookmarkEnd w:id="1"/>
      <w:r>
        <w:t xml:space="preserve"> </w:t>
      </w:r>
      <w:r w:rsidRPr="00CD0C34">
        <w:rPr>
          <w:rFonts w:asciiTheme="minorHAnsi" w:eastAsia="MS PGothic" w:hAnsiTheme="minorHAnsi"/>
          <w:b w:val="0"/>
          <w:bCs w:val="0"/>
          <w:color w:val="000000"/>
          <w:lang w:val="en-US"/>
        </w:rPr>
        <w:t xml:space="preserve">Scheme for the production of </w:t>
      </w:r>
      <w:proofErr w:type="spellStart"/>
      <w:r w:rsidRPr="00CD0C34">
        <w:rPr>
          <w:rFonts w:asciiTheme="minorHAnsi" w:eastAsia="MS PGothic" w:hAnsiTheme="minorHAnsi"/>
          <w:b w:val="0"/>
          <w:bCs w:val="0"/>
          <w:color w:val="000000"/>
          <w:lang w:val="en-US"/>
        </w:rPr>
        <w:t>OME</w:t>
      </w:r>
      <w:r w:rsidRPr="00CD0C34">
        <w:rPr>
          <w:rFonts w:asciiTheme="minorHAnsi" w:eastAsia="MS PGothic" w:hAnsiTheme="minorHAnsi"/>
          <w:b w:val="0"/>
          <w:bCs w:val="0"/>
          <w:color w:val="000000"/>
          <w:vertAlign w:val="subscript"/>
          <w:lang w:val="en-US"/>
        </w:rPr>
        <w:t>n</w:t>
      </w:r>
      <w:proofErr w:type="spellEnd"/>
      <w:r w:rsidRPr="00CD0C34">
        <w:rPr>
          <w:rFonts w:asciiTheme="minorHAnsi" w:eastAsia="MS PGothic" w:hAnsiTheme="minorHAnsi"/>
          <w:b w:val="0"/>
          <w:bCs w:val="0"/>
          <w:color w:val="000000"/>
          <w:lang w:val="en-US"/>
        </w:rPr>
        <w:t xml:space="preserve"> via oxidative dehydrogenation of </w:t>
      </w:r>
      <w:proofErr w:type="spellStart"/>
      <w:r w:rsidRPr="00CD0C34">
        <w:rPr>
          <w:rFonts w:asciiTheme="minorHAnsi" w:eastAsia="MS PGothic" w:hAnsiTheme="minorHAnsi"/>
          <w:b w:val="0"/>
          <w:bCs w:val="0"/>
          <w:color w:val="000000"/>
          <w:lang w:val="en-US"/>
        </w:rPr>
        <w:t>MeOH</w:t>
      </w:r>
      <w:proofErr w:type="spellEnd"/>
      <w:r w:rsidRPr="00CD0C34">
        <w:rPr>
          <w:rFonts w:asciiTheme="minorHAnsi" w:eastAsia="MS PGothic" w:hAnsiTheme="minorHAnsi"/>
          <w:b w:val="0"/>
          <w:bCs w:val="0"/>
          <w:color w:val="000000"/>
          <w:lang w:val="en-US"/>
        </w:rPr>
        <w:t xml:space="preserve"> starting from H</w:t>
      </w:r>
      <w:r w:rsidRPr="00CD0C34">
        <w:rPr>
          <w:rFonts w:asciiTheme="minorHAnsi" w:eastAsia="MS PGothic" w:hAnsiTheme="minorHAnsi"/>
          <w:b w:val="0"/>
          <w:bCs w:val="0"/>
          <w:color w:val="000000"/>
          <w:vertAlign w:val="subscript"/>
          <w:lang w:val="en-US"/>
        </w:rPr>
        <w:t>2</w:t>
      </w:r>
      <w:r w:rsidRPr="00CD0C34">
        <w:rPr>
          <w:rFonts w:asciiTheme="minorHAnsi" w:eastAsia="MS PGothic" w:hAnsiTheme="minorHAnsi"/>
          <w:b w:val="0"/>
          <w:bCs w:val="0"/>
          <w:color w:val="000000"/>
          <w:lang w:val="en-US"/>
        </w:rPr>
        <w:t xml:space="preserve"> and CO</w:t>
      </w:r>
      <w:r w:rsidRPr="00CD0C34">
        <w:rPr>
          <w:rFonts w:asciiTheme="minorHAnsi" w:eastAsia="MS PGothic" w:hAnsiTheme="minorHAnsi"/>
          <w:b w:val="0"/>
          <w:bCs w:val="0"/>
          <w:color w:val="000000"/>
          <w:vertAlign w:val="subscript"/>
          <w:lang w:val="en-US"/>
        </w:rPr>
        <w:t>2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C160AC" w:rsidRDefault="000C254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OME show promising properties for different applications</w:t>
      </w:r>
      <w:r w:rsidR="009B63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160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a </w:t>
      </w:r>
      <w:r w:rsidR="00C160AC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sustainable, economical</w:t>
      </w:r>
      <w:r w:rsidR="00C160A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scalable</w:t>
      </w:r>
      <w:r w:rsidR="00C160AC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efficient</w:t>
      </w:r>
      <w:r w:rsidR="00C160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industrial</w:t>
      </w:r>
      <w:r w:rsidR="00C160AC" w:rsidRPr="00CE6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for the production of OME</w:t>
      </w:r>
      <w:r w:rsidR="00C160AC" w:rsidRPr="00CE68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3-5</w:t>
      </w:r>
      <w:r w:rsidR="00C160AC" w:rsidRPr="000C25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C160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still not realized. A novel process for a sustainable and efficient production of OME at high yield &gt; 45% and high process energy efficiency &gt; 55% </w:t>
      </w:r>
      <w:r w:rsidR="00A0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C160A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 cost</w:t>
      </w:r>
      <w:r w:rsidR="00A0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 of ca. 1000 US$/</w:t>
      </w:r>
      <w:proofErr w:type="spellStart"/>
      <w:r w:rsidR="00A0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160AC" w:rsidRPr="00A026A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OME</w:t>
      </w:r>
      <w:proofErr w:type="spellEnd"/>
      <w:r w:rsidR="00C160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introduced.</w:t>
      </w:r>
      <w:r w:rsidR="005D24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cost is rather high for fuel applications but is promising for the chemicals and solvent market. The process steps are being validated in lab- and mini-plant scale and should be scaled up to several </w:t>
      </w:r>
      <w:proofErr w:type="spellStart"/>
      <w:r w:rsidR="005D24D4">
        <w:rPr>
          <w:rFonts w:asciiTheme="minorHAnsi" w:eastAsia="MS PGothic" w:hAnsiTheme="minorHAnsi"/>
          <w:color w:val="000000"/>
          <w:sz w:val="22"/>
          <w:szCs w:val="22"/>
          <w:lang w:val="en-US"/>
        </w:rPr>
        <w:t>kt</w:t>
      </w:r>
      <w:proofErr w:type="spellEnd"/>
      <w:r w:rsidR="005D24D4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gramStart"/>
      <w:r w:rsidR="005D24D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to</w:t>
      </w:r>
      <w:proofErr w:type="gramEnd"/>
      <w:r w:rsidR="005D24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validate the industrial application. In conclusion, the introduced process with the discussed KPIs offers a sustainable and economically feasible solution for the production of OME.</w:t>
      </w:r>
      <w:r w:rsidR="00C160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134EC6" w:rsidRPr="001F632A" w:rsidRDefault="00F91D74" w:rsidP="0024796F">
      <w:pPr>
        <w:pStyle w:val="CitaviBibliographyEntry"/>
        <w:rPr>
          <w:rFonts w:eastAsia="SimSun"/>
          <w:b/>
          <w:lang w:val="en-US" w:eastAsia="zh-CN"/>
        </w:rPr>
      </w:pPr>
      <w:r w:rsidRPr="001F632A">
        <w:rPr>
          <w:rFonts w:eastAsia="SimSun"/>
          <w:b/>
          <w:lang w:val="en-US" w:eastAsia="zh-CN"/>
        </w:rPr>
        <w:t>References</w:t>
      </w:r>
    </w:p>
    <w:p w:rsidR="00F91D74" w:rsidRPr="001F632A" w:rsidRDefault="00F91D74" w:rsidP="0024796F">
      <w:pPr>
        <w:pStyle w:val="CitaviBibliographyEntry"/>
        <w:rPr>
          <w:rFonts w:eastAsia="SimSun"/>
          <w:b/>
          <w:lang w:val="en-US" w:eastAsia="zh-CN"/>
        </w:rPr>
      </w:pPr>
    </w:p>
    <w:p w:rsidR="00134EC6" w:rsidRPr="001F632A" w:rsidRDefault="00316E44" w:rsidP="0024796F">
      <w:pPr>
        <w:pStyle w:val="CitaviBibliographyEntry"/>
        <w:rPr>
          <w:rFonts w:eastAsia="SimSun"/>
          <w:lang w:val="en-US" w:eastAsia="zh-CN"/>
        </w:rPr>
      </w:pPr>
      <w:r w:rsidRPr="001F632A">
        <w:rPr>
          <w:rFonts w:eastAsia="SimSun"/>
          <w:lang w:val="en-US" w:eastAsia="zh-CN"/>
        </w:rPr>
        <w:t>[1]</w:t>
      </w:r>
      <w:r w:rsidRPr="001F632A">
        <w:rPr>
          <w:rFonts w:eastAsia="SimSun"/>
          <w:lang w:val="en-US" w:eastAsia="zh-CN"/>
        </w:rPr>
        <w:tab/>
      </w:r>
      <w:proofErr w:type="spellStart"/>
      <w:r w:rsidRPr="001F632A">
        <w:rPr>
          <w:rFonts w:eastAsia="SimSun"/>
          <w:lang w:val="en-US" w:eastAsia="zh-CN"/>
        </w:rPr>
        <w:t>Schappals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Breug-Nissen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Langenbach</w:t>
      </w:r>
      <w:proofErr w:type="spellEnd"/>
      <w:r w:rsidRPr="001F632A">
        <w:rPr>
          <w:rFonts w:eastAsia="SimSun"/>
          <w:lang w:val="en-US" w:eastAsia="zh-CN"/>
        </w:rPr>
        <w:t xml:space="preserve">, Burger, </w:t>
      </w:r>
      <w:proofErr w:type="spellStart"/>
      <w:r w:rsidRPr="001F632A">
        <w:rPr>
          <w:rFonts w:eastAsia="SimSun"/>
          <w:lang w:val="en-US" w:eastAsia="zh-CN"/>
        </w:rPr>
        <w:t>Hasse</w:t>
      </w:r>
      <w:proofErr w:type="spellEnd"/>
      <w:r w:rsidR="006B1D69" w:rsidRPr="001F632A">
        <w:rPr>
          <w:rFonts w:eastAsia="SimSun"/>
          <w:lang w:val="en-US" w:eastAsia="zh-CN"/>
        </w:rPr>
        <w:t>,</w:t>
      </w:r>
      <w:r w:rsidRPr="001F632A">
        <w:rPr>
          <w:rFonts w:eastAsia="SimSun"/>
          <w:lang w:val="en-US" w:eastAsia="zh-CN"/>
        </w:rPr>
        <w:t xml:space="preserve"> </w:t>
      </w:r>
      <w:r w:rsidRPr="001F632A">
        <w:rPr>
          <w:rFonts w:eastAsia="SimSun"/>
          <w:i/>
          <w:lang w:val="en-US" w:eastAsia="zh-CN"/>
        </w:rPr>
        <w:t>Journal of Chemical &amp; Engineering Data</w:t>
      </w:r>
      <w:r w:rsidR="006B1D69" w:rsidRPr="001F632A">
        <w:rPr>
          <w:rFonts w:eastAsia="SimSun"/>
          <w:lang w:val="en-US" w:eastAsia="zh-CN"/>
        </w:rPr>
        <w:t xml:space="preserve">, </w:t>
      </w:r>
      <w:r w:rsidR="006B1D69" w:rsidRPr="001F632A">
        <w:rPr>
          <w:rFonts w:eastAsia="SimSun"/>
          <w:b/>
          <w:lang w:val="en-US" w:eastAsia="zh-CN"/>
        </w:rPr>
        <w:t>2017</w:t>
      </w:r>
      <w:r w:rsidR="006B1D69" w:rsidRPr="001F632A">
        <w:rPr>
          <w:rFonts w:eastAsia="SimSun"/>
          <w:lang w:val="en-US" w:eastAsia="zh-CN"/>
        </w:rPr>
        <w:t>, DOI: 10.1021/acs.jced.7b00718</w:t>
      </w:r>
    </w:p>
    <w:p w:rsidR="006B1D69" w:rsidRPr="001F632A" w:rsidRDefault="006B1D69" w:rsidP="0024796F">
      <w:pPr>
        <w:pStyle w:val="CitaviBibliographyEntry"/>
        <w:rPr>
          <w:rFonts w:eastAsia="SimSun"/>
          <w:lang w:val="en-US" w:eastAsia="zh-CN"/>
        </w:rPr>
      </w:pPr>
      <w:r w:rsidRPr="001F632A">
        <w:rPr>
          <w:rFonts w:eastAsia="SimSun"/>
          <w:lang w:val="en-US" w:eastAsia="zh-CN"/>
        </w:rPr>
        <w:t>[2]</w:t>
      </w:r>
      <w:r w:rsidRPr="001F632A">
        <w:rPr>
          <w:rFonts w:eastAsia="SimSun"/>
          <w:lang w:val="en-US" w:eastAsia="zh-CN"/>
        </w:rPr>
        <w:tab/>
      </w:r>
      <w:proofErr w:type="spellStart"/>
      <w:r w:rsidRPr="001F632A">
        <w:rPr>
          <w:rFonts w:eastAsia="SimSun"/>
          <w:lang w:val="en-US" w:eastAsia="zh-CN"/>
        </w:rPr>
        <w:t>Ouda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Mantei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Hesterwerth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Bargiacchi</w:t>
      </w:r>
      <w:proofErr w:type="spellEnd"/>
      <w:r w:rsidRPr="001F632A">
        <w:rPr>
          <w:rFonts w:eastAsia="SimSun"/>
          <w:lang w:val="en-US" w:eastAsia="zh-CN"/>
        </w:rPr>
        <w:t xml:space="preserve">, Klein, White, </w:t>
      </w:r>
      <w:r w:rsidRPr="001F632A">
        <w:rPr>
          <w:rFonts w:eastAsia="SimSun"/>
          <w:i/>
          <w:lang w:val="en-US" w:eastAsia="zh-CN"/>
        </w:rPr>
        <w:t>Reaction Chemistry &amp; Engineering</w:t>
      </w:r>
      <w:r w:rsidRPr="001F632A">
        <w:rPr>
          <w:rFonts w:eastAsia="SimSun"/>
          <w:lang w:val="en-US" w:eastAsia="zh-CN"/>
        </w:rPr>
        <w:t xml:space="preserve">, </w:t>
      </w:r>
      <w:r w:rsidRPr="001F632A">
        <w:rPr>
          <w:rFonts w:eastAsia="SimSun"/>
          <w:b/>
          <w:lang w:val="en-US" w:eastAsia="zh-CN"/>
        </w:rPr>
        <w:t>2018</w:t>
      </w:r>
      <w:r w:rsidRPr="001F632A">
        <w:rPr>
          <w:rFonts w:eastAsia="SimSun"/>
          <w:lang w:val="en-US" w:eastAsia="zh-CN"/>
        </w:rPr>
        <w:t>, DOI: 10.1039/C8RE00100F</w:t>
      </w:r>
    </w:p>
    <w:p w:rsidR="006B1D69" w:rsidRPr="001F632A" w:rsidRDefault="006B1D69" w:rsidP="0024796F">
      <w:pPr>
        <w:pStyle w:val="CitaviBibliographyEntry"/>
        <w:rPr>
          <w:rFonts w:eastAsia="SimSun"/>
          <w:lang w:val="en-US" w:eastAsia="zh-CN"/>
        </w:rPr>
      </w:pPr>
      <w:r>
        <w:rPr>
          <w:rFonts w:eastAsia="SimSun"/>
          <w:lang w:val="de-DE" w:eastAsia="zh-CN"/>
        </w:rPr>
        <w:t>[3]</w:t>
      </w:r>
      <w:r>
        <w:rPr>
          <w:rFonts w:eastAsia="SimSun"/>
          <w:lang w:val="de-DE" w:eastAsia="zh-CN"/>
        </w:rPr>
        <w:tab/>
      </w:r>
      <w:proofErr w:type="spellStart"/>
      <w:r w:rsidRPr="006B1D69">
        <w:rPr>
          <w:rFonts w:eastAsia="SimSun"/>
          <w:lang w:val="de-DE" w:eastAsia="zh-CN"/>
        </w:rPr>
        <w:t>Gaukel</w:t>
      </w:r>
      <w:proofErr w:type="spellEnd"/>
      <w:r w:rsidRPr="006B1D69">
        <w:rPr>
          <w:rFonts w:eastAsia="SimSun"/>
          <w:lang w:val="de-DE" w:eastAsia="zh-CN"/>
        </w:rPr>
        <w:t xml:space="preserve">, </w:t>
      </w:r>
      <w:proofErr w:type="spellStart"/>
      <w:r w:rsidRPr="006B1D69">
        <w:rPr>
          <w:rFonts w:eastAsia="SimSun"/>
          <w:lang w:val="de-DE" w:eastAsia="zh-CN"/>
        </w:rPr>
        <w:t>Pélerin</w:t>
      </w:r>
      <w:proofErr w:type="spellEnd"/>
      <w:r w:rsidRPr="006B1D69">
        <w:rPr>
          <w:rFonts w:eastAsia="SimSun"/>
          <w:lang w:val="de-DE" w:eastAsia="zh-CN"/>
        </w:rPr>
        <w:t>, Härtl, Wachtmeister,</w:t>
      </w:r>
      <w:r>
        <w:rPr>
          <w:rFonts w:eastAsia="SimSun"/>
          <w:lang w:val="de-DE" w:eastAsia="zh-CN"/>
        </w:rPr>
        <w:t xml:space="preserve"> Burger, Maus, Jacob, </w:t>
      </w:r>
      <w:r w:rsidRPr="006B1D69">
        <w:rPr>
          <w:rFonts w:eastAsia="SimSun"/>
          <w:i/>
          <w:lang w:val="de-DE" w:eastAsia="zh-CN"/>
        </w:rPr>
        <w:t xml:space="preserve">37. </w:t>
      </w:r>
      <w:proofErr w:type="spellStart"/>
      <w:r w:rsidRPr="001F632A">
        <w:rPr>
          <w:rFonts w:eastAsia="SimSun"/>
          <w:i/>
          <w:lang w:val="en-US" w:eastAsia="zh-CN"/>
        </w:rPr>
        <w:t>Internationales</w:t>
      </w:r>
      <w:proofErr w:type="spellEnd"/>
      <w:r w:rsidRPr="001F632A">
        <w:rPr>
          <w:rFonts w:eastAsia="SimSun"/>
          <w:i/>
          <w:lang w:val="en-US" w:eastAsia="zh-CN"/>
        </w:rPr>
        <w:t xml:space="preserve"> Wiener </w:t>
      </w:r>
      <w:proofErr w:type="spellStart"/>
      <w:r w:rsidRPr="001F632A">
        <w:rPr>
          <w:rFonts w:eastAsia="SimSun"/>
          <w:i/>
          <w:lang w:val="en-US" w:eastAsia="zh-CN"/>
        </w:rPr>
        <w:t>Motorensymposium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r w:rsidRPr="001F632A">
        <w:rPr>
          <w:rFonts w:eastAsia="SimSun"/>
          <w:b/>
          <w:lang w:val="en-US" w:eastAsia="zh-CN"/>
        </w:rPr>
        <w:t>2016</w:t>
      </w:r>
      <w:r w:rsidRPr="001F632A">
        <w:rPr>
          <w:rFonts w:eastAsia="SimSun"/>
          <w:lang w:val="en-US" w:eastAsia="zh-CN"/>
        </w:rPr>
        <w:t>, 193–223</w:t>
      </w:r>
    </w:p>
    <w:p w:rsidR="00065406" w:rsidRPr="001F632A" w:rsidRDefault="00065406" w:rsidP="0024796F">
      <w:pPr>
        <w:pStyle w:val="CitaviBibliographyEntry"/>
        <w:rPr>
          <w:rFonts w:eastAsia="SimSun"/>
          <w:lang w:val="en-US" w:eastAsia="zh-CN"/>
        </w:rPr>
      </w:pPr>
      <w:r w:rsidRPr="001F632A">
        <w:rPr>
          <w:rFonts w:eastAsia="SimSun"/>
          <w:lang w:val="en-US" w:eastAsia="zh-CN"/>
        </w:rPr>
        <w:t>[4]</w:t>
      </w:r>
      <w:r w:rsidRPr="001F632A">
        <w:rPr>
          <w:rFonts w:eastAsia="SimSun"/>
          <w:lang w:val="en-US" w:eastAsia="zh-CN"/>
        </w:rPr>
        <w:tab/>
      </w:r>
      <w:proofErr w:type="spellStart"/>
      <w:r w:rsidRPr="001F632A">
        <w:rPr>
          <w:rFonts w:eastAsia="SimSun"/>
          <w:lang w:val="en-US" w:eastAsia="zh-CN"/>
        </w:rPr>
        <w:t>Iannuzzi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Barro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Boulouchos</w:t>
      </w:r>
      <w:proofErr w:type="spellEnd"/>
      <w:r w:rsidRPr="001F632A">
        <w:rPr>
          <w:rFonts w:eastAsia="SimSun"/>
          <w:lang w:val="en-US" w:eastAsia="zh-CN"/>
        </w:rPr>
        <w:t xml:space="preserve">, Burger, </w:t>
      </w:r>
      <w:r w:rsidRPr="001F632A">
        <w:rPr>
          <w:rFonts w:eastAsia="SimSun"/>
          <w:i/>
          <w:lang w:val="en-US" w:eastAsia="zh-CN"/>
        </w:rPr>
        <w:t>Fuel</w:t>
      </w:r>
      <w:r w:rsidRPr="001F632A">
        <w:rPr>
          <w:rFonts w:eastAsia="SimSun"/>
          <w:lang w:val="en-US" w:eastAsia="zh-CN"/>
        </w:rPr>
        <w:t xml:space="preserve">, </w:t>
      </w:r>
      <w:r w:rsidRPr="001F632A">
        <w:rPr>
          <w:rFonts w:eastAsia="SimSun"/>
          <w:b/>
          <w:lang w:val="en-US" w:eastAsia="zh-CN"/>
        </w:rPr>
        <w:t>2017</w:t>
      </w:r>
      <w:r w:rsidRPr="001F632A">
        <w:rPr>
          <w:rFonts w:eastAsia="SimSun"/>
          <w:lang w:val="en-US" w:eastAsia="zh-CN"/>
        </w:rPr>
        <w:t>, DOI: 10.1016/j.fuel.2017.04.089</w:t>
      </w:r>
    </w:p>
    <w:p w:rsidR="001730F5" w:rsidRPr="001F632A" w:rsidRDefault="001730F5" w:rsidP="0024796F">
      <w:pPr>
        <w:pStyle w:val="CitaviBibliographyEntry"/>
        <w:rPr>
          <w:rFonts w:eastAsia="SimSun"/>
          <w:lang w:val="en-US" w:eastAsia="zh-CN"/>
        </w:rPr>
      </w:pPr>
      <w:r w:rsidRPr="001F632A">
        <w:rPr>
          <w:rFonts w:eastAsia="SimSun"/>
          <w:lang w:val="en-US" w:eastAsia="zh-CN"/>
        </w:rPr>
        <w:t>[5]</w:t>
      </w:r>
      <w:r w:rsidRPr="001F632A">
        <w:rPr>
          <w:rFonts w:eastAsia="SimSun"/>
          <w:lang w:val="en-US" w:eastAsia="zh-CN"/>
        </w:rPr>
        <w:tab/>
        <w:t xml:space="preserve">Schmitz, </w:t>
      </w:r>
      <w:proofErr w:type="spellStart"/>
      <w:r w:rsidRPr="001F632A">
        <w:rPr>
          <w:rFonts w:eastAsia="SimSun"/>
          <w:lang w:val="en-US" w:eastAsia="zh-CN"/>
        </w:rPr>
        <w:t>Breitkreuz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Ströfer</w:t>
      </w:r>
      <w:proofErr w:type="spellEnd"/>
      <w:r w:rsidRPr="001F632A">
        <w:rPr>
          <w:rFonts w:eastAsia="SimSun"/>
          <w:lang w:val="en-US" w:eastAsia="zh-CN"/>
        </w:rPr>
        <w:t xml:space="preserve">, Burger, </w:t>
      </w:r>
      <w:r w:rsidRPr="001F632A">
        <w:rPr>
          <w:rFonts w:eastAsia="SimSun"/>
          <w:i/>
          <w:lang w:val="en-US" w:eastAsia="zh-CN"/>
        </w:rPr>
        <w:t>Chemical Engineering Transactions</w:t>
      </w:r>
      <w:r w:rsidRPr="001F632A">
        <w:rPr>
          <w:rFonts w:eastAsia="SimSun"/>
          <w:lang w:val="en-US" w:eastAsia="zh-CN"/>
        </w:rPr>
        <w:t xml:space="preserve">, </w:t>
      </w:r>
      <w:r w:rsidRPr="001F632A">
        <w:rPr>
          <w:rFonts w:eastAsia="SimSun"/>
          <w:b/>
          <w:lang w:val="en-US" w:eastAsia="zh-CN"/>
        </w:rPr>
        <w:t>2018</w:t>
      </w:r>
      <w:r w:rsidRPr="001F632A">
        <w:rPr>
          <w:rFonts w:eastAsia="SimSun"/>
          <w:lang w:val="en-US" w:eastAsia="zh-CN"/>
        </w:rPr>
        <w:t>, DOI: 10.3303/CET1869036</w:t>
      </w:r>
    </w:p>
    <w:p w:rsidR="0038026D" w:rsidRPr="001F632A" w:rsidRDefault="0038026D" w:rsidP="0024796F">
      <w:pPr>
        <w:pStyle w:val="CitaviBibliographyEntry"/>
        <w:rPr>
          <w:rFonts w:eastAsia="SimSun"/>
          <w:lang w:val="en-US" w:eastAsia="zh-CN"/>
        </w:rPr>
      </w:pPr>
      <w:r w:rsidRPr="001F632A">
        <w:rPr>
          <w:rFonts w:eastAsia="SimSun"/>
          <w:lang w:val="en-US" w:eastAsia="zh-CN"/>
        </w:rPr>
        <w:t>[6]</w:t>
      </w:r>
      <w:r w:rsidRPr="001F632A">
        <w:rPr>
          <w:rFonts w:eastAsia="SimSun"/>
          <w:lang w:val="en-US" w:eastAsia="zh-CN"/>
        </w:rPr>
        <w:tab/>
        <w:t xml:space="preserve">Schmitz, </w:t>
      </w:r>
      <w:proofErr w:type="spellStart"/>
      <w:r w:rsidRPr="001F632A">
        <w:rPr>
          <w:rFonts w:eastAsia="SimSun"/>
          <w:lang w:val="en-US" w:eastAsia="zh-CN"/>
        </w:rPr>
        <w:t>Breitkreuz</w:t>
      </w:r>
      <w:proofErr w:type="spellEnd"/>
      <w:r w:rsidRPr="001F632A">
        <w:rPr>
          <w:rFonts w:eastAsia="SimSun"/>
          <w:lang w:val="en-US" w:eastAsia="zh-CN"/>
        </w:rPr>
        <w:t xml:space="preserve">, </w:t>
      </w:r>
      <w:proofErr w:type="spellStart"/>
      <w:r w:rsidRPr="001F632A">
        <w:rPr>
          <w:rFonts w:eastAsia="SimSun"/>
          <w:lang w:val="en-US" w:eastAsia="zh-CN"/>
        </w:rPr>
        <w:t>Ströfer</w:t>
      </w:r>
      <w:proofErr w:type="spellEnd"/>
      <w:r w:rsidRPr="001F632A">
        <w:rPr>
          <w:rFonts w:eastAsia="SimSun"/>
          <w:lang w:val="en-US" w:eastAsia="zh-CN"/>
        </w:rPr>
        <w:t xml:space="preserve">, Burger, </w:t>
      </w:r>
      <w:proofErr w:type="spellStart"/>
      <w:r w:rsidRPr="001F632A">
        <w:rPr>
          <w:rFonts w:eastAsia="SimSun"/>
          <w:lang w:val="en-US" w:eastAsia="zh-CN"/>
        </w:rPr>
        <w:t>Hasse</w:t>
      </w:r>
      <w:proofErr w:type="spellEnd"/>
      <w:r w:rsidRPr="001F632A">
        <w:rPr>
          <w:rFonts w:eastAsia="SimSun"/>
          <w:i/>
          <w:lang w:val="en-US" w:eastAsia="zh-CN"/>
        </w:rPr>
        <w:t>, Chemical Engineering and Processing - Process Intensification</w:t>
      </w:r>
      <w:r w:rsidRPr="001F632A">
        <w:rPr>
          <w:rFonts w:eastAsia="SimSun"/>
          <w:lang w:val="en-US" w:eastAsia="zh-CN"/>
        </w:rPr>
        <w:t xml:space="preserve">, </w:t>
      </w:r>
      <w:r w:rsidRPr="001F632A">
        <w:rPr>
          <w:rFonts w:eastAsia="SimSun"/>
          <w:b/>
          <w:lang w:val="en-US" w:eastAsia="zh-CN"/>
        </w:rPr>
        <w:t>2018</w:t>
      </w:r>
      <w:r w:rsidRPr="001F632A">
        <w:rPr>
          <w:rFonts w:eastAsia="SimSun"/>
          <w:lang w:val="en-US" w:eastAsia="zh-CN"/>
        </w:rPr>
        <w:t>, DOI: 10.1016/j.cep.2018.06.012</w:t>
      </w:r>
    </w:p>
    <w:p w:rsidR="006B1D69" w:rsidRPr="006B1D69" w:rsidRDefault="00CC68A2" w:rsidP="0024796F">
      <w:pPr>
        <w:pStyle w:val="CitaviBibliographyEntry"/>
        <w:rPr>
          <w:rFonts w:eastAsia="SimSun"/>
          <w:lang w:val="de-DE" w:eastAsia="zh-CN"/>
        </w:rPr>
      </w:pPr>
      <w:r>
        <w:rPr>
          <w:rFonts w:eastAsia="SimSun"/>
          <w:lang w:val="de-DE" w:eastAsia="zh-CN"/>
        </w:rPr>
        <w:t>[7]</w:t>
      </w:r>
      <w:r>
        <w:rPr>
          <w:rFonts w:eastAsia="SimSun"/>
          <w:lang w:val="de-DE" w:eastAsia="zh-CN"/>
        </w:rPr>
        <w:tab/>
      </w:r>
      <w:r w:rsidRPr="00CC68A2">
        <w:rPr>
          <w:rFonts w:eastAsia="SimSun"/>
          <w:lang w:val="de-DE" w:eastAsia="zh-CN"/>
        </w:rPr>
        <w:t xml:space="preserve">Schmitz, Breitkreuz, </w:t>
      </w:r>
      <w:proofErr w:type="spellStart"/>
      <w:r w:rsidRPr="00CC68A2">
        <w:rPr>
          <w:rFonts w:eastAsia="SimSun"/>
          <w:lang w:val="de-DE" w:eastAsia="zh-CN"/>
        </w:rPr>
        <w:t>Ströfer</w:t>
      </w:r>
      <w:proofErr w:type="spellEnd"/>
      <w:r w:rsidRPr="00CC68A2">
        <w:rPr>
          <w:rFonts w:eastAsia="SimSun"/>
          <w:lang w:val="de-DE" w:eastAsia="zh-CN"/>
        </w:rPr>
        <w:t xml:space="preserve">, Burger, Hasse, </w:t>
      </w:r>
      <w:r w:rsidRPr="00CC68A2">
        <w:rPr>
          <w:rFonts w:eastAsia="SimSun"/>
          <w:i/>
          <w:lang w:val="de-DE" w:eastAsia="zh-CN"/>
        </w:rPr>
        <w:t xml:space="preserve">Journal </w:t>
      </w:r>
      <w:proofErr w:type="spellStart"/>
      <w:r w:rsidRPr="00CC68A2">
        <w:rPr>
          <w:rFonts w:eastAsia="SimSun"/>
          <w:i/>
          <w:lang w:val="de-DE" w:eastAsia="zh-CN"/>
        </w:rPr>
        <w:t>of</w:t>
      </w:r>
      <w:proofErr w:type="spellEnd"/>
      <w:r w:rsidRPr="00CC68A2">
        <w:rPr>
          <w:rFonts w:eastAsia="SimSun"/>
          <w:i/>
          <w:lang w:val="de-DE" w:eastAsia="zh-CN"/>
        </w:rPr>
        <w:t xml:space="preserve"> Membrane Science</w:t>
      </w:r>
      <w:r>
        <w:rPr>
          <w:rFonts w:eastAsia="SimSun"/>
          <w:lang w:val="de-DE" w:eastAsia="zh-CN"/>
        </w:rPr>
        <w:t>,</w:t>
      </w:r>
      <w:r w:rsidRPr="00CC68A2">
        <w:rPr>
          <w:rFonts w:eastAsia="SimSun"/>
          <w:b/>
          <w:lang w:val="de-DE" w:eastAsia="zh-CN"/>
        </w:rPr>
        <w:t xml:space="preserve"> 2018</w:t>
      </w:r>
      <w:r>
        <w:rPr>
          <w:rFonts w:eastAsia="SimSun"/>
          <w:lang w:val="de-DE" w:eastAsia="zh-CN"/>
        </w:rPr>
        <w:t xml:space="preserve">, DOI: </w:t>
      </w:r>
      <w:r w:rsidRPr="00CC68A2">
        <w:rPr>
          <w:rFonts w:eastAsia="SimSun"/>
          <w:lang w:val="de-DE" w:eastAsia="zh-CN"/>
        </w:rPr>
        <w:t>10.1016/j.memsci.2018.07.053</w:t>
      </w:r>
    </w:p>
    <w:sectPr w:rsidR="006B1D69" w:rsidRPr="006B1D6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10" w:rsidRDefault="00F26610" w:rsidP="004F5E36">
      <w:r>
        <w:separator/>
      </w:r>
    </w:p>
  </w:endnote>
  <w:endnote w:type="continuationSeparator" w:id="0">
    <w:p w:rsidR="00F26610" w:rsidRDefault="00F2661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7" w:rsidRDefault="00CC43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7" w:rsidRDefault="00CC431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7" w:rsidRDefault="00CC43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10" w:rsidRDefault="00F26610" w:rsidP="004F5E36">
      <w:r>
        <w:separator/>
      </w:r>
    </w:p>
  </w:footnote>
  <w:footnote w:type="continuationSeparator" w:id="0">
    <w:p w:rsidR="00F26610" w:rsidRDefault="00F2661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7" w:rsidRDefault="00CC43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1564E"/>
    <w:rsid w:val="00030F9B"/>
    <w:rsid w:val="0003148D"/>
    <w:rsid w:val="00033186"/>
    <w:rsid w:val="000543C4"/>
    <w:rsid w:val="00054782"/>
    <w:rsid w:val="00062A9A"/>
    <w:rsid w:val="00065406"/>
    <w:rsid w:val="00065CED"/>
    <w:rsid w:val="000771A8"/>
    <w:rsid w:val="000A03B2"/>
    <w:rsid w:val="000A6DC6"/>
    <w:rsid w:val="000C2549"/>
    <w:rsid w:val="000C3E50"/>
    <w:rsid w:val="000D34BE"/>
    <w:rsid w:val="000E36F1"/>
    <w:rsid w:val="000E3A73"/>
    <w:rsid w:val="000E414A"/>
    <w:rsid w:val="000F46D2"/>
    <w:rsid w:val="000F5F47"/>
    <w:rsid w:val="0013121F"/>
    <w:rsid w:val="00134DE4"/>
    <w:rsid w:val="00134EC6"/>
    <w:rsid w:val="00150D8A"/>
    <w:rsid w:val="00150E59"/>
    <w:rsid w:val="001730F5"/>
    <w:rsid w:val="00184AD6"/>
    <w:rsid w:val="00184EA0"/>
    <w:rsid w:val="001926B3"/>
    <w:rsid w:val="001A0FF7"/>
    <w:rsid w:val="001A4CAB"/>
    <w:rsid w:val="001A7591"/>
    <w:rsid w:val="001B65C1"/>
    <w:rsid w:val="001C684B"/>
    <w:rsid w:val="001C755B"/>
    <w:rsid w:val="001D53FC"/>
    <w:rsid w:val="001F2EC7"/>
    <w:rsid w:val="001F632A"/>
    <w:rsid w:val="002056A3"/>
    <w:rsid w:val="002065DB"/>
    <w:rsid w:val="002447EF"/>
    <w:rsid w:val="0024796F"/>
    <w:rsid w:val="00250BE8"/>
    <w:rsid w:val="00251550"/>
    <w:rsid w:val="0027221A"/>
    <w:rsid w:val="00272C84"/>
    <w:rsid w:val="0027410E"/>
    <w:rsid w:val="00275B61"/>
    <w:rsid w:val="002A3461"/>
    <w:rsid w:val="002B0D02"/>
    <w:rsid w:val="002D0C8F"/>
    <w:rsid w:val="002D1F12"/>
    <w:rsid w:val="002E2939"/>
    <w:rsid w:val="002E760D"/>
    <w:rsid w:val="003009B7"/>
    <w:rsid w:val="0030469C"/>
    <w:rsid w:val="00315DEE"/>
    <w:rsid w:val="00316E44"/>
    <w:rsid w:val="003436E1"/>
    <w:rsid w:val="00345757"/>
    <w:rsid w:val="003723D4"/>
    <w:rsid w:val="00372FA1"/>
    <w:rsid w:val="0038026D"/>
    <w:rsid w:val="003A7D1C"/>
    <w:rsid w:val="00402128"/>
    <w:rsid w:val="00405D59"/>
    <w:rsid w:val="00421B72"/>
    <w:rsid w:val="0046164A"/>
    <w:rsid w:val="00462DCD"/>
    <w:rsid w:val="00471601"/>
    <w:rsid w:val="004753C4"/>
    <w:rsid w:val="0048782B"/>
    <w:rsid w:val="00492C15"/>
    <w:rsid w:val="004976AA"/>
    <w:rsid w:val="004B6148"/>
    <w:rsid w:val="004D0A26"/>
    <w:rsid w:val="004D1162"/>
    <w:rsid w:val="004D72DE"/>
    <w:rsid w:val="004E4AAD"/>
    <w:rsid w:val="004E4DD6"/>
    <w:rsid w:val="004F2C28"/>
    <w:rsid w:val="004F5E36"/>
    <w:rsid w:val="005119A5"/>
    <w:rsid w:val="0051507F"/>
    <w:rsid w:val="00523700"/>
    <w:rsid w:val="005278B7"/>
    <w:rsid w:val="005346C8"/>
    <w:rsid w:val="005430EB"/>
    <w:rsid w:val="0054743E"/>
    <w:rsid w:val="00556836"/>
    <w:rsid w:val="0058392C"/>
    <w:rsid w:val="00591371"/>
    <w:rsid w:val="00594E9F"/>
    <w:rsid w:val="00596F59"/>
    <w:rsid w:val="005A0AB9"/>
    <w:rsid w:val="005A2521"/>
    <w:rsid w:val="005B296D"/>
    <w:rsid w:val="005B61E6"/>
    <w:rsid w:val="005C77E1"/>
    <w:rsid w:val="005D24D4"/>
    <w:rsid w:val="005D6A2F"/>
    <w:rsid w:val="005E1A82"/>
    <w:rsid w:val="005E4BAB"/>
    <w:rsid w:val="005F0A28"/>
    <w:rsid w:val="005F0E5E"/>
    <w:rsid w:val="00610E23"/>
    <w:rsid w:val="00620DEE"/>
    <w:rsid w:val="00625639"/>
    <w:rsid w:val="0064184D"/>
    <w:rsid w:val="006455EC"/>
    <w:rsid w:val="00660E3E"/>
    <w:rsid w:val="00662E74"/>
    <w:rsid w:val="006646E6"/>
    <w:rsid w:val="00664828"/>
    <w:rsid w:val="00667262"/>
    <w:rsid w:val="0069572E"/>
    <w:rsid w:val="006A58D2"/>
    <w:rsid w:val="006B1D69"/>
    <w:rsid w:val="006B4F73"/>
    <w:rsid w:val="006B5C78"/>
    <w:rsid w:val="006C5579"/>
    <w:rsid w:val="006D39EF"/>
    <w:rsid w:val="00704BDF"/>
    <w:rsid w:val="0072086A"/>
    <w:rsid w:val="00736B13"/>
    <w:rsid w:val="007447F3"/>
    <w:rsid w:val="00757057"/>
    <w:rsid w:val="007661C8"/>
    <w:rsid w:val="00770D4B"/>
    <w:rsid w:val="00773E2E"/>
    <w:rsid w:val="007A32AC"/>
    <w:rsid w:val="007D52CD"/>
    <w:rsid w:val="00813288"/>
    <w:rsid w:val="008168FC"/>
    <w:rsid w:val="008479A2"/>
    <w:rsid w:val="00855865"/>
    <w:rsid w:val="008579A5"/>
    <w:rsid w:val="0087637F"/>
    <w:rsid w:val="00897C76"/>
    <w:rsid w:val="008A1512"/>
    <w:rsid w:val="008C2C5B"/>
    <w:rsid w:val="008D0BEB"/>
    <w:rsid w:val="008D6190"/>
    <w:rsid w:val="008E566E"/>
    <w:rsid w:val="00901EB6"/>
    <w:rsid w:val="009034BE"/>
    <w:rsid w:val="009239F8"/>
    <w:rsid w:val="009450CE"/>
    <w:rsid w:val="0095164B"/>
    <w:rsid w:val="00956930"/>
    <w:rsid w:val="00957870"/>
    <w:rsid w:val="00996483"/>
    <w:rsid w:val="009A4BF2"/>
    <w:rsid w:val="009B6377"/>
    <w:rsid w:val="009E788A"/>
    <w:rsid w:val="00A026A3"/>
    <w:rsid w:val="00A1763D"/>
    <w:rsid w:val="00A17CEC"/>
    <w:rsid w:val="00A27EF0"/>
    <w:rsid w:val="00A76EFC"/>
    <w:rsid w:val="00A9626B"/>
    <w:rsid w:val="00A97964"/>
    <w:rsid w:val="00A97F29"/>
    <w:rsid w:val="00AA7C93"/>
    <w:rsid w:val="00AB0964"/>
    <w:rsid w:val="00AE377D"/>
    <w:rsid w:val="00B14667"/>
    <w:rsid w:val="00B24D72"/>
    <w:rsid w:val="00B61DBF"/>
    <w:rsid w:val="00B875FF"/>
    <w:rsid w:val="00BC083A"/>
    <w:rsid w:val="00BC30C9"/>
    <w:rsid w:val="00BC5419"/>
    <w:rsid w:val="00BE3E58"/>
    <w:rsid w:val="00C01616"/>
    <w:rsid w:val="00C0162B"/>
    <w:rsid w:val="00C07F5F"/>
    <w:rsid w:val="00C10647"/>
    <w:rsid w:val="00C160AC"/>
    <w:rsid w:val="00C25AAF"/>
    <w:rsid w:val="00C345B1"/>
    <w:rsid w:val="00C363EB"/>
    <w:rsid w:val="00C40142"/>
    <w:rsid w:val="00C40B13"/>
    <w:rsid w:val="00C43A32"/>
    <w:rsid w:val="00C443D6"/>
    <w:rsid w:val="00C57182"/>
    <w:rsid w:val="00C57DCB"/>
    <w:rsid w:val="00C64211"/>
    <w:rsid w:val="00C64698"/>
    <w:rsid w:val="00C655FD"/>
    <w:rsid w:val="00C73581"/>
    <w:rsid w:val="00C867B1"/>
    <w:rsid w:val="00C942D3"/>
    <w:rsid w:val="00C94434"/>
    <w:rsid w:val="00C9574D"/>
    <w:rsid w:val="00CA1C95"/>
    <w:rsid w:val="00CA5A9C"/>
    <w:rsid w:val="00CB29E6"/>
    <w:rsid w:val="00CB340D"/>
    <w:rsid w:val="00CC4317"/>
    <w:rsid w:val="00CC68A2"/>
    <w:rsid w:val="00CD0C34"/>
    <w:rsid w:val="00CD5FE2"/>
    <w:rsid w:val="00CE68D5"/>
    <w:rsid w:val="00CF4614"/>
    <w:rsid w:val="00D02B4C"/>
    <w:rsid w:val="00D51DDF"/>
    <w:rsid w:val="00D54870"/>
    <w:rsid w:val="00D575AB"/>
    <w:rsid w:val="00D828CB"/>
    <w:rsid w:val="00D84576"/>
    <w:rsid w:val="00DE0019"/>
    <w:rsid w:val="00DE264A"/>
    <w:rsid w:val="00E041E7"/>
    <w:rsid w:val="00E121CC"/>
    <w:rsid w:val="00E23CA1"/>
    <w:rsid w:val="00E27026"/>
    <w:rsid w:val="00E33397"/>
    <w:rsid w:val="00E409A8"/>
    <w:rsid w:val="00E44EC8"/>
    <w:rsid w:val="00E55991"/>
    <w:rsid w:val="00E670DC"/>
    <w:rsid w:val="00E7209D"/>
    <w:rsid w:val="00EA50E1"/>
    <w:rsid w:val="00EC6F39"/>
    <w:rsid w:val="00EE0131"/>
    <w:rsid w:val="00EE24F4"/>
    <w:rsid w:val="00F26610"/>
    <w:rsid w:val="00F30C64"/>
    <w:rsid w:val="00F751AB"/>
    <w:rsid w:val="00F75C6E"/>
    <w:rsid w:val="00F91D74"/>
    <w:rsid w:val="00F93121"/>
    <w:rsid w:val="00FB730C"/>
    <w:rsid w:val="00FC2695"/>
    <w:rsid w:val="00FC3E03"/>
    <w:rsid w:val="00FE2043"/>
    <w:rsid w:val="00FE6A2D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BC083A"/>
    <w:rPr>
      <w:color w:val="0000FF" w:themeColor="hyperlink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C64211"/>
    <w:pPr>
      <w:tabs>
        <w:tab w:val="clear" w:pos="7100"/>
        <w:tab w:val="left" w:pos="567"/>
      </w:tabs>
      <w:ind w:left="567" w:hanging="567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C64211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itaviBibliographyHeading">
    <w:name w:val="Citavi Bibliography Heading"/>
    <w:basedOn w:val="berschrift1"/>
    <w:link w:val="CitaviBibliographyHeadingZchn"/>
    <w:rsid w:val="00C64211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C6421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C64211"/>
    <w:rPr>
      <w:rFonts w:eastAsia="MS PGothic" w:cstheme="majorBidi"/>
      <w:b/>
      <w:bCs/>
      <w:color w:val="000000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C64211"/>
    <w:rPr>
      <w:rFonts w:eastAsia="MS PGothic" w:cstheme="majorBidi"/>
      <w:b/>
      <w:bCs/>
      <w:color w:val="000000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C64211"/>
    <w:rPr>
      <w:rFonts w:eastAsia="MS PGothic" w:cstheme="majorBidi"/>
      <w:b/>
      <w:bCs/>
      <w:i/>
      <w:iCs/>
      <w:color w:val="000000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C64211"/>
    <w:rPr>
      <w:rFonts w:eastAsia="MS PGothic" w:cstheme="majorBidi"/>
      <w:color w:val="000000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C64211"/>
    <w:rPr>
      <w:rFonts w:eastAsia="MS PGothic" w:cstheme="majorBidi"/>
      <w:i/>
      <w:iCs/>
      <w:color w:val="000000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C64211"/>
    <w:rPr>
      <w:rFonts w:eastAsia="MS PGothic" w:cstheme="majorBidi"/>
      <w:i/>
      <w:iCs/>
      <w:color w:val="000000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C64211"/>
    <w:rPr>
      <w:rFonts w:eastAsia="MS PGothic" w:cstheme="majorBidi"/>
      <w:color w:val="000000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C64211"/>
    <w:rPr>
      <w:rFonts w:eastAsia="MS PGothic" w:cstheme="majorBidi"/>
      <w:i/>
      <w:iCs/>
      <w:color w:val="00000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03318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BC083A"/>
    <w:rPr>
      <w:color w:val="0000FF" w:themeColor="hyperlink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C64211"/>
    <w:pPr>
      <w:tabs>
        <w:tab w:val="clear" w:pos="7100"/>
        <w:tab w:val="left" w:pos="567"/>
      </w:tabs>
      <w:ind w:left="567" w:hanging="567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C64211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itaviBibliographyHeading">
    <w:name w:val="Citavi Bibliography Heading"/>
    <w:basedOn w:val="berschrift1"/>
    <w:link w:val="CitaviBibliographyHeadingZchn"/>
    <w:rsid w:val="00C64211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C6421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C64211"/>
    <w:rPr>
      <w:rFonts w:eastAsia="MS PGothic" w:cstheme="majorBidi"/>
      <w:b/>
      <w:bCs/>
      <w:color w:val="000000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C64211"/>
    <w:rPr>
      <w:rFonts w:eastAsia="MS PGothic" w:cstheme="majorBidi"/>
      <w:b/>
      <w:bCs/>
      <w:color w:val="000000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C64211"/>
    <w:rPr>
      <w:rFonts w:eastAsia="MS PGothic" w:cstheme="majorBidi"/>
      <w:b/>
      <w:bCs/>
      <w:i/>
      <w:iCs/>
      <w:color w:val="000000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C64211"/>
    <w:pPr>
      <w:snapToGrid w:val="0"/>
      <w:spacing w:after="120"/>
      <w:jc w:val="left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C64211"/>
    <w:rPr>
      <w:rFonts w:eastAsia="MS PGothic" w:cstheme="majorBidi"/>
      <w:color w:val="000000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C64211"/>
    <w:rPr>
      <w:rFonts w:eastAsia="MS PGothic" w:cstheme="majorBidi"/>
      <w:i/>
      <w:iCs/>
      <w:color w:val="000000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C64211"/>
    <w:rPr>
      <w:rFonts w:eastAsia="MS PGothic" w:cstheme="majorBidi"/>
      <w:i/>
      <w:iCs/>
      <w:color w:val="000000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C64211"/>
    <w:rPr>
      <w:rFonts w:eastAsia="MS PGothic" w:cstheme="majorBidi"/>
      <w:color w:val="000000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C64211"/>
    <w:pPr>
      <w:snapToGrid w:val="0"/>
      <w:spacing w:after="120"/>
      <w:outlineLvl w:val="9"/>
    </w:pPr>
    <w:rPr>
      <w:rFonts w:asciiTheme="minorHAnsi" w:eastAsia="MS PGothic" w:hAnsiTheme="minorHAnsi"/>
      <w:color w:val="000000"/>
      <w:sz w:val="22"/>
      <w:szCs w:val="22"/>
      <w:lang w:val="en-US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C64211"/>
    <w:rPr>
      <w:rFonts w:eastAsia="MS PGothic" w:cstheme="majorBidi"/>
      <w:i/>
      <w:iCs/>
      <w:color w:val="00000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0331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B133-CF7F-47ED-868F-63FB6BBA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Mantei, Franz Kaspar</cp:lastModifiedBy>
  <cp:revision>3</cp:revision>
  <cp:lastPrinted>2015-05-12T18:31:00Z</cp:lastPrinted>
  <dcterms:created xsi:type="dcterms:W3CDTF">2019-04-30T11:35:00Z</dcterms:created>
  <dcterms:modified xsi:type="dcterms:W3CDTF">2019-04-30T11:36:00Z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PtL Literatur </vt:lpwstr>
  </property>
  <property fmtid="{D5CDD505-2E9C-101B-9397-08002B2CF9AE}" pid="3" name="CitaviDocumentProperty_0">
    <vt:lpwstr>3d89cab9-b60f-481e-b0ff-64aa8725ade2</vt:lpwstr>
  </property>
  <property fmtid="{D5CDD505-2E9C-101B-9397-08002B2CF9AE}" pid="4" name="CitaviDocumentProperty_1">
    <vt:lpwstr>5.7.0.0</vt:lpwstr>
  </property>
  <property fmtid="{D5CDD505-2E9C-101B-9397-08002B2CF9AE}" pid="5" name="CitaviDocumentProperty_8">
    <vt:lpwstr>P:\500\groupdrives\TCP\Aktuell\Team Methanol Literatur\PtL Literatur .ctv5</vt:lpwstr>
  </property>
  <property fmtid="{D5CDD505-2E9C-101B-9397-08002B2CF9AE}" pid="6" name="CitaviDocumentProperty_6">
    <vt:lpwstr>True</vt:lpwstr>
  </property>
</Properties>
</file>