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525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1EF3751" w14:textId="5C57B22F" w:rsidR="00704BDF" w:rsidRPr="00DE0019" w:rsidRDefault="00080A5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Doubling humanized L-asparaginase expression by </w:t>
      </w:r>
      <w:r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Pichia pastoris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E9015F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BB6C84"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E9015F">
        <w:rPr>
          <w:rFonts w:asciiTheme="minorHAnsi" w:eastAsia="MS PGothic" w:hAnsiTheme="minorHAnsi"/>
          <w:b/>
          <w:bCs/>
          <w:sz w:val="28"/>
          <w:szCs w:val="28"/>
          <w:lang w:val="en-US"/>
        </w:rPr>
        <w:t>rough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122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DO-stat </w:t>
      </w:r>
      <w:r w:rsidR="00F702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controlling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induction strategy in bench-bioreactor </w:t>
      </w:r>
    </w:p>
    <w:p w14:paraId="41DA58E2" w14:textId="59883A73" w:rsidR="00F74BAA" w:rsidRPr="00BB17E7" w:rsidRDefault="002F29F3" w:rsidP="00F74BAA">
      <w:pPr>
        <w:snapToGrid w:val="0"/>
        <w:spacing w:after="120"/>
        <w:jc w:val="center"/>
        <w:rPr>
          <w:lang w:val="pt-BR"/>
        </w:rPr>
      </w:pPr>
      <w:r w:rsidRPr="002F29F3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Leticia Parizotto</w:t>
      </w:r>
      <w:r w:rsidR="00704BDF" w:rsidRPr="002F29F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736B13" w:rsidRPr="002F29F3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Pr="002F29F3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Adalberto Pessoa Jr</w:t>
      </w:r>
      <w:r w:rsidRPr="002F29F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2</w:t>
      </w:r>
      <w:r w:rsidRPr="002F29F3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Aldo </w:t>
      </w: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Tonso</w:t>
      </w:r>
      <w:r w:rsidRPr="00512FC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DE0019" w:rsidRPr="00512FCD">
        <w:rPr>
          <w:rFonts w:eastAsia="SimSun"/>
          <w:color w:val="000000"/>
          <w:lang w:val="pt-BR" w:eastAsia="zh-CN"/>
        </w:rPr>
        <w:t xml:space="preserve"> </w:t>
      </w:r>
    </w:p>
    <w:p w14:paraId="70909EEE" w14:textId="737DAD8E" w:rsidR="00F74BAA" w:rsidRPr="00F74BAA" w:rsidRDefault="00F74BAA" w:rsidP="00F74BAA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 xml:space="preserve">1 University of Sao Paulo, Polytechnic School, Dep. </w:t>
      </w:r>
      <w:r w:rsidR="00BB6C84">
        <w:rPr>
          <w:rFonts w:asciiTheme="minorHAnsi" w:hAnsiTheme="minorHAnsi" w:cstheme="minorHAnsi"/>
          <w:i/>
          <w:sz w:val="20"/>
          <w:szCs w:val="20"/>
          <w:lang w:val="en-GB"/>
        </w:rPr>
        <w:t>o</w:t>
      </w: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>f Chem. Eng.</w:t>
      </w:r>
    </w:p>
    <w:p w14:paraId="772DFF94" w14:textId="06F6F5B1" w:rsidR="00F74BAA" w:rsidRPr="00F74BAA" w:rsidRDefault="00F74BAA" w:rsidP="00F74BAA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 xml:space="preserve">2 University of Sao Paulo, </w:t>
      </w:r>
      <w:r w:rsidR="00110D1D">
        <w:rPr>
          <w:rFonts w:asciiTheme="minorHAnsi" w:hAnsiTheme="minorHAnsi" w:cstheme="minorHAnsi"/>
          <w:i/>
          <w:sz w:val="20"/>
          <w:szCs w:val="20"/>
          <w:lang w:val="en-GB"/>
        </w:rPr>
        <w:t xml:space="preserve">School of </w:t>
      </w: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>Pharmac</w:t>
      </w:r>
      <w:r w:rsidR="00110D1D">
        <w:rPr>
          <w:rFonts w:asciiTheme="minorHAnsi" w:hAnsiTheme="minorHAnsi" w:cstheme="minorHAnsi"/>
          <w:i/>
          <w:sz w:val="20"/>
          <w:szCs w:val="20"/>
          <w:lang w:val="en-GB"/>
        </w:rPr>
        <w:t>eutical</w:t>
      </w: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 xml:space="preserve"> S</w:t>
      </w:r>
      <w:r w:rsidR="00110D1D">
        <w:rPr>
          <w:rFonts w:asciiTheme="minorHAnsi" w:hAnsiTheme="minorHAnsi" w:cstheme="minorHAnsi"/>
          <w:i/>
          <w:sz w:val="20"/>
          <w:szCs w:val="20"/>
          <w:lang w:val="en-GB"/>
        </w:rPr>
        <w:t>ciences</w:t>
      </w: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 xml:space="preserve">, Dep. </w:t>
      </w:r>
      <w:proofErr w:type="spellStart"/>
      <w:r w:rsidR="00F07DE6" w:rsidRPr="00F74BAA">
        <w:rPr>
          <w:rFonts w:asciiTheme="minorHAnsi" w:hAnsiTheme="minorHAnsi" w:cstheme="minorHAnsi"/>
          <w:i/>
          <w:sz w:val="20"/>
          <w:szCs w:val="20"/>
          <w:lang w:val="en-GB"/>
        </w:rPr>
        <w:t>Bio</w:t>
      </w:r>
      <w:r w:rsidR="00F07DE6">
        <w:rPr>
          <w:rFonts w:asciiTheme="minorHAnsi" w:hAnsiTheme="minorHAnsi" w:cstheme="minorHAnsi"/>
          <w:i/>
          <w:sz w:val="20"/>
          <w:szCs w:val="20"/>
          <w:lang w:val="en-GB"/>
        </w:rPr>
        <w:t>ch</w:t>
      </w:r>
      <w:proofErr w:type="spellEnd"/>
      <w:r w:rsidR="00F07DE6">
        <w:rPr>
          <w:rFonts w:asciiTheme="minorHAnsi" w:hAnsiTheme="minorHAnsi" w:cstheme="minorHAnsi"/>
          <w:i/>
          <w:sz w:val="20"/>
          <w:szCs w:val="20"/>
          <w:lang w:val="en-GB"/>
        </w:rPr>
        <w:t xml:space="preserve">. - </w:t>
      </w:r>
      <w:r w:rsidRPr="00F74BAA">
        <w:rPr>
          <w:rFonts w:asciiTheme="minorHAnsi" w:hAnsiTheme="minorHAnsi" w:cstheme="minorHAnsi"/>
          <w:i/>
          <w:sz w:val="20"/>
          <w:szCs w:val="20"/>
          <w:lang w:val="en-GB"/>
        </w:rPr>
        <w:t>Pharm</w:t>
      </w:r>
      <w:r w:rsidR="00BB17E7">
        <w:rPr>
          <w:rFonts w:asciiTheme="minorHAnsi" w:hAnsiTheme="minorHAnsi" w:cstheme="minorHAnsi"/>
          <w:i/>
          <w:sz w:val="20"/>
          <w:szCs w:val="20"/>
          <w:lang w:val="en-GB"/>
        </w:rPr>
        <w:t>. Technology</w:t>
      </w:r>
    </w:p>
    <w:p w14:paraId="58CE3AEB" w14:textId="691B747D" w:rsidR="00704BDF" w:rsidRPr="00F74BAA" w:rsidRDefault="00704BDF" w:rsidP="00F74BAA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F74BAA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F74BAA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F74BAA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CA7ECD">
        <w:rPr>
          <w:rFonts w:asciiTheme="minorHAnsi" w:eastAsia="MS PGothic" w:hAnsiTheme="minorHAnsi"/>
          <w:bCs/>
          <w:i/>
          <w:iCs/>
          <w:sz w:val="20"/>
        </w:rPr>
        <w:t>l</w:t>
      </w:r>
      <w:r w:rsidR="00F74BAA" w:rsidRPr="00F74BAA">
        <w:rPr>
          <w:rFonts w:asciiTheme="minorHAnsi" w:eastAsia="MS PGothic" w:hAnsiTheme="minorHAnsi"/>
          <w:bCs/>
          <w:i/>
          <w:iCs/>
          <w:sz w:val="20"/>
        </w:rPr>
        <w:t>eticia.parizotto@usp.br</w:t>
      </w:r>
    </w:p>
    <w:p w14:paraId="7AB73604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14:paraId="61A01FD4" w14:textId="4B7D986A" w:rsidR="00704BDF" w:rsidRPr="00EC66CC" w:rsidRDefault="000E32B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e</w:t>
      </w:r>
      <w:r w:rsidR="009A60F8">
        <w:rPr>
          <w:rFonts w:asciiTheme="minorHAnsi" w:hAnsiTheme="minorHAnsi"/>
        </w:rPr>
        <w:t xml:space="preserve">ngineered </w:t>
      </w:r>
      <w:r w:rsidR="009A60F8">
        <w:rPr>
          <w:rFonts w:asciiTheme="minorHAnsi" w:hAnsiTheme="minorHAnsi"/>
          <w:i/>
        </w:rPr>
        <w:t xml:space="preserve">Pichia pastoris </w:t>
      </w:r>
      <w:r w:rsidR="009A60F8">
        <w:rPr>
          <w:rFonts w:asciiTheme="minorHAnsi" w:hAnsiTheme="minorHAnsi"/>
        </w:rPr>
        <w:t>expressed humanized L-asparaginase (ASNase)</w:t>
      </w:r>
    </w:p>
    <w:p w14:paraId="56F1E2E7" w14:textId="7EADFBF1" w:rsidR="00704BDF" w:rsidRPr="00EC66CC" w:rsidRDefault="009A60F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Three induction strategies were studied</w:t>
      </w:r>
    </w:p>
    <w:p w14:paraId="1B071FB8" w14:textId="65AB7246" w:rsidR="00704BDF" w:rsidRPr="001E2E20" w:rsidRDefault="009A60F8" w:rsidP="001E2E2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DO-stat strategy resulted in, approximately, two-fold more maximum</w:t>
      </w:r>
      <w:r w:rsidR="00704BDF" w:rsidRPr="00EC66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ASNase activity</w:t>
      </w:r>
    </w:p>
    <w:p w14:paraId="7B5896CE" w14:textId="77777777" w:rsidR="00704BDF" w:rsidRPr="00B2393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B2393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14:paraId="3A1D1487" w14:textId="11798E17" w:rsidR="005C0CCA" w:rsidRPr="00B2393B" w:rsidRDefault="00E0258A" w:rsidP="005C0CC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2393B">
        <w:rPr>
          <w:rFonts w:asciiTheme="minorHAnsi" w:eastAsia="MS PGothic" w:hAnsiTheme="minorHAnsi"/>
          <w:color w:val="000000"/>
          <w:sz w:val="22"/>
          <w:szCs w:val="22"/>
        </w:rPr>
        <w:t>During the last ten year</w:t>
      </w:r>
      <w:r w:rsidR="00793409" w:rsidRPr="00B2393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, the yeast </w:t>
      </w:r>
      <w:r w:rsidRPr="00B2393B">
        <w:rPr>
          <w:rFonts w:asciiTheme="minorHAnsi" w:eastAsia="MS PGothic" w:hAnsiTheme="minorHAnsi"/>
          <w:i/>
          <w:color w:val="000000"/>
          <w:sz w:val="22"/>
          <w:szCs w:val="22"/>
        </w:rPr>
        <w:t>Pichia pastoris</w:t>
      </w:r>
      <w:r w:rsidR="000B203F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(Komagataella </w:t>
      </w:r>
      <w:r w:rsidR="00705C01">
        <w:rPr>
          <w:rFonts w:asciiTheme="minorHAnsi" w:eastAsia="MS PGothic" w:hAnsiTheme="minorHAnsi"/>
          <w:i/>
          <w:color w:val="000000"/>
          <w:sz w:val="22"/>
          <w:szCs w:val="22"/>
        </w:rPr>
        <w:t>phaffi</w:t>
      </w:r>
      <w:r w:rsidR="000B203F">
        <w:rPr>
          <w:rFonts w:asciiTheme="minorHAnsi" w:eastAsia="MS PGothic" w:hAnsiTheme="minorHAnsi"/>
          <w:i/>
          <w:color w:val="000000"/>
          <w:sz w:val="22"/>
          <w:szCs w:val="22"/>
        </w:rPr>
        <w:t>)</w:t>
      </w:r>
      <w:r w:rsidRPr="00B2393B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r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has been consolidated as a </w:t>
      </w:r>
      <w:r w:rsidR="00793409"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platform for biopharmaceutical production. 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Moreover, the development of 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engineered strains capable to perform ‘humanized’ glycosylation </w:t>
      </w:r>
      <w:r w:rsidR="000E32B1">
        <w:rPr>
          <w:rFonts w:asciiTheme="minorHAnsi" w:eastAsia="MS PGothic" w:hAnsiTheme="minorHAnsi"/>
          <w:color w:val="000000"/>
          <w:sz w:val="22"/>
          <w:szCs w:val="22"/>
        </w:rPr>
        <w:t>increased the chances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 to reach the requirements of the regulatory agencies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70083">
        <w:rPr>
          <w:rFonts w:asciiTheme="minorHAnsi" w:eastAsia="MS PGothic" w:hAnsiTheme="minorHAnsi"/>
          <w:color w:val="000000"/>
          <w:sz w:val="22"/>
          <w:szCs w:val="22"/>
        </w:rPr>
        <w:t>(Jacobs et al, 2009)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. Facing this potential, a strain of </w:t>
      </w:r>
      <w:r w:rsidR="005C0CCA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P. pastoris 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>Glycoswitch</w:t>
      </w:r>
      <w:r w:rsidR="005C0CCA" w:rsidRPr="00B2393B">
        <w:rPr>
          <w:rFonts w:asciiTheme="minorHAnsi" w:eastAsia="MS PGothic" w:hAnsiTheme="minorHAnsi" w:cstheme="minorHAnsi"/>
          <w:color w:val="000000"/>
          <w:sz w:val="22"/>
          <w:szCs w:val="22"/>
        </w:rPr>
        <w:t>®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 (Biogrammatics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 Inc.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 was transformed to express 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 xml:space="preserve">the enzyme L-asparaginase (ASNase), </w:t>
      </w:r>
      <w:r w:rsidR="00954C95">
        <w:rPr>
          <w:rFonts w:asciiTheme="minorHAnsi" w:eastAsia="MS PGothic" w:hAnsiTheme="minorHAnsi"/>
          <w:color w:val="000000"/>
          <w:sz w:val="22"/>
          <w:szCs w:val="22"/>
        </w:rPr>
        <w:t xml:space="preserve">which is 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>applied in acute lymphoblastic leukaemia treatment,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 with ‘</w:t>
      </w:r>
      <w:r w:rsidR="005C0CCA" w:rsidRPr="00B2393B">
        <w:rPr>
          <w:rFonts w:asciiTheme="minorHAnsi" w:eastAsia="MS PGothic" w:hAnsiTheme="minorHAnsi"/>
          <w:color w:val="000000"/>
          <w:sz w:val="22"/>
          <w:szCs w:val="22"/>
        </w:rPr>
        <w:t>humanized’ glycosylation</w:t>
      </w:r>
      <w:r w:rsidR="005C0CCA">
        <w:rPr>
          <w:rFonts w:asciiTheme="minorHAnsi" w:eastAsia="MS PGothic" w:hAnsiTheme="minorHAnsi"/>
          <w:color w:val="000000"/>
          <w:sz w:val="22"/>
          <w:szCs w:val="22"/>
        </w:rPr>
        <w:t xml:space="preserve">. The objective of this work is to obtain the highest ASNase activity through studying different induction strategies aiming the scaling up production of this innovative biopharmaceutical. </w:t>
      </w:r>
    </w:p>
    <w:p w14:paraId="236A5CB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2741E71" w14:textId="3170575E" w:rsidR="00B2393B" w:rsidRDefault="00B2393B" w:rsidP="00AE3A2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2.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 strain and expression vector</w:t>
      </w:r>
    </w:p>
    <w:p w14:paraId="7BC0AAD7" w14:textId="7928299A" w:rsidR="000B203F" w:rsidRPr="00705C01" w:rsidRDefault="000B203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Pichia pastoris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GS115 Glycoswitch</w:t>
      </w:r>
      <w:r w:rsidRPr="00B2393B">
        <w:rPr>
          <w:rFonts w:asciiTheme="minorHAnsi" w:eastAsia="MS PGothic" w:hAnsiTheme="minorHAnsi" w:cstheme="minorHAnsi"/>
          <w:color w:val="000000"/>
          <w:sz w:val="22"/>
          <w:szCs w:val="22"/>
        </w:rPr>
        <w:t>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SuperMan</w:t>
      </w:r>
      <w:r w:rsidRPr="000B203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his</w:t>
      </w:r>
      <w:r w:rsidRPr="000B203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(Biogrammatics Inc.) transformed by electroporation with the plasmid pJAG_s1 (Biogrammatics Inc.) containing the gene asn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GenScript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of the bacteria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Erwinia chrysanthemi (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Dickeya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chrysanthemi)</w:t>
      </w:r>
      <w:r w:rsidR="00705C0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705C01" w:rsidRPr="00705C0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ASNase expression, the factor αMF for extracellular expression and the gene for G418 resistance for selection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(Effer et al, 2019)</w:t>
      </w:r>
      <w:r w:rsidR="00705C01" w:rsidRPr="00705C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05C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plasmid was linearized and integrated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705C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promoter AOX1. </w:t>
      </w:r>
    </w:p>
    <w:p w14:paraId="2966F97C" w14:textId="1EBC73E3" w:rsidR="00704BDF" w:rsidRDefault="00B2393B" w:rsidP="00AE3A2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2.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 storage and reactivation</w:t>
      </w:r>
    </w:p>
    <w:p w14:paraId="7410EE7E" w14:textId="28D09FE0" w:rsidR="003C034B" w:rsidRDefault="003C03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Cells 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storage and seed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 according to Invitrogen’s protocol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(Invitrogen, 2002)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pre-inoculum was prepared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inoculate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bioreactor with 1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3C034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drycell</w:t>
      </w:r>
      <w:proofErr w:type="spellEnd"/>
      <w:r w:rsidRP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/L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E7DDBCB" w14:textId="79CC19BF" w:rsidR="00B2393B" w:rsidRDefault="00B2393B" w:rsidP="00AE3A2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2.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Bioreactor cultures</w:t>
      </w:r>
    </w:p>
    <w:p w14:paraId="578BF5C8" w14:textId="3D3652E8" w:rsidR="00270B18" w:rsidRPr="006D184E" w:rsidRDefault="006D184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Bioreactor cultures 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began with </w:t>
      </w:r>
      <w:r w:rsidR="003D23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 </w:t>
      </w:r>
      <w:r w:rsidR="003D2302" w:rsidRPr="00CD14D7">
        <w:rPr>
          <w:rFonts w:asciiTheme="minorHAnsi" w:eastAsia="MS PGothic" w:hAnsiTheme="minorHAnsi"/>
          <w:color w:val="000000"/>
          <w:sz w:val="22"/>
          <w:szCs w:val="22"/>
        </w:rPr>
        <w:t>lit</w:t>
      </w:r>
      <w:r w:rsidR="00CB6629" w:rsidRPr="00CD14D7">
        <w:rPr>
          <w:rFonts w:asciiTheme="minorHAnsi" w:eastAsia="MS PGothic" w:hAnsiTheme="minorHAnsi"/>
          <w:color w:val="000000"/>
          <w:sz w:val="22"/>
          <w:szCs w:val="22"/>
        </w:rPr>
        <w:t>re</w:t>
      </w:r>
      <w:r w:rsidR="003D23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BSM (Basal Salt Medium) and </w:t>
      </w:r>
      <w:r w:rsidR="003D23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4.35mL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PTM1 (metal trace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Pichia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solution) </w:t>
      </w:r>
      <w:r w:rsidR="003D23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formulated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according to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Invitrogen (2002)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 w:rsidR="00CB6629">
        <w:rPr>
          <w:rFonts w:asciiTheme="minorHAnsi" w:eastAsia="MS PGothic" w:hAnsiTheme="minorHAnsi"/>
          <w:color w:val="000000"/>
          <w:sz w:val="22"/>
          <w:szCs w:val="22"/>
          <w:lang w:val="en-US"/>
        </w:rPr>
        <w:t>2L-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BIOSTAT B (Sartorius, Germany)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glycerol batch phase was performed according to the same protocol and equal in the three experiments with dissolved oxygen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(DO)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kept over 20% air saturation with control cascade of the agitation between 700 and 1000 rpm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aeration kept at 1 </w:t>
      </w:r>
      <w:r w:rsidR="004516F8" w:rsidRPr="005B404C">
        <w:rPr>
          <w:rFonts w:asciiTheme="minorHAnsi" w:eastAsia="MS PGothic" w:hAnsiTheme="minorHAnsi"/>
          <w:color w:val="000000"/>
          <w:sz w:val="22"/>
          <w:szCs w:val="22"/>
        </w:rPr>
        <w:t>litre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 minute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ollowing</w:t>
      </w:r>
      <w:r w:rsidR="00CB662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66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was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period of starving for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approximately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 hours and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induction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started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 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A,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induction was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performed with the addition of 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10mL-pulses at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every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24 hours; in experiment B, methanol was linearly fed with constant rate of approximately 18mL/h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controlled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20% 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pure oxygen feeding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and, in C, 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 was fed to keep D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20% in a control mesh</w:t>
      </w:r>
      <w:r w:rsidR="00B12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(DO-stat)</w:t>
      </w:r>
      <w:r w:rsidR="007C6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D65DB1A" w14:textId="01E945CC" w:rsidR="00B2393B" w:rsidRDefault="00B2393B" w:rsidP="00AE3A2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2.</w:t>
      </w:r>
      <w:r w:rsidR="00270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Analytic </w:t>
      </w:r>
      <w:r w:rsidR="00A6210E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Methods</w:t>
      </w:r>
    </w:p>
    <w:p w14:paraId="6CD85D92" w14:textId="4FB69613" w:rsidR="00A0215E" w:rsidRDefault="00A0215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dry mass concentration was related to optical density at 600nm measured in a spectrophotometer (Spectra Max</w:t>
      </w:r>
      <w:r w:rsidR="00AE3A22" w:rsidRPr="004E5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®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Molecular Devices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); glycerol was evaluated using a </w:t>
      </w:r>
      <w:r w:rsidR="009370C6" w:rsidRPr="00620C03">
        <w:rPr>
          <w:rFonts w:asciiTheme="minorHAnsi" w:eastAsia="MS PGothic" w:hAnsiTheme="minorHAnsi"/>
          <w:color w:val="000000"/>
          <w:sz w:val="22"/>
          <w:szCs w:val="22"/>
        </w:rPr>
        <w:t>colorimetric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kit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Triglicerides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Liquiform</w:t>
      </w:r>
      <w:r w:rsidR="00AE3A22" w:rsidRPr="004E5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Labtest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); ASNase activity</w:t>
      </w:r>
      <w:r w:rsidR="00B1224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modified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653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protocol of Drainas</w:t>
      </w:r>
      <w:r w:rsidR="002356F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Kinghorn and Pateman (1977)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protein concentration</w:t>
      </w:r>
      <w:r w:rsidR="00B122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BCA method</w:t>
      </w:r>
      <w:r w:rsidR="004E5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4E5974" w:rsidRPr="004E5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Bicinchoninic Acid Kit</w:t>
      </w:r>
      <w:r w:rsidR="00AE3A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E5974" w:rsidRPr="004E5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Sigma®)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052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A4BF170" w14:textId="32931DCD" w:rsidR="00704BDF" w:rsidRDefault="00704BDF" w:rsidP="009C17AB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58620B9" w14:textId="2DEDBC85" w:rsidR="00EF7EE0" w:rsidRPr="00E9015F" w:rsidRDefault="00CD14D7" w:rsidP="00E901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D14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three cultures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 performances during the growth phase on glycerol, with </w:t>
      </w:r>
      <w:r w:rsidR="00620C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 maximum growth rate of 0.18</w:t>
      </w:r>
      <w:r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±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0.02 h</w:t>
      </w:r>
      <w:r w:rsidRPr="004E597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E7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productivity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E7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1.1</w:t>
      </w:r>
      <w:r w:rsidR="00E7278C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±0.1 </w:t>
      </w:r>
      <w:proofErr w:type="spellStart"/>
      <w:r w:rsidR="00E7278C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E7278C" w:rsidRPr="003F6DA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drycell</w:t>
      </w:r>
      <w:proofErr w:type="spellEnd"/>
      <w:r w:rsidR="00E7278C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/L/h a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fter</w:t>
      </w:r>
      <w:r w:rsidR="00E7278C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24 hours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cultivation</w:t>
      </w:r>
      <w:r w:rsidR="00E7278C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BB6C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the expression phase, 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ASNase production was different according to the induction </w:t>
      </w:r>
      <w:r w:rsidR="00E874EA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strategy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maximum activities were 1674 U/L (100h), 1501 U/L (76h) and 3068 U/L (97h) in A, B and C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respectively. Moreover, the population grew and produced protein significantly only in culture C. Therefore, the induction strategy based on controlling methanol-feeding by O</w:t>
      </w:r>
      <w:r w:rsidR="008A1795" w:rsidRPr="00BB17E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</w:t>
      </w:r>
      <w:r w:rsidR="00E874EA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(C)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the most suitable, 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metabolism was permanently stimulated to produce ASNase and consume methanol different</w:t>
      </w:r>
      <w:r w:rsidR="00B12242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pulses strategy (A)</w:t>
      </w:r>
      <w:r w:rsidR="00B12242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A1795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B12242" w:rsidRPr="00E901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intermittent, and did not achieve toxic levels as in the constant feeding (B). 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result </w:t>
      </w:r>
      <w:r w:rsidR="00C027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agrees with previously reported by 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 et al. (2003) that </w:t>
      </w:r>
      <w:r w:rsidR="005B40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40% higher rGuamerin secretion using DO-stat strategy than manual control of methanol-feeding.</w:t>
      </w:r>
      <w:r w:rsidR="00C027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strategy avoids methanol accumulation and lack of oxygen, improving cell growth and heterologous protein production (Lim et al, 2003). </w:t>
      </w:r>
    </w:p>
    <w:p w14:paraId="76F92ADB" w14:textId="77777777" w:rsidR="00704BDF" w:rsidRPr="00970083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97008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4. </w:t>
      </w:r>
      <w:r w:rsidRPr="002B6EA3">
        <w:rPr>
          <w:rFonts w:asciiTheme="minorHAnsi" w:eastAsia="MS PGothic" w:hAnsiTheme="minorHAnsi"/>
          <w:b/>
          <w:bCs/>
          <w:color w:val="000000"/>
          <w:sz w:val="22"/>
          <w:szCs w:val="22"/>
        </w:rPr>
        <w:t>Conclusion</w:t>
      </w:r>
      <w:r w:rsidRPr="002B6EA3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4FEE09B8" w14:textId="58AEA02C" w:rsidR="00704BDF" w:rsidRPr="00174162" w:rsidRDefault="0017416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7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174162">
        <w:rPr>
          <w:rFonts w:asciiTheme="minorHAnsi" w:eastAsia="MS PGothic" w:hAnsiTheme="minorHAnsi"/>
          <w:color w:val="000000"/>
          <w:sz w:val="22"/>
          <w:szCs w:val="22"/>
          <w:lang w:val="en-US"/>
        </w:rPr>
        <w:t>cribed in the 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iterature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749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E5D86">
        <w:rPr>
          <w:rFonts w:asciiTheme="minorHAnsi" w:eastAsia="MS PGothic" w:hAnsiTheme="minorHAnsi"/>
          <w:color w:val="000000"/>
          <w:sz w:val="22"/>
          <w:szCs w:val="22"/>
          <w:lang w:val="en-US"/>
        </w:rPr>
        <w:t>Liu</w:t>
      </w:r>
      <w:r w:rsidR="000674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al, 2019)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induction strategy influenced significantly the heterologous protein production. The maximum ASNase activity approximately doubled with methanol-feeding controlled by </w:t>
      </w:r>
      <w:r w:rsidR="005B404C">
        <w:rPr>
          <w:rFonts w:asciiTheme="minorHAnsi" w:eastAsia="MS PGothic" w:hAnsiTheme="minorHAnsi"/>
          <w:color w:val="000000"/>
          <w:sz w:val="22"/>
          <w:szCs w:val="22"/>
          <w:lang w:val="en-US"/>
        </w:rPr>
        <w:t>DO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>-stat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</w:t>
      </w:r>
      <w:r w:rsidR="005B40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strategy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kept</w:t>
      </w:r>
      <w:r w:rsidR="005B40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constant in a range that stimulated ASNase production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B40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</w:t>
      </w:r>
      <w:r w:rsidR="00BB17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4C9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a level that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31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not toxic for the cells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38F3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="004516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culture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</w:t>
      </w:r>
      <w:r w:rsidR="00ED68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induction strategy </w:t>
      </w:r>
      <w:r w:rsidR="00ED686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considered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37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aspects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 metabolism was</w:t>
      </w:r>
      <w:r w:rsidR="00451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most suitable</w:t>
      </w:r>
      <w:r w:rsidR="00451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E937C3">
        <w:rPr>
          <w:rFonts w:asciiTheme="minorHAnsi" w:eastAsia="MS PGothic" w:hAnsiTheme="minorHAnsi"/>
          <w:color w:val="000000"/>
          <w:sz w:val="22"/>
          <w:szCs w:val="22"/>
          <w:lang w:val="en-US"/>
        </w:rPr>
        <w:t>humanized ASNase production</w:t>
      </w:r>
      <w:r w:rsidR="004516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9F7C2EA" w14:textId="49265CD6" w:rsidR="00704BDF" w:rsidRPr="00174162" w:rsidRDefault="00704BDF" w:rsidP="00A130F0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174162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 w:rsidRPr="00174162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47138F44" w14:textId="6D5EAABE" w:rsidR="00970083" w:rsidRPr="002F29F3" w:rsidRDefault="00970083" w:rsidP="00AE3A22">
      <w:pPr>
        <w:pStyle w:val="PargrafodaLista"/>
        <w:numPr>
          <w:ilvl w:val="0"/>
          <w:numId w:val="17"/>
        </w:numPr>
        <w:tabs>
          <w:tab w:val="clear" w:pos="7100"/>
        </w:tabs>
        <w:spacing w:after="100" w:afterAutospacing="1" w:line="240" w:lineRule="auto"/>
        <w:rPr>
          <w:rFonts w:asciiTheme="minorHAnsi" w:hAnsiTheme="minorHAnsi"/>
          <w:color w:val="000000"/>
          <w:sz w:val="20"/>
        </w:rPr>
      </w:pPr>
      <w:r w:rsidRPr="002F29F3">
        <w:rPr>
          <w:rFonts w:asciiTheme="minorHAnsi" w:hAnsiTheme="minorHAnsi"/>
          <w:color w:val="000000"/>
          <w:sz w:val="20"/>
        </w:rPr>
        <w:t>Jacobs, P. P., Geysens, S., Vervecken, W., Contreras, R., &amp; Callewaert, N</w:t>
      </w:r>
      <w:r w:rsidR="00713679" w:rsidRPr="002F29F3">
        <w:rPr>
          <w:rFonts w:asciiTheme="minorHAnsi" w:hAnsiTheme="minorHAnsi"/>
          <w:color w:val="000000"/>
          <w:sz w:val="20"/>
        </w:rPr>
        <w:t>,</w:t>
      </w:r>
      <w:r w:rsidRPr="002F29F3">
        <w:rPr>
          <w:rFonts w:asciiTheme="minorHAnsi" w:hAnsiTheme="minorHAnsi"/>
          <w:color w:val="000000"/>
          <w:sz w:val="20"/>
        </w:rPr>
        <w:t xml:space="preserve"> Engineering complex-type N-glycosylation in </w:t>
      </w:r>
      <w:r w:rsidRPr="00110D1D">
        <w:rPr>
          <w:rFonts w:asciiTheme="minorHAnsi" w:hAnsiTheme="minorHAnsi"/>
          <w:i/>
          <w:color w:val="000000"/>
          <w:sz w:val="20"/>
        </w:rPr>
        <w:t>Pichia pastoris</w:t>
      </w:r>
      <w:r w:rsidRPr="002F29F3">
        <w:rPr>
          <w:rFonts w:asciiTheme="minorHAnsi" w:hAnsiTheme="minorHAnsi"/>
          <w:color w:val="000000"/>
          <w:sz w:val="20"/>
        </w:rPr>
        <w:t xml:space="preserve"> using GlycoSwitch technology. Nature Protocols, 4(1)</w:t>
      </w:r>
      <w:r w:rsidR="00713679" w:rsidRPr="002F29F3">
        <w:rPr>
          <w:rFonts w:asciiTheme="minorHAnsi" w:hAnsiTheme="minorHAnsi"/>
          <w:color w:val="000000"/>
          <w:sz w:val="20"/>
        </w:rPr>
        <w:t xml:space="preserve"> (2009)</w:t>
      </w:r>
      <w:r w:rsidRPr="002F29F3">
        <w:rPr>
          <w:rFonts w:asciiTheme="minorHAnsi" w:hAnsiTheme="minorHAnsi"/>
          <w:color w:val="000000"/>
          <w:sz w:val="20"/>
        </w:rPr>
        <w:t xml:space="preserve"> 58–70. </w:t>
      </w:r>
    </w:p>
    <w:p w14:paraId="22827DB2" w14:textId="773DBF9F" w:rsidR="00116537" w:rsidRPr="002F29F3" w:rsidRDefault="00AE3A22" w:rsidP="00AE3A22">
      <w:pPr>
        <w:pStyle w:val="FirstParagraph"/>
        <w:numPr>
          <w:ilvl w:val="0"/>
          <w:numId w:val="17"/>
        </w:numPr>
        <w:spacing w:line="240" w:lineRule="auto"/>
        <w:ind w:left="284" w:hanging="284"/>
        <w:rPr>
          <w:rFonts w:asciiTheme="minorHAnsi" w:hAnsiTheme="minorHAnsi"/>
          <w:color w:val="000000"/>
          <w:lang w:val="en-GB"/>
        </w:rPr>
      </w:pPr>
      <w:r w:rsidRPr="00BB17E7">
        <w:rPr>
          <w:rFonts w:asciiTheme="minorHAnsi" w:hAnsiTheme="minorHAnsi"/>
          <w:color w:val="000000"/>
        </w:rPr>
        <w:t xml:space="preserve">  </w:t>
      </w:r>
      <w:r w:rsidR="00116537" w:rsidRPr="00BB17E7">
        <w:rPr>
          <w:rFonts w:asciiTheme="minorHAnsi" w:hAnsiTheme="minorHAnsi"/>
          <w:color w:val="000000"/>
          <w:lang w:val="pt-BR"/>
        </w:rPr>
        <w:t xml:space="preserve">Effer, B., Lima, G., </w:t>
      </w:r>
      <w:proofErr w:type="spellStart"/>
      <w:r w:rsidR="00116537" w:rsidRPr="00BB17E7">
        <w:rPr>
          <w:rFonts w:asciiTheme="minorHAnsi" w:hAnsiTheme="minorHAnsi"/>
          <w:color w:val="000000"/>
          <w:lang w:val="pt-BR"/>
        </w:rPr>
        <w:t>Cabarca</w:t>
      </w:r>
      <w:proofErr w:type="spellEnd"/>
      <w:r w:rsidR="00116537" w:rsidRPr="00BB17E7">
        <w:rPr>
          <w:rFonts w:asciiTheme="minorHAnsi" w:hAnsiTheme="minorHAnsi"/>
          <w:color w:val="000000"/>
          <w:lang w:val="pt-BR"/>
        </w:rPr>
        <w:t xml:space="preserve">, S., Pessoa, A., </w:t>
      </w:r>
      <w:proofErr w:type="spellStart"/>
      <w:r w:rsidR="00116537" w:rsidRPr="00BB17E7">
        <w:rPr>
          <w:rFonts w:asciiTheme="minorHAnsi" w:hAnsiTheme="minorHAnsi"/>
          <w:color w:val="000000"/>
          <w:lang w:val="pt-BR"/>
        </w:rPr>
        <w:t>Farías</w:t>
      </w:r>
      <w:proofErr w:type="spellEnd"/>
      <w:r w:rsidR="00116537" w:rsidRPr="00BB17E7">
        <w:rPr>
          <w:rFonts w:asciiTheme="minorHAnsi" w:hAnsiTheme="minorHAnsi"/>
          <w:color w:val="000000"/>
          <w:lang w:val="pt-BR"/>
        </w:rPr>
        <w:t xml:space="preserve">, J. G., &amp; Monteiro, G., L-Asparaginase </w:t>
      </w:r>
      <w:proofErr w:type="spellStart"/>
      <w:r w:rsidR="00116537" w:rsidRPr="00BB17E7">
        <w:rPr>
          <w:rFonts w:asciiTheme="minorHAnsi" w:hAnsiTheme="minorHAnsi"/>
          <w:color w:val="000000"/>
          <w:lang w:val="pt-BR"/>
        </w:rPr>
        <w:t>from</w:t>
      </w:r>
      <w:proofErr w:type="spellEnd"/>
      <w:r w:rsidR="00116537" w:rsidRPr="00BB17E7">
        <w:rPr>
          <w:rFonts w:asciiTheme="minorHAnsi" w:hAnsiTheme="minorHAnsi"/>
          <w:color w:val="000000"/>
          <w:lang w:val="pt-BR"/>
        </w:rPr>
        <w:t xml:space="preserve"> </w:t>
      </w:r>
      <w:r w:rsidR="00116537" w:rsidRPr="00110D1D">
        <w:rPr>
          <w:rFonts w:asciiTheme="minorHAnsi" w:hAnsiTheme="minorHAnsi"/>
          <w:i/>
          <w:color w:val="000000"/>
          <w:lang w:val="pt-BR"/>
        </w:rPr>
        <w:t xml:space="preserve">E. </w:t>
      </w:r>
      <w:r w:rsidRPr="00110D1D">
        <w:rPr>
          <w:rFonts w:asciiTheme="minorHAnsi" w:hAnsiTheme="minorHAnsi"/>
          <w:i/>
          <w:color w:val="000000"/>
          <w:lang w:val="pt-BR"/>
        </w:rPr>
        <w:t xml:space="preserve">     </w:t>
      </w:r>
      <w:r w:rsidR="00954C95">
        <w:rPr>
          <w:rFonts w:asciiTheme="minorHAnsi" w:hAnsiTheme="minorHAnsi"/>
          <w:i/>
          <w:color w:val="000000"/>
          <w:lang w:val="pt-BR"/>
        </w:rPr>
        <w:t xml:space="preserve">   </w:t>
      </w:r>
      <w:r w:rsidR="00116537" w:rsidRPr="00110D1D">
        <w:rPr>
          <w:rFonts w:asciiTheme="minorHAnsi" w:hAnsiTheme="minorHAnsi"/>
          <w:i/>
          <w:color w:val="000000"/>
          <w:lang w:val="en-GB"/>
        </w:rPr>
        <w:t>chrysanthemi</w:t>
      </w:r>
      <w:r w:rsidR="00116537" w:rsidRPr="002F29F3">
        <w:rPr>
          <w:rFonts w:asciiTheme="minorHAnsi" w:hAnsiTheme="minorHAnsi"/>
          <w:color w:val="000000"/>
          <w:lang w:val="en-GB"/>
        </w:rPr>
        <w:t xml:space="preserve"> expressed in </w:t>
      </w:r>
      <w:r w:rsidR="00F07DE6" w:rsidRPr="002F29F3">
        <w:rPr>
          <w:rFonts w:asciiTheme="minorHAnsi" w:hAnsiTheme="minorHAnsi"/>
          <w:color w:val="000000"/>
          <w:lang w:val="en-GB"/>
        </w:rPr>
        <w:t>Glycoswitch</w:t>
      </w:r>
      <w:r w:rsidR="00116537" w:rsidRPr="002F29F3">
        <w:rPr>
          <w:rFonts w:asciiTheme="minorHAnsi" w:hAnsiTheme="minorHAnsi"/>
          <w:color w:val="000000"/>
          <w:lang w:val="en-GB"/>
        </w:rPr>
        <w:t xml:space="preserve">®: effect of His-Tag fusion on the extracellular expression. Prep. </w:t>
      </w:r>
      <w:r w:rsidRPr="002F29F3">
        <w:rPr>
          <w:rFonts w:asciiTheme="minorHAnsi" w:hAnsiTheme="minorHAnsi"/>
          <w:color w:val="000000"/>
          <w:lang w:val="en-GB"/>
        </w:rPr>
        <w:t xml:space="preserve">  </w:t>
      </w:r>
      <w:r w:rsidR="00116537" w:rsidRPr="002F29F3">
        <w:rPr>
          <w:rFonts w:asciiTheme="minorHAnsi" w:hAnsiTheme="minorHAnsi"/>
          <w:color w:val="000000"/>
          <w:lang w:val="en-GB"/>
        </w:rPr>
        <w:t xml:space="preserve">Bioch. And Biotech, (2019). </w:t>
      </w:r>
    </w:p>
    <w:p w14:paraId="403E9E0D" w14:textId="4EBF0AEA" w:rsidR="00116537" w:rsidRPr="002F29F3" w:rsidRDefault="00116537" w:rsidP="00AE3A22">
      <w:pPr>
        <w:pStyle w:val="PargrafodaLista"/>
        <w:numPr>
          <w:ilvl w:val="0"/>
          <w:numId w:val="17"/>
        </w:numPr>
        <w:tabs>
          <w:tab w:val="clear" w:pos="7100"/>
        </w:tabs>
        <w:spacing w:before="100" w:beforeAutospacing="1" w:after="100" w:afterAutospacing="1" w:line="240" w:lineRule="auto"/>
        <w:rPr>
          <w:rFonts w:asciiTheme="minorHAnsi" w:hAnsiTheme="minorHAnsi"/>
          <w:color w:val="000000"/>
          <w:sz w:val="20"/>
        </w:rPr>
      </w:pPr>
      <w:r w:rsidRPr="002F29F3">
        <w:rPr>
          <w:rFonts w:asciiTheme="minorHAnsi" w:hAnsiTheme="minorHAnsi"/>
          <w:color w:val="000000"/>
          <w:sz w:val="20"/>
        </w:rPr>
        <w:t xml:space="preserve">Invitrogen, Pichia Fermentation Process Guidelines Overview (2002)., 1–11. </w:t>
      </w:r>
    </w:p>
    <w:p w14:paraId="0A219D8B" w14:textId="28EF3102" w:rsidR="007B05BF" w:rsidRPr="002F29F3" w:rsidRDefault="007B05BF" w:rsidP="00AE3A22">
      <w:pPr>
        <w:pStyle w:val="PargrafodaLista"/>
        <w:numPr>
          <w:ilvl w:val="0"/>
          <w:numId w:val="17"/>
        </w:numPr>
        <w:tabs>
          <w:tab w:val="clear" w:pos="7100"/>
        </w:tabs>
        <w:spacing w:before="100" w:beforeAutospacing="1" w:after="100" w:afterAutospacing="1" w:line="240" w:lineRule="auto"/>
        <w:rPr>
          <w:rFonts w:asciiTheme="minorHAnsi" w:hAnsiTheme="minorHAnsi"/>
          <w:color w:val="000000"/>
          <w:sz w:val="20"/>
        </w:rPr>
      </w:pPr>
      <w:r w:rsidRPr="002F29F3">
        <w:rPr>
          <w:rFonts w:asciiTheme="minorHAnsi" w:hAnsiTheme="minorHAnsi"/>
          <w:color w:val="000000"/>
          <w:sz w:val="20"/>
        </w:rPr>
        <w:t xml:space="preserve">Drainas, C., Kinghorn, J. R., &amp; Pateman, J. A., Aspartic Hydroxamate Resistance and Asparaginase Regulation in the Fungus </w:t>
      </w:r>
      <w:r w:rsidRPr="00110D1D">
        <w:rPr>
          <w:rFonts w:asciiTheme="minorHAnsi" w:hAnsiTheme="minorHAnsi"/>
          <w:i/>
          <w:color w:val="000000"/>
          <w:sz w:val="20"/>
        </w:rPr>
        <w:t>Aspergillus nidulans</w:t>
      </w:r>
      <w:r w:rsidRPr="002F29F3">
        <w:rPr>
          <w:rFonts w:asciiTheme="minorHAnsi" w:hAnsiTheme="minorHAnsi"/>
          <w:color w:val="000000"/>
          <w:sz w:val="20"/>
        </w:rPr>
        <w:t>. Journal of General Microbiology 98 (1977)</w:t>
      </w:r>
      <w:r w:rsidR="00E706F2" w:rsidRPr="002F29F3">
        <w:rPr>
          <w:rFonts w:asciiTheme="minorHAnsi" w:hAnsiTheme="minorHAnsi"/>
          <w:color w:val="000000"/>
          <w:sz w:val="20"/>
        </w:rPr>
        <w:t xml:space="preserve"> 493-501</w:t>
      </w:r>
      <w:r w:rsidRPr="002F29F3">
        <w:rPr>
          <w:rFonts w:asciiTheme="minorHAnsi" w:hAnsiTheme="minorHAnsi"/>
          <w:color w:val="000000"/>
          <w:sz w:val="20"/>
        </w:rPr>
        <w:t xml:space="preserve">. </w:t>
      </w:r>
    </w:p>
    <w:p w14:paraId="45EB4670" w14:textId="4E3393B5" w:rsidR="00704BDF" w:rsidRPr="002F29F3" w:rsidRDefault="00C027FB" w:rsidP="00AE3A22">
      <w:pPr>
        <w:pStyle w:val="PargrafodaLista"/>
        <w:numPr>
          <w:ilvl w:val="0"/>
          <w:numId w:val="17"/>
        </w:numPr>
        <w:tabs>
          <w:tab w:val="clear" w:pos="7100"/>
        </w:tabs>
        <w:spacing w:before="100" w:beforeAutospacing="1" w:after="100" w:afterAutospacing="1"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F29F3">
        <w:rPr>
          <w:rFonts w:asciiTheme="minorHAnsi" w:hAnsiTheme="minorHAnsi"/>
          <w:color w:val="000000"/>
          <w:sz w:val="20"/>
        </w:rPr>
        <w:t xml:space="preserve">Lim, H. K., Choi, S. J., Kim, K. Y., &amp; Jung, K. H., Dissolved-oxygen-stat controlling two variables for methanol induction of rGuamerin in </w:t>
      </w:r>
      <w:r w:rsidRPr="00110D1D">
        <w:rPr>
          <w:rFonts w:asciiTheme="minorHAnsi" w:hAnsiTheme="minorHAnsi"/>
          <w:i/>
          <w:color w:val="000000"/>
          <w:sz w:val="20"/>
        </w:rPr>
        <w:t>Pichia pastoris</w:t>
      </w:r>
      <w:r w:rsidRPr="002F29F3">
        <w:rPr>
          <w:rFonts w:asciiTheme="minorHAnsi" w:hAnsiTheme="minorHAnsi"/>
          <w:color w:val="000000"/>
          <w:sz w:val="20"/>
        </w:rPr>
        <w:t xml:space="preserve"> and its application to repeated fed-batch. App</w:t>
      </w:r>
      <w:r w:rsidR="00A130F0" w:rsidRPr="002F29F3">
        <w:rPr>
          <w:rFonts w:asciiTheme="minorHAnsi" w:hAnsiTheme="minorHAnsi"/>
          <w:color w:val="000000"/>
          <w:sz w:val="20"/>
        </w:rPr>
        <w:t>.</w:t>
      </w:r>
      <w:r w:rsidRPr="002F29F3">
        <w:rPr>
          <w:rFonts w:asciiTheme="minorHAnsi" w:hAnsiTheme="minorHAnsi"/>
          <w:color w:val="000000"/>
          <w:sz w:val="20"/>
        </w:rPr>
        <w:t xml:space="preserve"> Micro</w:t>
      </w:r>
      <w:r w:rsidR="00A130F0" w:rsidRPr="002F29F3">
        <w:rPr>
          <w:rFonts w:asciiTheme="minorHAnsi" w:hAnsiTheme="minorHAnsi"/>
          <w:color w:val="000000"/>
          <w:sz w:val="20"/>
        </w:rPr>
        <w:t xml:space="preserve">. </w:t>
      </w:r>
      <w:r w:rsidRPr="002F29F3">
        <w:rPr>
          <w:rFonts w:asciiTheme="minorHAnsi" w:hAnsiTheme="minorHAnsi"/>
          <w:color w:val="000000"/>
          <w:sz w:val="20"/>
        </w:rPr>
        <w:t>and Biotech</w:t>
      </w:r>
      <w:r w:rsidR="00A130F0" w:rsidRPr="002F29F3">
        <w:rPr>
          <w:rFonts w:asciiTheme="minorHAnsi" w:hAnsiTheme="minorHAnsi"/>
          <w:color w:val="000000"/>
          <w:sz w:val="20"/>
        </w:rPr>
        <w:t>.</w:t>
      </w:r>
      <w:r w:rsidRPr="002F29F3">
        <w:rPr>
          <w:rFonts w:asciiTheme="minorHAnsi" w:hAnsiTheme="minorHAnsi"/>
          <w:color w:val="000000"/>
          <w:sz w:val="20"/>
        </w:rPr>
        <w:t>, 62(4) (2003), 342–348.</w:t>
      </w:r>
    </w:p>
    <w:p w14:paraId="6DFA147F" w14:textId="1C84310F" w:rsidR="00704BDF" w:rsidRPr="002F29F3" w:rsidRDefault="008E5D86" w:rsidP="00954C95">
      <w:pPr>
        <w:pStyle w:val="PargrafodaLista"/>
        <w:widowControl w:val="0"/>
        <w:numPr>
          <w:ilvl w:val="0"/>
          <w:numId w:val="17"/>
        </w:numPr>
        <w:tabs>
          <w:tab w:val="clear" w:pos="7100"/>
        </w:tabs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/>
          <w:color w:val="000000"/>
          <w:sz w:val="20"/>
        </w:rPr>
      </w:pPr>
      <w:r w:rsidRPr="002F29F3">
        <w:rPr>
          <w:rFonts w:asciiTheme="minorHAnsi" w:hAnsiTheme="minorHAnsi"/>
          <w:color w:val="000000"/>
          <w:sz w:val="20"/>
        </w:rPr>
        <w:t xml:space="preserve">Liu, W. C., Inwood, S., Gong, T., Sharma, A., Yu, L., &amp; Zhu, P., Fed-batch high-cell-density fermentation strategies for </w:t>
      </w:r>
      <w:r w:rsidRPr="00110D1D">
        <w:rPr>
          <w:rFonts w:asciiTheme="minorHAnsi" w:hAnsiTheme="minorHAnsi"/>
          <w:i/>
          <w:color w:val="000000"/>
          <w:sz w:val="20"/>
        </w:rPr>
        <w:t>Pichia pastoris</w:t>
      </w:r>
      <w:r w:rsidRPr="002F29F3">
        <w:rPr>
          <w:rFonts w:asciiTheme="minorHAnsi" w:hAnsiTheme="minorHAnsi"/>
          <w:color w:val="000000"/>
          <w:sz w:val="20"/>
        </w:rPr>
        <w:t xml:space="preserve"> growth and production. Critical Rev</w:t>
      </w:r>
      <w:r w:rsidR="00954C95">
        <w:rPr>
          <w:rFonts w:asciiTheme="minorHAnsi" w:hAnsiTheme="minorHAnsi"/>
          <w:color w:val="000000"/>
          <w:sz w:val="20"/>
        </w:rPr>
        <w:t>.</w:t>
      </w:r>
      <w:r w:rsidRPr="002F29F3">
        <w:rPr>
          <w:rFonts w:asciiTheme="minorHAnsi" w:hAnsiTheme="minorHAnsi"/>
          <w:color w:val="000000"/>
          <w:sz w:val="20"/>
        </w:rPr>
        <w:t xml:space="preserve"> in Biotech</w:t>
      </w:r>
      <w:r w:rsidR="00954C95">
        <w:rPr>
          <w:rFonts w:asciiTheme="minorHAnsi" w:hAnsiTheme="minorHAnsi"/>
          <w:color w:val="000000"/>
          <w:sz w:val="20"/>
        </w:rPr>
        <w:t>.</w:t>
      </w:r>
      <w:r w:rsidRPr="002F29F3">
        <w:rPr>
          <w:rFonts w:asciiTheme="minorHAnsi" w:hAnsiTheme="minorHAnsi"/>
          <w:color w:val="000000"/>
          <w:sz w:val="20"/>
        </w:rPr>
        <w:t xml:space="preserve"> 39(2) (2019) 258–271. </w:t>
      </w:r>
    </w:p>
    <w:sectPr w:rsidR="00704BDF" w:rsidRPr="002F29F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CEC2" w14:textId="77777777" w:rsidR="00BB531A" w:rsidRDefault="00BB531A" w:rsidP="004F5E36">
      <w:r>
        <w:separator/>
      </w:r>
    </w:p>
  </w:endnote>
  <w:endnote w:type="continuationSeparator" w:id="0">
    <w:p w14:paraId="7346BABC" w14:textId="77777777" w:rsidR="00BB531A" w:rsidRDefault="00BB531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5F6F" w14:textId="77777777" w:rsidR="00BB531A" w:rsidRDefault="00BB531A" w:rsidP="004F5E36">
      <w:r>
        <w:separator/>
      </w:r>
    </w:p>
  </w:footnote>
  <w:footnote w:type="continuationSeparator" w:id="0">
    <w:p w14:paraId="333866D7" w14:textId="77777777" w:rsidR="00BB531A" w:rsidRDefault="00BB531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F9BE" w14:textId="77777777"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D6F513" wp14:editId="3C84D27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E8ADCAC" wp14:editId="40408A3A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86A8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03A173" wp14:editId="31556C1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873933B" w14:textId="77777777" w:rsidR="00704BDF" w:rsidRDefault="00704BDF">
    <w:pPr>
      <w:pStyle w:val="Cabealho"/>
    </w:pPr>
  </w:p>
  <w:p w14:paraId="54E3FAC0" w14:textId="77777777"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10B8B" wp14:editId="4FC4B52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6749A"/>
    <w:rsid w:val="00080A57"/>
    <w:rsid w:val="000A03B2"/>
    <w:rsid w:val="000B203F"/>
    <w:rsid w:val="000D34BE"/>
    <w:rsid w:val="000D38F3"/>
    <w:rsid w:val="000E32B1"/>
    <w:rsid w:val="000E36F1"/>
    <w:rsid w:val="000E3A73"/>
    <w:rsid w:val="000E414A"/>
    <w:rsid w:val="00110D1D"/>
    <w:rsid w:val="00116537"/>
    <w:rsid w:val="0013121F"/>
    <w:rsid w:val="00134DE4"/>
    <w:rsid w:val="00150E59"/>
    <w:rsid w:val="00174162"/>
    <w:rsid w:val="00184AD6"/>
    <w:rsid w:val="001B65C1"/>
    <w:rsid w:val="001C5B20"/>
    <w:rsid w:val="001C684B"/>
    <w:rsid w:val="001D53FC"/>
    <w:rsid w:val="001E2E20"/>
    <w:rsid w:val="001E312C"/>
    <w:rsid w:val="001F2EC7"/>
    <w:rsid w:val="001F6467"/>
    <w:rsid w:val="002065DB"/>
    <w:rsid w:val="002356FA"/>
    <w:rsid w:val="002447EF"/>
    <w:rsid w:val="00251550"/>
    <w:rsid w:val="00270B18"/>
    <w:rsid w:val="0027221A"/>
    <w:rsid w:val="00275B61"/>
    <w:rsid w:val="002B6EA3"/>
    <w:rsid w:val="002D1F12"/>
    <w:rsid w:val="002F29F3"/>
    <w:rsid w:val="003009B7"/>
    <w:rsid w:val="0030469C"/>
    <w:rsid w:val="00330E6F"/>
    <w:rsid w:val="003723D4"/>
    <w:rsid w:val="00381236"/>
    <w:rsid w:val="003A7D1C"/>
    <w:rsid w:val="003C034B"/>
    <w:rsid w:val="003D2302"/>
    <w:rsid w:val="003F6DA2"/>
    <w:rsid w:val="00451697"/>
    <w:rsid w:val="004516F8"/>
    <w:rsid w:val="00455E1C"/>
    <w:rsid w:val="0046164A"/>
    <w:rsid w:val="00462DCD"/>
    <w:rsid w:val="004B3BD5"/>
    <w:rsid w:val="004D1162"/>
    <w:rsid w:val="004E4DD6"/>
    <w:rsid w:val="004E5974"/>
    <w:rsid w:val="004F563B"/>
    <w:rsid w:val="004F5E36"/>
    <w:rsid w:val="005119A5"/>
    <w:rsid w:val="00512FCD"/>
    <w:rsid w:val="0051561C"/>
    <w:rsid w:val="005278B7"/>
    <w:rsid w:val="005346C8"/>
    <w:rsid w:val="00594E9F"/>
    <w:rsid w:val="005B404C"/>
    <w:rsid w:val="005B61E6"/>
    <w:rsid w:val="005C0CCA"/>
    <w:rsid w:val="005C1B8C"/>
    <w:rsid w:val="005C77E1"/>
    <w:rsid w:val="005D6A2F"/>
    <w:rsid w:val="005E1A82"/>
    <w:rsid w:val="005F0A28"/>
    <w:rsid w:val="005F0E5E"/>
    <w:rsid w:val="00620C03"/>
    <w:rsid w:val="00620DEE"/>
    <w:rsid w:val="00625639"/>
    <w:rsid w:val="006366F8"/>
    <w:rsid w:val="0064184D"/>
    <w:rsid w:val="00660E3E"/>
    <w:rsid w:val="00662E74"/>
    <w:rsid w:val="006B01AC"/>
    <w:rsid w:val="006C5579"/>
    <w:rsid w:val="006D184E"/>
    <w:rsid w:val="00704BDF"/>
    <w:rsid w:val="00705C01"/>
    <w:rsid w:val="00713679"/>
    <w:rsid w:val="00736B13"/>
    <w:rsid w:val="00741656"/>
    <w:rsid w:val="007447F3"/>
    <w:rsid w:val="00761306"/>
    <w:rsid w:val="007661C8"/>
    <w:rsid w:val="007744B6"/>
    <w:rsid w:val="00793409"/>
    <w:rsid w:val="007B05BF"/>
    <w:rsid w:val="007B162C"/>
    <w:rsid w:val="007C6DC3"/>
    <w:rsid w:val="007D52CD"/>
    <w:rsid w:val="007E1187"/>
    <w:rsid w:val="00813288"/>
    <w:rsid w:val="008168FC"/>
    <w:rsid w:val="008479A2"/>
    <w:rsid w:val="0087637F"/>
    <w:rsid w:val="008A1512"/>
    <w:rsid w:val="008A1795"/>
    <w:rsid w:val="008C722A"/>
    <w:rsid w:val="008D0BEB"/>
    <w:rsid w:val="008E4947"/>
    <w:rsid w:val="008E566E"/>
    <w:rsid w:val="008E5D86"/>
    <w:rsid w:val="008F530F"/>
    <w:rsid w:val="00901EB6"/>
    <w:rsid w:val="00936C2D"/>
    <w:rsid w:val="009370C6"/>
    <w:rsid w:val="009450CE"/>
    <w:rsid w:val="0095164B"/>
    <w:rsid w:val="00954C95"/>
    <w:rsid w:val="00970083"/>
    <w:rsid w:val="00996483"/>
    <w:rsid w:val="009A60F8"/>
    <w:rsid w:val="009C17AB"/>
    <w:rsid w:val="009D16CA"/>
    <w:rsid w:val="009E788A"/>
    <w:rsid w:val="00A0215E"/>
    <w:rsid w:val="00A130F0"/>
    <w:rsid w:val="00A13212"/>
    <w:rsid w:val="00A1763D"/>
    <w:rsid w:val="00A17CEC"/>
    <w:rsid w:val="00A27EF0"/>
    <w:rsid w:val="00A54F48"/>
    <w:rsid w:val="00A6210E"/>
    <w:rsid w:val="00A76EFC"/>
    <w:rsid w:val="00A97F29"/>
    <w:rsid w:val="00AB0964"/>
    <w:rsid w:val="00AB69C8"/>
    <w:rsid w:val="00AE377D"/>
    <w:rsid w:val="00AE3A22"/>
    <w:rsid w:val="00B05241"/>
    <w:rsid w:val="00B12242"/>
    <w:rsid w:val="00B2393B"/>
    <w:rsid w:val="00B61DBF"/>
    <w:rsid w:val="00B74F9A"/>
    <w:rsid w:val="00BB17E7"/>
    <w:rsid w:val="00BB531A"/>
    <w:rsid w:val="00BB6C84"/>
    <w:rsid w:val="00BC30C9"/>
    <w:rsid w:val="00BC6FDF"/>
    <w:rsid w:val="00BC74E8"/>
    <w:rsid w:val="00BD5FBB"/>
    <w:rsid w:val="00BE3E58"/>
    <w:rsid w:val="00C01616"/>
    <w:rsid w:val="00C0162B"/>
    <w:rsid w:val="00C027FB"/>
    <w:rsid w:val="00C1750A"/>
    <w:rsid w:val="00C345B1"/>
    <w:rsid w:val="00C3523B"/>
    <w:rsid w:val="00C40142"/>
    <w:rsid w:val="00C57182"/>
    <w:rsid w:val="00C655FD"/>
    <w:rsid w:val="00C94434"/>
    <w:rsid w:val="00CA1C95"/>
    <w:rsid w:val="00CA5A9C"/>
    <w:rsid w:val="00CA7ECD"/>
    <w:rsid w:val="00CB6629"/>
    <w:rsid w:val="00CC3F4B"/>
    <w:rsid w:val="00CD14D7"/>
    <w:rsid w:val="00CD5FE2"/>
    <w:rsid w:val="00D02B4C"/>
    <w:rsid w:val="00D31096"/>
    <w:rsid w:val="00D73775"/>
    <w:rsid w:val="00D84576"/>
    <w:rsid w:val="00DB7B49"/>
    <w:rsid w:val="00DE0019"/>
    <w:rsid w:val="00DE264A"/>
    <w:rsid w:val="00E0258A"/>
    <w:rsid w:val="00E041E7"/>
    <w:rsid w:val="00E23CA1"/>
    <w:rsid w:val="00E307AC"/>
    <w:rsid w:val="00E409A8"/>
    <w:rsid w:val="00E47211"/>
    <w:rsid w:val="00E706F2"/>
    <w:rsid w:val="00E7209D"/>
    <w:rsid w:val="00E7278C"/>
    <w:rsid w:val="00E874EA"/>
    <w:rsid w:val="00E9015F"/>
    <w:rsid w:val="00E937C3"/>
    <w:rsid w:val="00EA50E1"/>
    <w:rsid w:val="00ED6860"/>
    <w:rsid w:val="00EE0131"/>
    <w:rsid w:val="00EF7EE0"/>
    <w:rsid w:val="00F07DE6"/>
    <w:rsid w:val="00F30C64"/>
    <w:rsid w:val="00F46E00"/>
    <w:rsid w:val="00F70211"/>
    <w:rsid w:val="00F74BA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280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970083"/>
    <w:pPr>
      <w:ind w:left="720"/>
      <w:contextualSpacing/>
    </w:pPr>
  </w:style>
  <w:style w:type="paragraph" w:customStyle="1" w:styleId="Default">
    <w:name w:val="Default"/>
    <w:rsid w:val="00F7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BD71-19D2-4477-AA1B-58F92D0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982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Leticia Parizotto</cp:lastModifiedBy>
  <cp:revision>8</cp:revision>
  <cp:lastPrinted>2015-05-12T18:31:00Z</cp:lastPrinted>
  <dcterms:created xsi:type="dcterms:W3CDTF">2019-04-29T17:51:00Z</dcterms:created>
  <dcterms:modified xsi:type="dcterms:W3CDTF">2019-04-29T18:10:00Z</dcterms:modified>
</cp:coreProperties>
</file>