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011250" w:rsidRDefault="00011250" w:rsidP="00704BDF">
      <w:pPr>
        <w:snapToGrid w:val="0"/>
        <w:spacing w:after="120"/>
        <w:jc w:val="center"/>
        <w:rPr>
          <w:rFonts w:asciiTheme="minorHAnsi" w:eastAsia="MS PGothic" w:hAnsiTheme="minorHAnsi"/>
          <w:b/>
          <w:bCs/>
          <w:sz w:val="28"/>
          <w:szCs w:val="28"/>
          <w:u w:val="single"/>
          <w:lang w:val="en-US"/>
        </w:rPr>
      </w:pPr>
      <w:r w:rsidRPr="00011250">
        <w:rPr>
          <w:rFonts w:asciiTheme="minorHAnsi" w:eastAsia="MS PGothic" w:hAnsiTheme="minorHAnsi"/>
          <w:b/>
          <w:bCs/>
          <w:sz w:val="28"/>
          <w:szCs w:val="28"/>
        </w:rPr>
        <w:t>Hydrogen Storage in LOHC and the Chances for Energy Supply, Mobility and Society</w:t>
      </w:r>
      <w:r w:rsidRPr="00011250">
        <w:rPr>
          <w:rFonts w:asciiTheme="minorHAnsi" w:eastAsia="MS PGothic" w:hAnsiTheme="minorHAnsi"/>
          <w:b/>
          <w:bCs/>
          <w:sz w:val="28"/>
          <w:szCs w:val="28"/>
          <w:u w:val="single"/>
          <w:lang w:val="en-US"/>
        </w:rPr>
        <w:t xml:space="preserve"> </w:t>
      </w:r>
    </w:p>
    <w:p w:rsidR="00DE0019" w:rsidRPr="00DE0019" w:rsidRDefault="00011250"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Eberhard Schluecker</w:t>
      </w:r>
      <w:r w:rsidRPr="00011250">
        <w:rPr>
          <w:rFonts w:asciiTheme="minorHAnsi" w:eastAsia="SimSun" w:hAnsiTheme="minorHAnsi"/>
          <w:color w:val="000000"/>
          <w:sz w:val="24"/>
          <w:szCs w:val="24"/>
          <w:u w:val="single"/>
          <w:vertAlign w:val="superscript"/>
          <w:lang w:val="en-US" w:eastAsia="zh-CN"/>
        </w:rPr>
        <w:t>1</w:t>
      </w:r>
      <w:r w:rsidR="00DE0019">
        <w:rPr>
          <w:rFonts w:eastAsia="SimSun"/>
          <w:color w:val="000000"/>
          <w:lang w:val="en-US" w:eastAsia="zh-CN"/>
        </w:rPr>
        <w:t xml:space="preserve"> </w:t>
      </w:r>
    </w:p>
    <w:p w:rsidR="00704BDF" w:rsidRPr="00011250" w:rsidRDefault="00704BDF" w:rsidP="00704BDF">
      <w:pPr>
        <w:snapToGrid w:val="0"/>
        <w:spacing w:after="120"/>
        <w:jc w:val="center"/>
        <w:rPr>
          <w:rFonts w:asciiTheme="minorHAnsi" w:eastAsia="MS PGothic" w:hAnsiTheme="minorHAnsi"/>
          <w:i/>
          <w:iCs/>
          <w:color w:val="000000"/>
          <w:sz w:val="20"/>
          <w:lang w:val="de-DE"/>
        </w:rPr>
      </w:pPr>
      <w:r w:rsidRPr="00011250">
        <w:rPr>
          <w:rFonts w:eastAsia="MS PGothic"/>
          <w:i/>
          <w:iCs/>
          <w:color w:val="000000"/>
          <w:sz w:val="20"/>
          <w:lang w:val="de-DE"/>
        </w:rPr>
        <w:t>1</w:t>
      </w:r>
      <w:r w:rsidR="00011250" w:rsidRPr="00011250">
        <w:rPr>
          <w:rFonts w:asciiTheme="minorHAnsi" w:eastAsia="MS PGothic" w:hAnsiTheme="minorHAnsi"/>
          <w:i/>
          <w:iCs/>
          <w:color w:val="000000"/>
          <w:sz w:val="20"/>
          <w:lang w:val="de-DE"/>
        </w:rPr>
        <w:t xml:space="preserve"> University </w:t>
      </w:r>
      <w:proofErr w:type="spellStart"/>
      <w:r w:rsidR="00011250" w:rsidRPr="00011250">
        <w:rPr>
          <w:rFonts w:asciiTheme="minorHAnsi" w:eastAsia="MS PGothic" w:hAnsiTheme="minorHAnsi"/>
          <w:i/>
          <w:iCs/>
          <w:color w:val="000000"/>
          <w:sz w:val="20"/>
          <w:lang w:val="de-DE"/>
        </w:rPr>
        <w:t>of</w:t>
      </w:r>
      <w:proofErr w:type="spellEnd"/>
      <w:r w:rsidR="00011250" w:rsidRPr="00011250">
        <w:rPr>
          <w:rFonts w:asciiTheme="minorHAnsi" w:eastAsia="MS PGothic" w:hAnsiTheme="minorHAnsi"/>
          <w:i/>
          <w:iCs/>
          <w:color w:val="000000"/>
          <w:sz w:val="20"/>
          <w:lang w:val="de-DE"/>
        </w:rPr>
        <w:t xml:space="preserve"> Erlangen-</w:t>
      </w:r>
      <w:proofErr w:type="spellStart"/>
      <w:r w:rsidR="00011250" w:rsidRPr="00011250">
        <w:rPr>
          <w:rFonts w:asciiTheme="minorHAnsi" w:eastAsia="MS PGothic" w:hAnsiTheme="minorHAnsi"/>
          <w:i/>
          <w:iCs/>
          <w:color w:val="000000"/>
          <w:sz w:val="20"/>
          <w:lang w:val="de-DE"/>
        </w:rPr>
        <w:t>Nuremberg</w:t>
      </w:r>
      <w:proofErr w:type="spellEnd"/>
      <w:r w:rsidR="00011250" w:rsidRPr="00011250">
        <w:rPr>
          <w:rFonts w:asciiTheme="minorHAnsi" w:eastAsia="MS PGothic" w:hAnsiTheme="minorHAnsi"/>
          <w:i/>
          <w:iCs/>
          <w:color w:val="000000"/>
          <w:sz w:val="20"/>
          <w:lang w:val="de-DE"/>
        </w:rPr>
        <w:t xml:space="preserve">, Germany, </w:t>
      </w:r>
      <w:proofErr w:type="spellStart"/>
      <w:r w:rsidR="00011250" w:rsidRPr="00011250">
        <w:rPr>
          <w:rFonts w:asciiTheme="minorHAnsi" w:eastAsia="MS PGothic" w:hAnsiTheme="minorHAnsi"/>
          <w:i/>
          <w:iCs/>
          <w:color w:val="000000"/>
          <w:sz w:val="20"/>
          <w:lang w:val="de-DE"/>
        </w:rPr>
        <w:t>Cauerstr</w:t>
      </w:r>
      <w:proofErr w:type="spellEnd"/>
      <w:r w:rsidR="00011250" w:rsidRPr="00011250">
        <w:rPr>
          <w:rFonts w:asciiTheme="minorHAnsi" w:eastAsia="MS PGothic" w:hAnsiTheme="minorHAnsi"/>
          <w:i/>
          <w:iCs/>
          <w:color w:val="000000"/>
          <w:sz w:val="20"/>
          <w:lang w:val="de-DE"/>
        </w:rPr>
        <w:t>. 4, D-91058 Erlangen</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011250">
        <w:rPr>
          <w:rFonts w:asciiTheme="minorHAnsi" w:eastAsia="MS PGothic" w:hAnsiTheme="minorHAnsi"/>
          <w:bCs/>
          <w:i/>
          <w:iCs/>
          <w:sz w:val="20"/>
          <w:lang w:val="en-US"/>
        </w:rPr>
        <w:t xml:space="preserve"> sl@ipat.uni-erlangen.de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011250" w:rsidRDefault="00011250" w:rsidP="00704BDF">
      <w:pPr>
        <w:pStyle w:val="AbstractBody"/>
        <w:numPr>
          <w:ilvl w:val="0"/>
          <w:numId w:val="16"/>
        </w:numPr>
        <w:rPr>
          <w:rFonts w:asciiTheme="minorHAnsi" w:hAnsiTheme="minorHAnsi"/>
          <w:lang w:val="de-DE"/>
        </w:rPr>
      </w:pPr>
      <w:r w:rsidRPr="00011250">
        <w:rPr>
          <w:rFonts w:asciiTheme="minorHAnsi" w:hAnsiTheme="minorHAnsi"/>
          <w:lang w:val="de-DE"/>
        </w:rPr>
        <w:t xml:space="preserve">Hydrogen </w:t>
      </w:r>
      <w:r>
        <w:rPr>
          <w:rFonts w:asciiTheme="minorHAnsi" w:hAnsiTheme="minorHAnsi"/>
          <w:lang w:val="de-DE"/>
        </w:rPr>
        <w:t>Storage</w:t>
      </w:r>
      <w:r w:rsidRPr="00011250">
        <w:rPr>
          <w:rFonts w:asciiTheme="minorHAnsi" w:hAnsiTheme="minorHAnsi"/>
          <w:lang w:val="de-DE"/>
        </w:rPr>
        <w:t xml:space="preserve"> in LOHC; 2,1 KWh/Kg</w:t>
      </w:r>
      <w:r w:rsidR="00704BDF" w:rsidRPr="00011250">
        <w:rPr>
          <w:rFonts w:asciiTheme="minorHAnsi" w:hAnsiTheme="minorHAnsi"/>
          <w:lang w:val="de-DE"/>
        </w:rPr>
        <w:t>.</w:t>
      </w:r>
    </w:p>
    <w:p w:rsidR="00704BDF" w:rsidRPr="00EC66CC" w:rsidRDefault="00011250" w:rsidP="00704BDF">
      <w:pPr>
        <w:pStyle w:val="AbstractBody"/>
        <w:numPr>
          <w:ilvl w:val="0"/>
          <w:numId w:val="16"/>
        </w:numPr>
        <w:rPr>
          <w:rFonts w:asciiTheme="minorHAnsi" w:hAnsiTheme="minorHAnsi"/>
        </w:rPr>
      </w:pPr>
      <w:r>
        <w:rPr>
          <w:rFonts w:asciiTheme="minorHAnsi" w:hAnsiTheme="minorHAnsi"/>
        </w:rPr>
        <w:t>Examples for the develo</w:t>
      </w:r>
      <w:bookmarkStart w:id="0" w:name="_GoBack"/>
      <w:bookmarkEnd w:id="0"/>
      <w:r>
        <w:rPr>
          <w:rFonts w:asciiTheme="minorHAnsi" w:hAnsiTheme="minorHAnsi"/>
        </w:rPr>
        <w:t>ped and used Equipment</w:t>
      </w:r>
      <w:r w:rsidR="00704BDF" w:rsidRPr="00EC66CC">
        <w:rPr>
          <w:rFonts w:asciiTheme="minorHAnsi" w:hAnsiTheme="minorHAnsi"/>
        </w:rPr>
        <w:t xml:space="preserve">. </w:t>
      </w:r>
    </w:p>
    <w:p w:rsidR="00704BDF" w:rsidRPr="00EC66CC" w:rsidRDefault="00011250" w:rsidP="00704BDF">
      <w:pPr>
        <w:pStyle w:val="AbstractBody"/>
        <w:numPr>
          <w:ilvl w:val="0"/>
          <w:numId w:val="16"/>
        </w:numPr>
        <w:rPr>
          <w:rFonts w:asciiTheme="minorHAnsi" w:hAnsiTheme="minorHAnsi"/>
        </w:rPr>
      </w:pPr>
      <w:r>
        <w:rPr>
          <w:rFonts w:asciiTheme="minorHAnsi" w:hAnsiTheme="minorHAnsi"/>
        </w:rPr>
        <w:t>Decentral energy supply, e</w:t>
      </w:r>
      <w:r>
        <w:rPr>
          <w:rFonts w:asciiTheme="minorHAnsi" w:hAnsiTheme="minorHAnsi"/>
        </w:rPr>
        <w:t>ffects on society, chances for mobility</w:t>
      </w:r>
    </w:p>
    <w:p w:rsidR="00704BDF" w:rsidRPr="00EC66CC" w:rsidRDefault="00011250" w:rsidP="00704BDF">
      <w:pPr>
        <w:pStyle w:val="AbstractBody"/>
        <w:numPr>
          <w:ilvl w:val="0"/>
          <w:numId w:val="16"/>
        </w:numPr>
        <w:rPr>
          <w:rFonts w:asciiTheme="minorHAnsi" w:hAnsiTheme="minorHAnsi"/>
        </w:rPr>
      </w:pPr>
      <w:r>
        <w:rPr>
          <w:rFonts w:asciiTheme="minorHAnsi" w:hAnsiTheme="minorHAnsi"/>
        </w:rPr>
        <w:t xml:space="preserve">Examples for energy efficiency due energy networks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11250" w:rsidRPr="00011250" w:rsidRDefault="00011250" w:rsidP="00011250">
      <w:pPr>
        <w:rPr>
          <w:rFonts w:asciiTheme="minorHAnsi" w:hAnsiTheme="minorHAnsi" w:cstheme="minorHAnsi"/>
          <w:sz w:val="22"/>
          <w:szCs w:val="22"/>
        </w:rPr>
      </w:pPr>
      <w:r w:rsidRPr="00011250">
        <w:rPr>
          <w:rFonts w:asciiTheme="minorHAnsi" w:hAnsiTheme="minorHAnsi" w:cstheme="minorHAnsi"/>
          <w:sz w:val="22"/>
          <w:szCs w:val="22"/>
        </w:rPr>
        <w:t xml:space="preserve">Due to the ongoing observed developments and trends of our climate, it can no longer be denied that human impact on global cycles </w:t>
      </w:r>
      <w:proofErr w:type="gramStart"/>
      <w:r w:rsidRPr="00011250">
        <w:rPr>
          <w:rFonts w:asciiTheme="minorHAnsi" w:hAnsiTheme="minorHAnsi" w:cstheme="minorHAnsi"/>
          <w:sz w:val="22"/>
          <w:szCs w:val="22"/>
        </w:rPr>
        <w:t>cause</w:t>
      </w:r>
      <w:proofErr w:type="gramEnd"/>
      <w:r w:rsidRPr="00011250">
        <w:rPr>
          <w:rFonts w:asciiTheme="minorHAnsi" w:hAnsiTheme="minorHAnsi" w:cstheme="minorHAnsi"/>
          <w:sz w:val="22"/>
          <w:szCs w:val="22"/>
        </w:rPr>
        <w:t xml:space="preserve"> our planet great, perhaps even irreparable damage that future generations will have to bear. We therefore need to think about regenerative energy technology goals and decentral energy supply, for the preservation </w:t>
      </w:r>
      <w:proofErr w:type="gramStart"/>
      <w:r w:rsidRPr="00011250">
        <w:rPr>
          <w:rFonts w:asciiTheme="minorHAnsi" w:hAnsiTheme="minorHAnsi" w:cstheme="minorHAnsi"/>
          <w:sz w:val="22"/>
          <w:szCs w:val="22"/>
        </w:rPr>
        <w:t>of mankind</w:t>
      </w:r>
      <w:proofErr w:type="gramEnd"/>
      <w:r w:rsidRPr="00011250">
        <w:rPr>
          <w:rFonts w:asciiTheme="minorHAnsi" w:hAnsiTheme="minorHAnsi" w:cstheme="minorHAnsi"/>
          <w:sz w:val="22"/>
          <w:szCs w:val="22"/>
        </w:rPr>
        <w:t xml:space="preserve"> and the planet. </w:t>
      </w:r>
    </w:p>
    <w:p w:rsidR="009D3520" w:rsidRDefault="00011250" w:rsidP="009D3520">
      <w:pPr>
        <w:rPr>
          <w:rFonts w:asciiTheme="minorHAnsi" w:hAnsiTheme="minorHAnsi" w:cstheme="minorHAnsi"/>
          <w:sz w:val="22"/>
          <w:szCs w:val="22"/>
        </w:rPr>
      </w:pPr>
      <w:r w:rsidRPr="00011250">
        <w:rPr>
          <w:rFonts w:asciiTheme="minorHAnsi" w:hAnsiTheme="minorHAnsi" w:cstheme="minorHAnsi"/>
          <w:sz w:val="22"/>
          <w:szCs w:val="22"/>
        </w:rPr>
        <w:t xml:space="preserve">This presentation will therefore focus exclusively on the </w:t>
      </w:r>
      <w:r w:rsidR="00D66648">
        <w:rPr>
          <w:rFonts w:asciiTheme="minorHAnsi" w:hAnsiTheme="minorHAnsi" w:cstheme="minorHAnsi"/>
          <w:sz w:val="22"/>
          <w:szCs w:val="22"/>
        </w:rPr>
        <w:t xml:space="preserve">Hydrogen LOHC storage method for the use as </w:t>
      </w:r>
      <w:r w:rsidRPr="00011250">
        <w:rPr>
          <w:rFonts w:asciiTheme="minorHAnsi" w:hAnsiTheme="minorHAnsi" w:cstheme="minorHAnsi"/>
          <w:sz w:val="22"/>
          <w:szCs w:val="22"/>
        </w:rPr>
        <w:t xml:space="preserve">energy supply of the future, </w:t>
      </w:r>
      <w:r w:rsidR="00D66648">
        <w:rPr>
          <w:rFonts w:asciiTheme="minorHAnsi" w:hAnsiTheme="minorHAnsi" w:cstheme="minorHAnsi"/>
          <w:sz w:val="22"/>
          <w:szCs w:val="22"/>
        </w:rPr>
        <w:t xml:space="preserve">but also the chances for mobility and society. </w:t>
      </w:r>
    </w:p>
    <w:p w:rsidR="009D3520" w:rsidRPr="009D3520" w:rsidRDefault="009D3520" w:rsidP="009D3520">
      <w:pPr>
        <w:rPr>
          <w:rFonts w:asciiTheme="minorHAnsi" w:hAnsiTheme="minorHAnsi" w:cstheme="minorHAnsi"/>
          <w:sz w:val="22"/>
          <w:szCs w:val="22"/>
        </w:rPr>
      </w:pPr>
      <w:r w:rsidRPr="009D3520">
        <w:rPr>
          <w:rFonts w:asciiTheme="minorHAnsi" w:hAnsiTheme="minorHAnsi" w:cstheme="minorHAnsi"/>
          <w:sz w:val="22"/>
          <w:szCs w:val="22"/>
        </w:rPr>
        <w:t xml:space="preserve">When we think about our future, we have to live independent from fossil resources. Therefore, hydrogen is the most favourable for a certain basic energy supply. Hydrogen is available in water but at the same time, we do not want to consume it, rather to put it into a cycle. Hydrogen as a basis for chemical processes is very energy-rich at 33 - 39.41 KWh/Kg calorific value, but it also has some disadvantages in energy storage. It has the lowest density of all gases and difficult to store. The classical storage method, to achieve the necessary density, therefore used are the compression up to 70 MPa or the cryogenic state (liquid hydrogen). Unfortunately, the high pressure and/or the extreme cooling requirements are problematic and cost-intensive. Last, but not least, there are still safety considerations </w:t>
      </w:r>
      <w:proofErr w:type="gramStart"/>
      <w:r w:rsidRPr="009D3520">
        <w:rPr>
          <w:rFonts w:asciiTheme="minorHAnsi" w:hAnsiTheme="minorHAnsi" w:cstheme="minorHAnsi"/>
          <w:sz w:val="22"/>
          <w:szCs w:val="22"/>
        </w:rPr>
        <w:t>regarding  to</w:t>
      </w:r>
      <w:proofErr w:type="gramEnd"/>
      <w:r w:rsidRPr="009D3520">
        <w:rPr>
          <w:rFonts w:asciiTheme="minorHAnsi" w:hAnsiTheme="minorHAnsi" w:cstheme="minorHAnsi"/>
          <w:sz w:val="22"/>
          <w:szCs w:val="22"/>
        </w:rPr>
        <w:t xml:space="preserve"> compressed hydrogen and also to free hydrogen.</w:t>
      </w:r>
    </w:p>
    <w:p w:rsidR="000F65A5" w:rsidRDefault="000F65A5" w:rsidP="00C867B1">
      <w:pPr>
        <w:snapToGrid w:val="0"/>
        <w:spacing w:after="120"/>
        <w:rPr>
          <w:rFonts w:asciiTheme="minorHAnsi" w:eastAsia="MS PGothic" w:hAnsiTheme="minorHAnsi"/>
          <w:b/>
          <w:bCs/>
          <w:color w:val="000000"/>
          <w:sz w:val="22"/>
          <w:szCs w:val="22"/>
          <w:lang w:val="en-US"/>
        </w:rPr>
      </w:pPr>
    </w:p>
    <w:p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r w:rsidR="009D3520">
        <w:rPr>
          <w:rFonts w:asciiTheme="minorHAnsi" w:eastAsia="MS PGothic" w:hAnsiTheme="minorHAnsi"/>
          <w:b/>
          <w:bCs/>
          <w:color w:val="000000"/>
          <w:sz w:val="22"/>
          <w:szCs w:val="22"/>
          <w:lang w:val="en-US"/>
        </w:rPr>
        <w:t xml:space="preserve"> </w:t>
      </w:r>
    </w:p>
    <w:p w:rsidR="009D3520" w:rsidRPr="003C20AE" w:rsidRDefault="009D3520" w:rsidP="009D3520">
      <w:pPr>
        <w:rPr>
          <w:rFonts w:asciiTheme="minorHAnsi" w:hAnsiTheme="minorHAnsi" w:cstheme="minorHAnsi"/>
          <w:sz w:val="22"/>
          <w:szCs w:val="22"/>
          <w:lang w:val="en-US"/>
        </w:rPr>
      </w:pPr>
      <w:r w:rsidRPr="009D3520">
        <w:rPr>
          <w:rFonts w:asciiTheme="minorHAnsi" w:hAnsiTheme="minorHAnsi" w:cstheme="minorHAnsi"/>
          <w:sz w:val="22"/>
          <w:szCs w:val="22"/>
        </w:rPr>
        <w:t xml:space="preserve">The new method of hydrogen storage technology – presented - eliminates all these problems and concerns by storing the hydrogen in chemically bound form on a LOHC (Liquid-Organic-Hydrogen-Carrier). Of necessity, this chemical must be chemically very stable so that the thermally driven separation of the hydrogen (recovery) does not destroy the molecules. At the same time, the molecules should not produce any toxins (i.e. no nitrogen, chlorine, etc.) if they </w:t>
      </w:r>
      <w:proofErr w:type="gramStart"/>
      <w:r w:rsidRPr="009D3520">
        <w:rPr>
          <w:rFonts w:asciiTheme="minorHAnsi" w:hAnsiTheme="minorHAnsi" w:cstheme="minorHAnsi"/>
          <w:sz w:val="22"/>
          <w:szCs w:val="22"/>
        </w:rPr>
        <w:t>should be burned</w:t>
      </w:r>
      <w:proofErr w:type="gramEnd"/>
      <w:r w:rsidRPr="009D3520">
        <w:rPr>
          <w:rFonts w:asciiTheme="minorHAnsi" w:hAnsiTheme="minorHAnsi" w:cstheme="minorHAnsi"/>
          <w:sz w:val="22"/>
          <w:szCs w:val="22"/>
        </w:rPr>
        <w:t xml:space="preserve"> as residues and only the pure aromatics remain. To prevent the toxicity di-benzene-toluene </w:t>
      </w:r>
      <w:proofErr w:type="gramStart"/>
      <w:r w:rsidRPr="009D3520">
        <w:rPr>
          <w:rFonts w:asciiTheme="minorHAnsi" w:hAnsiTheme="minorHAnsi" w:cstheme="minorHAnsi"/>
          <w:sz w:val="22"/>
          <w:szCs w:val="22"/>
        </w:rPr>
        <w:t>was chosen</w:t>
      </w:r>
      <w:proofErr w:type="gramEnd"/>
      <w:r w:rsidRPr="009D3520">
        <w:rPr>
          <w:rFonts w:asciiTheme="minorHAnsi" w:hAnsiTheme="minorHAnsi" w:cstheme="minorHAnsi"/>
          <w:sz w:val="22"/>
          <w:szCs w:val="22"/>
        </w:rPr>
        <w:t xml:space="preserve">. Here 18 atoms hydrogen can dock </w:t>
      </w:r>
      <w:proofErr w:type="gramStart"/>
      <w:r w:rsidRPr="009D3520">
        <w:rPr>
          <w:rFonts w:asciiTheme="minorHAnsi" w:hAnsiTheme="minorHAnsi" w:cstheme="minorHAnsi"/>
          <w:sz w:val="22"/>
          <w:szCs w:val="22"/>
        </w:rPr>
        <w:t>and also</w:t>
      </w:r>
      <w:proofErr w:type="gramEnd"/>
      <w:r w:rsidRPr="009D3520">
        <w:rPr>
          <w:rFonts w:asciiTheme="minorHAnsi" w:hAnsiTheme="minorHAnsi" w:cstheme="minorHAnsi"/>
          <w:sz w:val="22"/>
          <w:szCs w:val="22"/>
        </w:rPr>
        <w:t xml:space="preserve"> “REACH” documentation (safety documents) exist for this chemical. The energy that can be stored in it is 2.1 KWh/litre, which is roughly </w:t>
      </w:r>
      <w:r w:rsidRPr="009D3520">
        <w:rPr>
          <w:rFonts w:asciiTheme="minorHAnsi" w:hAnsiTheme="minorHAnsi" w:cstheme="minorHAnsi"/>
          <w:sz w:val="22"/>
          <w:szCs w:val="22"/>
        </w:rPr>
        <w:lastRenderedPageBreak/>
        <w:t>equivalent to the amount of hydrogen in 70 MPa containers. Another advantage is, t</w:t>
      </w:r>
      <w:r w:rsidRPr="009D3520">
        <w:rPr>
          <w:rFonts w:asciiTheme="minorHAnsi" w:hAnsiTheme="minorHAnsi" w:cstheme="minorHAnsi"/>
          <w:sz w:val="22"/>
          <w:szCs w:val="22"/>
          <w:lang w:val="en-US"/>
        </w:rPr>
        <w:t xml:space="preserve">he liquid is </w:t>
      </w:r>
      <w:proofErr w:type="gramStart"/>
      <w:r w:rsidRPr="009D3520">
        <w:rPr>
          <w:rFonts w:asciiTheme="minorHAnsi" w:hAnsiTheme="minorHAnsi" w:cstheme="minorHAnsi"/>
          <w:sz w:val="22"/>
          <w:szCs w:val="22"/>
          <w:lang w:val="en-US"/>
        </w:rPr>
        <w:t>absolutely safe</w:t>
      </w:r>
      <w:proofErr w:type="gramEnd"/>
      <w:r w:rsidRPr="009D3520">
        <w:rPr>
          <w:rFonts w:asciiTheme="minorHAnsi" w:hAnsiTheme="minorHAnsi" w:cstheme="minorHAnsi"/>
          <w:sz w:val="22"/>
          <w:szCs w:val="22"/>
          <w:lang w:val="en-US"/>
        </w:rPr>
        <w:t xml:space="preserve"> against ignitions.</w:t>
      </w:r>
    </w:p>
    <w:p w:rsidR="003C20AE" w:rsidRDefault="003C20AE" w:rsidP="009D3520">
      <w:pPr>
        <w:rPr>
          <w:rFonts w:asciiTheme="minorHAnsi" w:hAnsiTheme="minorHAnsi" w:cstheme="minorHAnsi"/>
          <w:sz w:val="22"/>
          <w:szCs w:val="22"/>
        </w:rPr>
      </w:pPr>
      <w:r>
        <w:rPr>
          <w:rFonts w:asciiTheme="minorHAnsi" w:hAnsiTheme="minorHAnsi" w:cstheme="minorHAnsi"/>
          <w:sz w:val="22"/>
          <w:szCs w:val="22"/>
        </w:rPr>
        <w:t xml:space="preserve">The presentation shows the whole system but also some special apparatuses and further equipment used.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9D3520" w:rsidRDefault="009D3520" w:rsidP="009D3520">
      <w:pPr>
        <w:rPr>
          <w:rFonts w:asciiTheme="minorHAnsi" w:hAnsiTheme="minorHAnsi" w:cstheme="minorHAnsi"/>
          <w:sz w:val="22"/>
          <w:szCs w:val="22"/>
        </w:rPr>
      </w:pPr>
      <w:r w:rsidRPr="009D3520">
        <w:rPr>
          <w:rFonts w:asciiTheme="minorHAnsi" w:hAnsiTheme="minorHAnsi" w:cstheme="minorHAnsi"/>
          <w:sz w:val="22"/>
          <w:szCs w:val="22"/>
        </w:rPr>
        <w:t xml:space="preserve">With this energy storage technology, with an exothermal reaction process (250°C, waste heat), you now have a liquid that fits exactly into our heating oil and petrol infrastructure. The LOHC is oil-like and therefore readily pumped. The disadvantage that needed to </w:t>
      </w:r>
      <w:proofErr w:type="gramStart"/>
      <w:r w:rsidRPr="009D3520">
        <w:rPr>
          <w:rFonts w:asciiTheme="minorHAnsi" w:hAnsiTheme="minorHAnsi" w:cstheme="minorHAnsi"/>
          <w:sz w:val="22"/>
          <w:szCs w:val="22"/>
        </w:rPr>
        <w:t>be overcome</w:t>
      </w:r>
      <w:proofErr w:type="gramEnd"/>
      <w:r w:rsidRPr="009D3520">
        <w:rPr>
          <w:rFonts w:asciiTheme="minorHAnsi" w:hAnsiTheme="minorHAnsi" w:cstheme="minorHAnsi"/>
          <w:sz w:val="22"/>
          <w:szCs w:val="22"/>
        </w:rPr>
        <w:t xml:space="preserve"> was the relatively high temperature (300°C) necessary for dehydration. This was the focus of recent </w:t>
      </w:r>
      <w:proofErr w:type="gramStart"/>
      <w:r w:rsidRPr="009D3520">
        <w:rPr>
          <w:rFonts w:asciiTheme="minorHAnsi" w:hAnsiTheme="minorHAnsi" w:cstheme="minorHAnsi"/>
          <w:sz w:val="22"/>
          <w:szCs w:val="22"/>
        </w:rPr>
        <w:t>research which</w:t>
      </w:r>
      <w:proofErr w:type="gramEnd"/>
      <w:r w:rsidRPr="009D3520">
        <w:rPr>
          <w:rFonts w:asciiTheme="minorHAnsi" w:hAnsiTheme="minorHAnsi" w:cstheme="minorHAnsi"/>
          <w:sz w:val="22"/>
          <w:szCs w:val="22"/>
        </w:rPr>
        <w:t xml:space="preserve"> showed it was possible to reduce the required temperature to approx. 130°C using a clever combination of parameters (patent pending). This means that LOHC technology </w:t>
      </w:r>
      <w:proofErr w:type="gramStart"/>
      <w:r w:rsidRPr="009D3520">
        <w:rPr>
          <w:rFonts w:asciiTheme="minorHAnsi" w:hAnsiTheme="minorHAnsi" w:cstheme="minorHAnsi"/>
          <w:sz w:val="22"/>
          <w:szCs w:val="22"/>
        </w:rPr>
        <w:t>can now be used</w:t>
      </w:r>
      <w:proofErr w:type="gramEnd"/>
      <w:r w:rsidRPr="009D3520">
        <w:rPr>
          <w:rFonts w:asciiTheme="minorHAnsi" w:hAnsiTheme="minorHAnsi" w:cstheme="minorHAnsi"/>
          <w:sz w:val="22"/>
          <w:szCs w:val="22"/>
        </w:rPr>
        <w:t xml:space="preserve"> in many different ways as dehydrogenation can now be carried out with the waste heat from a fuel cell, which we use to convert hydrogen into electricity. </w:t>
      </w:r>
      <w:proofErr w:type="gramStart"/>
      <w:r w:rsidRPr="009D3520">
        <w:rPr>
          <w:rFonts w:asciiTheme="minorHAnsi" w:hAnsiTheme="minorHAnsi" w:cstheme="minorHAnsi"/>
          <w:sz w:val="22"/>
          <w:szCs w:val="22"/>
        </w:rPr>
        <w:t>But in</w:t>
      </w:r>
      <w:proofErr w:type="gramEnd"/>
      <w:r w:rsidRPr="009D3520">
        <w:rPr>
          <w:rFonts w:asciiTheme="minorHAnsi" w:hAnsiTheme="minorHAnsi" w:cstheme="minorHAnsi"/>
          <w:sz w:val="22"/>
          <w:szCs w:val="22"/>
        </w:rPr>
        <w:t xml:space="preserve"> addition, sunlight or other waste heat sources can be used.  </w:t>
      </w:r>
    </w:p>
    <w:p w:rsidR="000F65A5" w:rsidRPr="000F65A5" w:rsidRDefault="000F65A5" w:rsidP="000F65A5">
      <w:pPr>
        <w:rPr>
          <w:rFonts w:asciiTheme="minorHAnsi" w:hAnsiTheme="minorHAnsi" w:cstheme="minorHAnsi"/>
          <w:sz w:val="22"/>
          <w:szCs w:val="22"/>
        </w:rPr>
      </w:pPr>
      <w:r w:rsidRPr="000F65A5">
        <w:rPr>
          <w:rFonts w:asciiTheme="minorHAnsi" w:hAnsiTheme="minorHAnsi" w:cstheme="minorHAnsi"/>
          <w:sz w:val="22"/>
          <w:szCs w:val="22"/>
        </w:rPr>
        <w:t xml:space="preserve">One example of this is in sewage treatment plants. Here the oxygen can be used for the purification process of the sewage and the waste heat for drying sludge, while the hydrogen is stored and used for energy consumption elsewhere (equipment  run with hydrogen, hydrogen filling station, etc.). It quickly becomes clear that other business models are also possible and, for example, a sewage treatment plant can become an energy seller.  </w:t>
      </w:r>
    </w:p>
    <w:p w:rsidR="000F65A5" w:rsidRPr="000F65A5" w:rsidRDefault="000F65A5" w:rsidP="000F65A5">
      <w:pPr>
        <w:rPr>
          <w:rFonts w:asciiTheme="minorHAnsi" w:hAnsiTheme="minorHAnsi" w:cstheme="minorHAnsi"/>
          <w:sz w:val="22"/>
          <w:szCs w:val="22"/>
        </w:rPr>
      </w:pPr>
      <w:r w:rsidRPr="000F65A5">
        <w:rPr>
          <w:rFonts w:asciiTheme="minorHAnsi" w:hAnsiTheme="minorHAnsi" w:cstheme="minorHAnsi"/>
          <w:sz w:val="22"/>
          <w:szCs w:val="22"/>
        </w:rPr>
        <w:t xml:space="preserve">There are also possibilities in urban </w:t>
      </w:r>
      <w:r>
        <w:rPr>
          <w:rFonts w:asciiTheme="minorHAnsi" w:hAnsiTheme="minorHAnsi" w:cstheme="minorHAnsi"/>
          <w:sz w:val="22"/>
          <w:szCs w:val="22"/>
        </w:rPr>
        <w:t xml:space="preserve">or industrial </w:t>
      </w:r>
      <w:r w:rsidRPr="000F65A5">
        <w:rPr>
          <w:rFonts w:asciiTheme="minorHAnsi" w:hAnsiTheme="minorHAnsi" w:cstheme="minorHAnsi"/>
          <w:sz w:val="22"/>
          <w:szCs w:val="22"/>
        </w:rPr>
        <w:t>environments</w:t>
      </w:r>
      <w:r>
        <w:rPr>
          <w:rFonts w:asciiTheme="minorHAnsi" w:hAnsiTheme="minorHAnsi" w:cstheme="minorHAnsi"/>
          <w:sz w:val="22"/>
          <w:szCs w:val="22"/>
        </w:rPr>
        <w:t xml:space="preserve"> always in combination with hydrogen storage</w:t>
      </w:r>
      <w:r w:rsidRPr="000F65A5">
        <w:rPr>
          <w:rFonts w:asciiTheme="minorHAnsi" w:hAnsiTheme="minorHAnsi" w:cstheme="minorHAnsi"/>
          <w:sz w:val="22"/>
          <w:szCs w:val="22"/>
        </w:rPr>
        <w:t xml:space="preserve">: </w:t>
      </w:r>
    </w:p>
    <w:p w:rsidR="000F65A5" w:rsidRPr="000F65A5" w:rsidRDefault="000F65A5" w:rsidP="000F65A5">
      <w:pPr>
        <w:pStyle w:val="Listenabsatz"/>
        <w:numPr>
          <w:ilvl w:val="0"/>
          <w:numId w:val="18"/>
        </w:numPr>
        <w:spacing w:after="0"/>
        <w:jc w:val="both"/>
        <w:rPr>
          <w:rFonts w:cstheme="minorHAnsi"/>
          <w:lang w:val="en-GB"/>
        </w:rPr>
      </w:pPr>
      <w:r w:rsidRPr="000F65A5">
        <w:rPr>
          <w:rFonts w:cstheme="minorHAnsi"/>
          <w:lang w:val="en-GB"/>
        </w:rPr>
        <w:t>Oxygen for efficient combustion processes</w:t>
      </w:r>
      <w:r>
        <w:rPr>
          <w:rFonts w:cstheme="minorHAnsi"/>
          <w:lang w:val="en-GB"/>
        </w:rPr>
        <w:t xml:space="preserve"> or for steel mills</w:t>
      </w:r>
    </w:p>
    <w:p w:rsidR="000F65A5" w:rsidRPr="003C20AE" w:rsidRDefault="000F65A5" w:rsidP="0073396D">
      <w:pPr>
        <w:pStyle w:val="Listenabsatz"/>
        <w:numPr>
          <w:ilvl w:val="0"/>
          <w:numId w:val="18"/>
        </w:numPr>
        <w:spacing w:after="0"/>
        <w:jc w:val="both"/>
        <w:rPr>
          <w:rFonts w:cstheme="minorHAnsi"/>
          <w:lang w:val="en-GB"/>
        </w:rPr>
      </w:pPr>
      <w:r w:rsidRPr="003C20AE">
        <w:rPr>
          <w:rFonts w:cstheme="minorHAnsi"/>
          <w:lang w:val="en-GB"/>
        </w:rPr>
        <w:t>Waste heat for local and distributed heating supply</w:t>
      </w:r>
      <w:r w:rsidR="003C20AE" w:rsidRPr="003C20AE">
        <w:rPr>
          <w:rFonts w:cstheme="minorHAnsi"/>
          <w:lang w:val="en-GB"/>
        </w:rPr>
        <w:t xml:space="preserve"> but also </w:t>
      </w:r>
      <w:r w:rsidRPr="003C20AE">
        <w:rPr>
          <w:rFonts w:cstheme="minorHAnsi"/>
          <w:lang w:val="en-GB"/>
        </w:rPr>
        <w:t>for cooling devices in summer</w:t>
      </w:r>
    </w:p>
    <w:p w:rsidR="000F65A5" w:rsidRPr="003C20AE" w:rsidRDefault="000F65A5" w:rsidP="00774EFE">
      <w:pPr>
        <w:pStyle w:val="Listenabsatz"/>
        <w:numPr>
          <w:ilvl w:val="0"/>
          <w:numId w:val="18"/>
        </w:numPr>
        <w:spacing w:after="0"/>
        <w:jc w:val="both"/>
        <w:rPr>
          <w:rFonts w:cstheme="minorHAnsi"/>
          <w:lang w:val="en-GB"/>
        </w:rPr>
      </w:pPr>
      <w:r w:rsidRPr="003C20AE">
        <w:rPr>
          <w:rFonts w:cstheme="minorHAnsi"/>
          <w:lang w:val="en-GB"/>
        </w:rPr>
        <w:t>Waste heat utilisation for seawater desalination</w:t>
      </w:r>
      <w:r w:rsidR="003C20AE" w:rsidRPr="003C20AE">
        <w:rPr>
          <w:rFonts w:cstheme="minorHAnsi"/>
          <w:lang w:val="en-GB"/>
        </w:rPr>
        <w:t xml:space="preserve">, </w:t>
      </w:r>
      <w:r w:rsidRPr="003C20AE">
        <w:rPr>
          <w:rFonts w:cstheme="minorHAnsi"/>
          <w:lang w:val="en-GB"/>
        </w:rPr>
        <w:t>for thermal production processes (extraction, rectification, reaction)</w:t>
      </w:r>
      <w:r w:rsidR="003C20AE" w:rsidRPr="003C20AE">
        <w:rPr>
          <w:rFonts w:cstheme="minorHAnsi"/>
          <w:lang w:val="en-GB"/>
        </w:rPr>
        <w:t xml:space="preserve"> and </w:t>
      </w:r>
      <w:r w:rsidRPr="003C20AE">
        <w:rPr>
          <w:rFonts w:cstheme="minorHAnsi"/>
          <w:lang w:val="en-GB"/>
        </w:rPr>
        <w:t xml:space="preserve">for cooling or for greenhouses in winter </w:t>
      </w:r>
    </w:p>
    <w:p w:rsidR="000F65A5" w:rsidRPr="000F65A5" w:rsidRDefault="000F65A5" w:rsidP="000F65A5">
      <w:pPr>
        <w:pStyle w:val="Listenabsatz"/>
        <w:numPr>
          <w:ilvl w:val="0"/>
          <w:numId w:val="18"/>
        </w:numPr>
        <w:spacing w:after="0"/>
        <w:jc w:val="both"/>
        <w:rPr>
          <w:rFonts w:cstheme="minorHAnsi"/>
          <w:lang w:val="en-GB"/>
        </w:rPr>
      </w:pPr>
      <w:r w:rsidRPr="000F65A5">
        <w:rPr>
          <w:rFonts w:cstheme="minorHAnsi"/>
          <w:lang w:val="en-GB"/>
        </w:rPr>
        <w:t xml:space="preserve">Boosting the geothermal capacity with LOHC waste heat: Build the reactor into the </w:t>
      </w:r>
      <w:proofErr w:type="spellStart"/>
      <w:r w:rsidRPr="000F65A5">
        <w:rPr>
          <w:rFonts w:cstheme="minorHAnsi"/>
          <w:lang w:val="en-GB"/>
        </w:rPr>
        <w:t>upflow</w:t>
      </w:r>
      <w:proofErr w:type="spellEnd"/>
      <w:r w:rsidRPr="000F65A5">
        <w:rPr>
          <w:rFonts w:cstheme="minorHAnsi"/>
          <w:lang w:val="en-GB"/>
        </w:rPr>
        <w:t xml:space="preserve"> of geothermal energy. The Carnot efficiency </w:t>
      </w:r>
      <w:proofErr w:type="gramStart"/>
      <w:r w:rsidRPr="000F65A5">
        <w:rPr>
          <w:rFonts w:cstheme="minorHAnsi"/>
          <w:lang w:val="en-GB"/>
        </w:rPr>
        <w:t>could thus be increased</w:t>
      </w:r>
      <w:proofErr w:type="gramEnd"/>
      <w:r w:rsidRPr="000F65A5">
        <w:rPr>
          <w:rFonts w:cstheme="minorHAnsi"/>
          <w:lang w:val="en-GB"/>
        </w:rPr>
        <w:t xml:space="preserve"> from 16 - 20% to approx. 50%. </w:t>
      </w:r>
      <w:proofErr w:type="gramStart"/>
      <w:r w:rsidRPr="000F65A5">
        <w:rPr>
          <w:rFonts w:cstheme="minorHAnsi"/>
          <w:lang w:val="en-GB"/>
        </w:rPr>
        <w:t>And</w:t>
      </w:r>
      <w:proofErr w:type="gramEnd"/>
      <w:r w:rsidRPr="000F65A5">
        <w:rPr>
          <w:rFonts w:cstheme="minorHAnsi"/>
          <w:lang w:val="en-GB"/>
        </w:rPr>
        <w:t xml:space="preserve"> the </w:t>
      </w:r>
      <w:r w:rsidR="003C20AE">
        <w:rPr>
          <w:rFonts w:cstheme="minorHAnsi"/>
          <w:lang w:val="en-GB"/>
        </w:rPr>
        <w:t>remaining</w:t>
      </w:r>
      <w:r w:rsidRPr="000F65A5">
        <w:rPr>
          <w:rFonts w:cstheme="minorHAnsi"/>
          <w:lang w:val="en-GB"/>
        </w:rPr>
        <w:t xml:space="preserve"> residual heat could still be used</w:t>
      </w:r>
      <w:r w:rsidR="003C20AE">
        <w:rPr>
          <w:rFonts w:cstheme="minorHAnsi"/>
          <w:lang w:val="en-GB"/>
        </w:rPr>
        <w:t xml:space="preserve"> in heat networks</w:t>
      </w:r>
      <w:r w:rsidRPr="000F65A5">
        <w:rPr>
          <w:rFonts w:cstheme="minorHAnsi"/>
          <w:lang w:val="en-GB"/>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0F65A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described new energy storage method allows </w:t>
      </w:r>
      <w:proofErr w:type="gramStart"/>
      <w:r>
        <w:rPr>
          <w:rFonts w:asciiTheme="minorHAnsi" w:eastAsia="MS PGothic" w:hAnsiTheme="minorHAnsi"/>
          <w:color w:val="000000"/>
          <w:sz w:val="22"/>
          <w:szCs w:val="22"/>
          <w:lang w:val="en-US"/>
        </w:rPr>
        <w:t>to store</w:t>
      </w:r>
      <w:proofErr w:type="gramEnd"/>
      <w:r>
        <w:rPr>
          <w:rFonts w:asciiTheme="minorHAnsi" w:eastAsia="MS PGothic" w:hAnsiTheme="minorHAnsi"/>
          <w:color w:val="000000"/>
          <w:sz w:val="22"/>
          <w:szCs w:val="22"/>
          <w:lang w:val="en-US"/>
        </w:rPr>
        <w:t xml:space="preserve"> huge amounts of energy just in tanks</w:t>
      </w:r>
      <w:r w:rsidR="003C20AE">
        <w:rPr>
          <w:rFonts w:asciiTheme="minorHAnsi" w:eastAsia="MS PGothic" w:hAnsiTheme="minorHAnsi"/>
          <w:color w:val="000000"/>
          <w:sz w:val="22"/>
          <w:szCs w:val="22"/>
          <w:lang w:val="en-US"/>
        </w:rPr>
        <w:t xml:space="preserve"> and is a big chance for decentral energy supply </w:t>
      </w:r>
      <w:r>
        <w:rPr>
          <w:rFonts w:asciiTheme="minorHAnsi" w:eastAsia="MS PGothic" w:hAnsiTheme="minorHAnsi"/>
          <w:color w:val="000000"/>
          <w:sz w:val="22"/>
          <w:szCs w:val="22"/>
          <w:lang w:val="en-US"/>
        </w:rPr>
        <w:t xml:space="preserve">but also can be used </w:t>
      </w:r>
      <w:r w:rsidR="003C20AE">
        <w:rPr>
          <w:rFonts w:asciiTheme="minorHAnsi" w:eastAsia="MS PGothic" w:hAnsiTheme="minorHAnsi"/>
          <w:color w:val="000000"/>
          <w:sz w:val="22"/>
          <w:szCs w:val="22"/>
          <w:lang w:val="en-US"/>
        </w:rPr>
        <w:t xml:space="preserve">for mobile applications like </w:t>
      </w:r>
      <w:r w:rsidR="003C20AE">
        <w:rPr>
          <w:rFonts w:asciiTheme="minorHAnsi" w:eastAsia="MS PGothic" w:hAnsiTheme="minorHAnsi"/>
          <w:color w:val="000000"/>
          <w:sz w:val="22"/>
          <w:szCs w:val="22"/>
          <w:lang w:val="en-US"/>
        </w:rPr>
        <w:t>ships</w:t>
      </w:r>
      <w:r w:rsidR="003C20AE">
        <w:rPr>
          <w:rFonts w:asciiTheme="minorHAnsi" w:eastAsia="MS PGothic" w:hAnsiTheme="minorHAnsi"/>
          <w:color w:val="000000"/>
          <w:sz w:val="22"/>
          <w:szCs w:val="22"/>
          <w:lang w:val="en-US"/>
        </w:rPr>
        <w:t xml:space="preserve">, trucks, or cars. </w:t>
      </w:r>
      <w:proofErr w:type="gramStart"/>
      <w:r w:rsidR="003C20AE">
        <w:rPr>
          <w:rFonts w:asciiTheme="minorHAnsi" w:eastAsia="MS PGothic" w:hAnsiTheme="minorHAnsi"/>
          <w:color w:val="000000"/>
          <w:sz w:val="22"/>
          <w:szCs w:val="22"/>
          <w:lang w:val="en-US"/>
        </w:rPr>
        <w:t>Furthermore</w:t>
      </w:r>
      <w:proofErr w:type="gramEnd"/>
      <w:r w:rsidR="003C20AE">
        <w:rPr>
          <w:rFonts w:asciiTheme="minorHAnsi" w:eastAsia="MS PGothic" w:hAnsiTheme="minorHAnsi"/>
          <w:color w:val="000000"/>
          <w:sz w:val="22"/>
          <w:szCs w:val="22"/>
          <w:lang w:val="en-US"/>
        </w:rPr>
        <w:t xml:space="preserve"> the shown LOHC-System can be a basis for </w:t>
      </w:r>
      <w:r w:rsidR="00D22E9C">
        <w:rPr>
          <w:rFonts w:asciiTheme="minorHAnsi" w:eastAsia="MS PGothic" w:hAnsiTheme="minorHAnsi"/>
          <w:color w:val="000000"/>
          <w:sz w:val="22"/>
          <w:szCs w:val="22"/>
          <w:lang w:val="en-US"/>
        </w:rPr>
        <w:t>high efficient energy networks and may be a basis for the change of the society (participation or identification)</w:t>
      </w:r>
    </w:p>
    <w:p w:rsidR="00704BDF" w:rsidRPr="008D0BEB" w:rsidRDefault="00D22E9C"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3C20AE" w:rsidRPr="003C20AE" w:rsidRDefault="003C20AE" w:rsidP="003C20AE">
      <w:pPr>
        <w:pStyle w:val="FirstParagraph"/>
        <w:widowControl w:val="0"/>
        <w:tabs>
          <w:tab w:val="left" w:pos="426"/>
        </w:tabs>
        <w:autoSpaceDE w:val="0"/>
        <w:autoSpaceDN w:val="0"/>
        <w:adjustRightInd w:val="0"/>
        <w:rPr>
          <w:rFonts w:asciiTheme="minorHAnsi" w:hAnsiTheme="minorHAnsi"/>
          <w:color w:val="000000"/>
          <w:lang w:val="en-GB"/>
        </w:rPr>
      </w:pPr>
      <w:r w:rsidRPr="003C20AE">
        <w:rPr>
          <w:rFonts w:asciiTheme="minorHAnsi" w:hAnsiTheme="minorHAnsi"/>
          <w:color w:val="000000"/>
          <w:lang w:val="en-GB"/>
        </w:rPr>
        <w:t>[1] https://www.fz-juelich.de/SharedDocs/Pressemitteilungen/UK/DE/2018/2018-04-19-lohc-</w:t>
      </w:r>
      <w:proofErr w:type="gramStart"/>
      <w:r w:rsidRPr="003C20AE">
        <w:rPr>
          <w:rFonts w:asciiTheme="minorHAnsi" w:hAnsiTheme="minorHAnsi"/>
          <w:color w:val="000000"/>
          <w:lang w:val="en-GB"/>
        </w:rPr>
        <w:t>zug.html .</w:t>
      </w:r>
      <w:proofErr w:type="gramEnd"/>
    </w:p>
    <w:p w:rsidR="003C20AE" w:rsidRPr="003C20AE" w:rsidRDefault="003C20AE" w:rsidP="003C20AE">
      <w:pPr>
        <w:pStyle w:val="FirstParagraph"/>
        <w:widowControl w:val="0"/>
        <w:tabs>
          <w:tab w:val="left" w:pos="426"/>
        </w:tabs>
        <w:autoSpaceDE w:val="0"/>
        <w:autoSpaceDN w:val="0"/>
        <w:adjustRightInd w:val="0"/>
        <w:rPr>
          <w:rFonts w:asciiTheme="minorHAnsi" w:hAnsiTheme="minorHAnsi"/>
          <w:color w:val="000000"/>
          <w:lang w:val="en-GB"/>
        </w:rPr>
      </w:pPr>
      <w:r w:rsidRPr="003C20AE">
        <w:rPr>
          <w:rFonts w:asciiTheme="minorHAnsi" w:hAnsiTheme="minorHAnsi"/>
          <w:bCs/>
          <w:color w:val="000000"/>
          <w:lang w:val="en-GB"/>
        </w:rPr>
        <w:t>[2 ]</w:t>
      </w:r>
      <w:r w:rsidRPr="003C20AE">
        <w:rPr>
          <w:rFonts w:asciiTheme="minorHAnsi" w:hAnsiTheme="minorHAnsi"/>
          <w:color w:val="000000"/>
          <w:lang w:val="en-GB"/>
        </w:rPr>
        <w:t xml:space="preserve"> </w:t>
      </w:r>
      <w:hyperlink r:id="rId10" w:history="1">
        <w:r w:rsidRPr="003C20AE">
          <w:rPr>
            <w:rStyle w:val="Hyperlink"/>
            <w:rFonts w:asciiTheme="minorHAnsi" w:hAnsiTheme="minorHAnsi"/>
            <w:lang w:val="en-GB"/>
          </w:rPr>
          <w:t>Milella</w:t>
        </w:r>
      </w:hyperlink>
      <w:r w:rsidRPr="003C20AE">
        <w:rPr>
          <w:rFonts w:asciiTheme="minorHAnsi" w:hAnsiTheme="minorHAnsi"/>
          <w:color w:val="000000"/>
          <w:lang w:val="en-GB"/>
        </w:rPr>
        <w:t xml:space="preserve">, V.O.; Koelpin, A.; Schluecker, E.: </w:t>
      </w:r>
      <w:r w:rsidRPr="003C20AE">
        <w:rPr>
          <w:rFonts w:asciiTheme="minorHAnsi" w:hAnsiTheme="minorHAnsi"/>
          <w:bCs/>
          <w:color w:val="000000"/>
          <w:lang w:val="en-GB"/>
        </w:rPr>
        <w:t xml:space="preserve">Automation of the Storing‐In Part of a Hydrogen‐Storage System using Liquid Organic Hydrogen Carriers  </w:t>
      </w:r>
      <w:r w:rsidRPr="003C20AE">
        <w:rPr>
          <w:rFonts w:asciiTheme="minorHAnsi" w:hAnsiTheme="minorHAnsi"/>
          <w:color w:val="000000"/>
          <w:lang w:val="en-GB"/>
        </w:rPr>
        <w:t xml:space="preserve">(2017), </w:t>
      </w:r>
      <w:hyperlink r:id="rId11" w:history="1">
        <w:r w:rsidRPr="003C20AE">
          <w:rPr>
            <w:rStyle w:val="Hyperlink"/>
            <w:rFonts w:asciiTheme="minorHAnsi" w:hAnsiTheme="minorHAnsi"/>
            <w:lang w:val="en-GB"/>
          </w:rPr>
          <w:t>https://doi.org/10.1002/ente.201700519</w:t>
        </w:r>
      </w:hyperlink>
    </w:p>
    <w:p w:rsidR="003C20AE" w:rsidRPr="003C20AE" w:rsidRDefault="003C20AE" w:rsidP="003C20AE">
      <w:pPr>
        <w:pStyle w:val="FirstParagraph"/>
        <w:widowControl w:val="0"/>
        <w:tabs>
          <w:tab w:val="left" w:pos="426"/>
        </w:tabs>
        <w:rPr>
          <w:rFonts w:asciiTheme="minorHAnsi" w:hAnsiTheme="minorHAnsi"/>
          <w:color w:val="000000"/>
          <w:lang w:val="en-GB"/>
        </w:rPr>
      </w:pPr>
      <w:r w:rsidRPr="003C20AE">
        <w:rPr>
          <w:rFonts w:asciiTheme="minorHAnsi" w:hAnsiTheme="minorHAnsi"/>
          <w:color w:val="000000"/>
          <w:lang w:val="de-DE"/>
        </w:rPr>
        <w:t xml:space="preserve">[3] Reuß M.; Grube T.; </w:t>
      </w:r>
      <w:proofErr w:type="spellStart"/>
      <w:r w:rsidRPr="003C20AE">
        <w:rPr>
          <w:rFonts w:asciiTheme="minorHAnsi" w:hAnsiTheme="minorHAnsi"/>
          <w:color w:val="000000"/>
          <w:lang w:val="de-DE"/>
        </w:rPr>
        <w:t>Robinius</w:t>
      </w:r>
      <w:proofErr w:type="spellEnd"/>
      <w:r w:rsidRPr="003C20AE">
        <w:rPr>
          <w:rFonts w:asciiTheme="minorHAnsi" w:hAnsiTheme="minorHAnsi"/>
          <w:color w:val="000000"/>
          <w:lang w:val="de-DE"/>
        </w:rPr>
        <w:t xml:space="preserve"> A.; Preuster P.: Wasserscheid, P.; </w:t>
      </w:r>
      <w:proofErr w:type="spellStart"/>
      <w:r w:rsidRPr="003C20AE">
        <w:rPr>
          <w:rFonts w:asciiTheme="minorHAnsi" w:hAnsiTheme="minorHAnsi"/>
          <w:color w:val="000000"/>
          <w:lang w:val="de-DE"/>
        </w:rPr>
        <w:t>Stolten</w:t>
      </w:r>
      <w:proofErr w:type="spellEnd"/>
      <w:r w:rsidRPr="003C20AE">
        <w:rPr>
          <w:rFonts w:asciiTheme="minorHAnsi" w:hAnsiTheme="minorHAnsi"/>
          <w:color w:val="000000"/>
          <w:lang w:val="de-DE"/>
        </w:rPr>
        <w:t xml:space="preserve">. </w:t>
      </w:r>
      <w:r w:rsidRPr="003C20AE">
        <w:rPr>
          <w:rFonts w:asciiTheme="minorHAnsi" w:hAnsiTheme="minorHAnsi"/>
          <w:color w:val="000000"/>
          <w:lang w:val="en-GB"/>
        </w:rPr>
        <w:t xml:space="preserve">D.: Seasonal storage and alternative carriers: A flexible </w:t>
      </w:r>
      <w:proofErr w:type="gramStart"/>
      <w:r w:rsidRPr="003C20AE">
        <w:rPr>
          <w:rFonts w:asciiTheme="minorHAnsi" w:hAnsiTheme="minorHAnsi"/>
          <w:color w:val="000000"/>
          <w:lang w:val="en-GB"/>
        </w:rPr>
        <w:t>hydrogen supply chain model</w:t>
      </w:r>
      <w:proofErr w:type="gramEnd"/>
      <w:r w:rsidRPr="003C20AE">
        <w:rPr>
          <w:rFonts w:asciiTheme="minorHAnsi" w:hAnsiTheme="minorHAnsi"/>
          <w:color w:val="000000"/>
          <w:lang w:val="en-GB"/>
        </w:rPr>
        <w:t xml:space="preserve">, Applied Energy, </w:t>
      </w:r>
      <w:r w:rsidRPr="003C20AE">
        <w:rPr>
          <w:rFonts w:asciiTheme="minorHAnsi" w:hAnsiTheme="minorHAnsi"/>
          <w:color w:val="000000"/>
          <w:lang w:val="en-GB"/>
        </w:rPr>
        <w:t>0306-2619/© 2016 Published by Elsevier Ltd.</w:t>
      </w:r>
      <w:r>
        <w:rPr>
          <w:rFonts w:asciiTheme="minorHAnsi" w:hAnsiTheme="minorHAnsi"/>
          <w:color w:val="000000"/>
          <w:lang w:val="en-GB"/>
        </w:rPr>
        <w:t xml:space="preserve"> </w:t>
      </w:r>
      <w:hyperlink r:id="rId12" w:history="1">
        <w:r w:rsidRPr="003C20AE">
          <w:rPr>
            <w:rStyle w:val="Hyperlink"/>
            <w:rFonts w:asciiTheme="minorHAnsi" w:hAnsiTheme="minorHAnsi"/>
            <w:lang w:val="en-GB"/>
          </w:rPr>
          <w:t>http://dx.doi.org/10.1016/j.apenergy.2017.05.050</w:t>
        </w:r>
      </w:hyperlink>
      <w:r w:rsidRPr="003C20AE">
        <w:rPr>
          <w:rFonts w:asciiTheme="minorHAnsi" w:hAnsiTheme="minorHAnsi"/>
          <w:color w:val="000000"/>
          <w:lang w:val="en-GB"/>
        </w:rPr>
        <w:t xml:space="preserve">, </w:t>
      </w:r>
    </w:p>
    <w:p w:rsidR="003C20AE" w:rsidRPr="003C20AE" w:rsidRDefault="003C20AE" w:rsidP="003C20AE">
      <w:pPr>
        <w:pStyle w:val="FirstParagraph"/>
        <w:widowControl w:val="0"/>
        <w:tabs>
          <w:tab w:val="left" w:pos="426"/>
        </w:tabs>
        <w:autoSpaceDE w:val="0"/>
        <w:autoSpaceDN w:val="0"/>
        <w:adjustRightInd w:val="0"/>
        <w:rPr>
          <w:rFonts w:asciiTheme="minorHAnsi" w:hAnsiTheme="minorHAnsi"/>
          <w:color w:val="000000"/>
          <w:lang w:val="en-GB"/>
        </w:rPr>
      </w:pPr>
      <w:r w:rsidRPr="003C20AE">
        <w:rPr>
          <w:rFonts w:asciiTheme="minorHAnsi" w:hAnsiTheme="minorHAnsi"/>
          <w:color w:val="000000"/>
          <w:lang w:val="en-GB"/>
        </w:rPr>
        <w:t xml:space="preserve">[4] </w:t>
      </w:r>
      <w:hyperlink r:id="rId13" w:history="1">
        <w:proofErr w:type="spellStart"/>
        <w:r w:rsidRPr="003C20AE">
          <w:rPr>
            <w:rStyle w:val="Hyperlink"/>
            <w:rFonts w:asciiTheme="minorHAnsi" w:hAnsiTheme="minorHAnsi"/>
            <w:lang w:val="en-GB"/>
          </w:rPr>
          <w:t>Brückner</w:t>
        </w:r>
        <w:proofErr w:type="spellEnd"/>
      </w:hyperlink>
      <w:r w:rsidRPr="003C20AE">
        <w:rPr>
          <w:rFonts w:asciiTheme="minorHAnsi" w:hAnsiTheme="minorHAnsi"/>
          <w:color w:val="000000"/>
          <w:lang w:val="en-GB"/>
        </w:rPr>
        <w:t xml:space="preserve">, N.; </w:t>
      </w:r>
      <w:hyperlink r:id="rId14" w:history="1">
        <w:proofErr w:type="spellStart"/>
        <w:r w:rsidRPr="003C20AE">
          <w:rPr>
            <w:rStyle w:val="Hyperlink"/>
            <w:rFonts w:asciiTheme="minorHAnsi" w:hAnsiTheme="minorHAnsi"/>
            <w:lang w:val="en-GB"/>
          </w:rPr>
          <w:t>Obesser</w:t>
        </w:r>
        <w:proofErr w:type="spellEnd"/>
      </w:hyperlink>
      <w:r w:rsidRPr="003C20AE">
        <w:rPr>
          <w:rFonts w:asciiTheme="minorHAnsi" w:hAnsiTheme="minorHAnsi"/>
          <w:color w:val="000000"/>
          <w:lang w:val="en-GB"/>
        </w:rPr>
        <w:t xml:space="preserve">, K.; </w:t>
      </w:r>
      <w:hyperlink r:id="rId15" w:history="1">
        <w:proofErr w:type="spellStart"/>
        <w:r w:rsidRPr="003C20AE">
          <w:rPr>
            <w:rStyle w:val="Hyperlink"/>
            <w:rFonts w:asciiTheme="minorHAnsi" w:hAnsiTheme="minorHAnsi"/>
            <w:lang w:val="en-GB"/>
          </w:rPr>
          <w:t>Bösmann</w:t>
        </w:r>
        <w:proofErr w:type="spellEnd"/>
      </w:hyperlink>
      <w:r w:rsidRPr="003C20AE">
        <w:rPr>
          <w:rFonts w:asciiTheme="minorHAnsi" w:hAnsiTheme="minorHAnsi"/>
          <w:color w:val="000000"/>
          <w:lang w:val="en-GB"/>
        </w:rPr>
        <w:t xml:space="preserve">, A.; </w:t>
      </w:r>
      <w:hyperlink r:id="rId16" w:history="1">
        <w:r w:rsidRPr="003C20AE">
          <w:rPr>
            <w:rStyle w:val="Hyperlink"/>
            <w:rFonts w:asciiTheme="minorHAnsi" w:hAnsiTheme="minorHAnsi"/>
            <w:lang w:val="en-GB"/>
          </w:rPr>
          <w:t>Teichmann</w:t>
        </w:r>
      </w:hyperlink>
      <w:r w:rsidRPr="003C20AE">
        <w:rPr>
          <w:rFonts w:asciiTheme="minorHAnsi" w:hAnsiTheme="minorHAnsi"/>
          <w:color w:val="000000"/>
          <w:lang w:val="en-GB"/>
        </w:rPr>
        <w:t xml:space="preserve">, D.; </w:t>
      </w:r>
      <w:hyperlink r:id="rId17" w:history="1">
        <w:proofErr w:type="spellStart"/>
        <w:r w:rsidRPr="003C20AE">
          <w:rPr>
            <w:rStyle w:val="Hyperlink"/>
            <w:rFonts w:asciiTheme="minorHAnsi" w:hAnsiTheme="minorHAnsi"/>
            <w:lang w:val="en-GB"/>
          </w:rPr>
          <w:t>Arlt</w:t>
        </w:r>
        <w:proofErr w:type="spellEnd"/>
      </w:hyperlink>
      <w:r w:rsidRPr="003C20AE">
        <w:rPr>
          <w:rFonts w:asciiTheme="minorHAnsi" w:hAnsiTheme="minorHAnsi"/>
          <w:color w:val="000000"/>
          <w:lang w:val="en-GB"/>
        </w:rPr>
        <w:t xml:space="preserve"> W.; </w:t>
      </w:r>
      <w:hyperlink r:id="rId18" w:history="1">
        <w:r w:rsidRPr="003C20AE">
          <w:rPr>
            <w:rStyle w:val="Hyperlink"/>
            <w:rFonts w:asciiTheme="minorHAnsi" w:hAnsiTheme="minorHAnsi"/>
            <w:lang w:val="en-GB"/>
          </w:rPr>
          <w:t>Dungs</w:t>
        </w:r>
      </w:hyperlink>
      <w:r w:rsidRPr="003C20AE">
        <w:rPr>
          <w:rFonts w:asciiTheme="minorHAnsi" w:hAnsiTheme="minorHAnsi"/>
          <w:color w:val="000000"/>
          <w:lang w:val="en-GB"/>
        </w:rPr>
        <w:t xml:space="preserve">, J.; </w:t>
      </w:r>
      <w:hyperlink r:id="rId19" w:history="1">
        <w:r w:rsidRPr="003C20AE">
          <w:rPr>
            <w:rStyle w:val="Hyperlink"/>
            <w:rFonts w:asciiTheme="minorHAnsi" w:hAnsiTheme="minorHAnsi"/>
            <w:lang w:val="en-GB"/>
          </w:rPr>
          <w:t>Wasserscheid</w:t>
        </w:r>
      </w:hyperlink>
      <w:r w:rsidRPr="003C20AE">
        <w:rPr>
          <w:rFonts w:asciiTheme="minorHAnsi" w:hAnsiTheme="minorHAnsi"/>
          <w:color w:val="000000"/>
          <w:lang w:val="en-GB"/>
        </w:rPr>
        <w:t xml:space="preserve">, P.: </w:t>
      </w:r>
      <w:r w:rsidRPr="003C20AE">
        <w:rPr>
          <w:rFonts w:asciiTheme="minorHAnsi" w:hAnsiTheme="minorHAnsi"/>
          <w:bCs/>
          <w:color w:val="000000"/>
          <w:lang w:val="en-GB"/>
        </w:rPr>
        <w:t>Evaluation of Industrially Applied Heat‐Transfer Fluids as Liquid Organic Hydrogen Carrier Systems</w:t>
      </w:r>
    </w:p>
    <w:p w:rsidR="00704BDF" w:rsidRPr="003C20AE" w:rsidRDefault="003C20AE"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r w:rsidRPr="003C20AE">
        <w:rPr>
          <w:rFonts w:asciiTheme="minorHAnsi" w:hAnsiTheme="minorHAnsi"/>
          <w:color w:val="000000"/>
          <w:lang w:val="de-DE"/>
        </w:rPr>
        <w:t xml:space="preserve">(2013), CHEMSUSCHEM, </w:t>
      </w:r>
      <w:hyperlink r:id="rId20" w:history="1">
        <w:r w:rsidRPr="003C20AE">
          <w:rPr>
            <w:rStyle w:val="Hyperlink"/>
            <w:rFonts w:asciiTheme="minorHAnsi" w:hAnsiTheme="minorHAnsi"/>
            <w:lang w:val="de-DE"/>
          </w:rPr>
          <w:t>https://doi.org/10.1002/cssc.201300426</w:t>
        </w:r>
      </w:hyperlink>
    </w:p>
    <w:sectPr w:rsidR="00704BDF" w:rsidRPr="003C20A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877" w:rsidRDefault="005E6877" w:rsidP="004F5E36">
      <w:r>
        <w:separator/>
      </w:r>
    </w:p>
  </w:endnote>
  <w:endnote w:type="continuationSeparator" w:id="0">
    <w:p w:rsidR="005E6877" w:rsidRDefault="005E68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877" w:rsidRDefault="005E6877" w:rsidP="004F5E36">
      <w:r>
        <w:separator/>
      </w:r>
    </w:p>
  </w:footnote>
  <w:footnote w:type="continuationSeparator" w:id="0">
    <w:p w:rsidR="005E6877" w:rsidRDefault="005E687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B33430"/>
    <w:multiLevelType w:val="hybridMultilevel"/>
    <w:tmpl w:val="C49881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250"/>
    <w:rsid w:val="000117CB"/>
    <w:rsid w:val="0003148D"/>
    <w:rsid w:val="00062A9A"/>
    <w:rsid w:val="000A03B2"/>
    <w:rsid w:val="000D34BE"/>
    <w:rsid w:val="000E36F1"/>
    <w:rsid w:val="000E3A73"/>
    <w:rsid w:val="000E414A"/>
    <w:rsid w:val="000F65A5"/>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3C20AE"/>
    <w:rsid w:val="0046164A"/>
    <w:rsid w:val="00462DCD"/>
    <w:rsid w:val="004D1162"/>
    <w:rsid w:val="004E4DD6"/>
    <w:rsid w:val="004F5E36"/>
    <w:rsid w:val="005119A5"/>
    <w:rsid w:val="005278B7"/>
    <w:rsid w:val="005346C8"/>
    <w:rsid w:val="00594E9F"/>
    <w:rsid w:val="005B61E6"/>
    <w:rsid w:val="005C77E1"/>
    <w:rsid w:val="005D6A2F"/>
    <w:rsid w:val="005E1A82"/>
    <w:rsid w:val="005E6877"/>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D3520"/>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22E9C"/>
    <w:rsid w:val="00D66648"/>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9311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0F65A5"/>
    <w:pPr>
      <w:tabs>
        <w:tab w:val="clear" w:pos="7100"/>
      </w:tabs>
      <w:spacing w:after="160" w:line="259" w:lineRule="auto"/>
      <w:ind w:left="720"/>
      <w:contextualSpacing/>
      <w:jc w:val="left"/>
    </w:pPr>
    <w:rPr>
      <w:rFonts w:asciiTheme="minorHAnsi" w:eastAsiaTheme="minorHAnsi" w:hAnsiTheme="minorHAnsi" w:cstheme="minorBidi"/>
      <w:sz w:val="22"/>
      <w:szCs w:val="22"/>
      <w:lang w:val="de-DE"/>
    </w:rPr>
  </w:style>
  <w:style w:type="character" w:styleId="Hyperlink">
    <w:name w:val="Hyperlink"/>
    <w:basedOn w:val="Absatz-Standardschriftart"/>
    <w:uiPriority w:val="99"/>
    <w:unhideWhenUsed/>
    <w:locked/>
    <w:rsid w:val="003C2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nlinelibrary.wiley.com/action/doSearch?ContribAuthorStored=Br%C3%BCckner%2C+Nicole" TargetMode="External"/><Relationship Id="rId18" Type="http://schemas.openxmlformats.org/officeDocument/2006/relationships/hyperlink" Target="https://onlinelibrary.wiley.com/action/doSearch?ContribAuthorStored=Dungs%2C+Jennif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16/j.apenergy.2017.05.050" TargetMode="External"/><Relationship Id="rId17" Type="http://schemas.openxmlformats.org/officeDocument/2006/relationships/hyperlink" Target="https://onlinelibrary.wiley.com/action/doSearch?ContribAuthorStored=Arlt%2C+Wolfgang" TargetMode="External"/><Relationship Id="rId2" Type="http://schemas.openxmlformats.org/officeDocument/2006/relationships/numbering" Target="numbering.xml"/><Relationship Id="rId16" Type="http://schemas.openxmlformats.org/officeDocument/2006/relationships/hyperlink" Target="https://onlinelibrary.wiley.com/action/doSearch?ContribAuthorStored=Teichmann%2C+Daniel" TargetMode="External"/><Relationship Id="rId20" Type="http://schemas.openxmlformats.org/officeDocument/2006/relationships/hyperlink" Target="https://doi.org/10.1002/cssc.201300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ente.201700519" TargetMode="External"/><Relationship Id="rId5" Type="http://schemas.openxmlformats.org/officeDocument/2006/relationships/webSettings" Target="webSettings.xml"/><Relationship Id="rId15" Type="http://schemas.openxmlformats.org/officeDocument/2006/relationships/hyperlink" Target="https://onlinelibrary.wiley.com/action/doSearch?ContribAuthorStored=B%C3%B6smann%2C+Andreas" TargetMode="External"/><Relationship Id="rId10" Type="http://schemas.openxmlformats.org/officeDocument/2006/relationships/hyperlink" Target="https://onlinelibrary.wiley.com/action/doSearch?ContribAuthorStored=Milella%2C+Vito-Oronzo" TargetMode="External"/><Relationship Id="rId19" Type="http://schemas.openxmlformats.org/officeDocument/2006/relationships/hyperlink" Target="https://onlinelibrary.wiley.com/action/doSearch?ContribAuthorStored=Wasserscheid%2C+Pete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nlinelibrary.wiley.com/action/doSearch?ContribAuthorStored=Obesser%2C+Katharin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47BF-E1B1-4A0E-8F13-53148321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6124</Characters>
  <Application>Microsoft Office Word</Application>
  <DocSecurity>0</DocSecurity>
  <Lines>51</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Prof. Dr.-Ing. E. Schlücker</cp:lastModifiedBy>
  <cp:revision>2</cp:revision>
  <cp:lastPrinted>2015-05-12T18:31:00Z</cp:lastPrinted>
  <dcterms:created xsi:type="dcterms:W3CDTF">2019-04-29T15:07:00Z</dcterms:created>
  <dcterms:modified xsi:type="dcterms:W3CDTF">2019-04-29T15:07:00Z</dcterms:modified>
</cp:coreProperties>
</file>