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CB296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</w:t>
      </w:r>
      <w:r w:rsidRPr="00CB296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nzymatic hydrolysis of </w:t>
      </w:r>
      <w:proofErr w:type="spellStart"/>
      <w:r w:rsidRPr="00CB2964">
        <w:rPr>
          <w:rFonts w:asciiTheme="minorHAnsi" w:eastAsia="MS PGothic" w:hAnsiTheme="minorHAnsi"/>
          <w:b/>
          <w:bCs/>
          <w:sz w:val="28"/>
          <w:szCs w:val="28"/>
          <w:lang w:val="en-US"/>
        </w:rPr>
        <w:t>Cytisus</w:t>
      </w:r>
      <w:proofErr w:type="spellEnd"/>
      <w:r w:rsidRPr="00CB296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CB2964">
        <w:rPr>
          <w:rFonts w:asciiTheme="minorHAnsi" w:eastAsia="MS PGothic" w:hAnsiTheme="minorHAnsi"/>
          <w:b/>
          <w:bCs/>
          <w:sz w:val="28"/>
          <w:szCs w:val="28"/>
          <w:lang w:val="en-US"/>
        </w:rPr>
        <w:t>striatus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:</w:t>
      </w:r>
      <w:r w:rsidRPr="00CB296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 w:rsidRPr="00CB2964">
        <w:rPr>
          <w:rFonts w:asciiTheme="minorHAnsi" w:eastAsia="MS PGothic" w:hAnsiTheme="minorHAnsi"/>
          <w:b/>
          <w:bCs/>
          <w:sz w:val="28"/>
          <w:szCs w:val="28"/>
          <w:lang w:val="en-US"/>
        </w:rPr>
        <w:t>cid sulfite pretreatment</w:t>
      </w:r>
      <w:r w:rsidR="00C854A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</w:t>
      </w:r>
      <w:r w:rsidR="00C854A7" w:rsidRPr="00CB2964">
        <w:rPr>
          <w:rFonts w:asciiTheme="minorHAnsi" w:eastAsia="MS PGothic" w:hAnsiTheme="minorHAnsi"/>
          <w:b/>
          <w:bCs/>
          <w:sz w:val="28"/>
          <w:szCs w:val="28"/>
          <w:lang w:val="en-US"/>
        </w:rPr>
        <w:t>ptimization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BC41F8" w:rsidRDefault="00C854A7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BC41F8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Álvaro</w:t>
      </w:r>
      <w:r w:rsidR="00704BDF" w:rsidRPr="00BC41F8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 xml:space="preserve"> </w:t>
      </w:r>
      <w:r w:rsidRPr="00BC41F8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Vaz</w:t>
      </w:r>
      <w:r w:rsidR="00704BDF" w:rsidRPr="00BC41F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="00BC41F8" w:rsidRPr="00BC41F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*</w:t>
      </w:r>
      <w:r w:rsidR="00736B13" w:rsidRPr="00BC41F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="00BC41F8" w:rsidRPr="00BC41F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Tânia Gomes</w:t>
      </w:r>
      <w:r w:rsidR="00BC41F8" w:rsidRPr="00BC41F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="00BC41F8" w:rsidRPr="00BC41F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="00BC41F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Rogério Simões</w:t>
      </w:r>
      <w:r w:rsidR="00BC41F8">
        <w:rPr>
          <w:rFonts w:eastAsia="SimSun"/>
          <w:color w:val="000000"/>
          <w:vertAlign w:val="superscript"/>
          <w:lang w:val="pt-PT" w:eastAsia="zh-CN"/>
        </w:rPr>
        <w:t>1</w:t>
      </w:r>
    </w:p>
    <w:p w:rsidR="00704BDF" w:rsidRPr="00BC41F8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PT"/>
        </w:rPr>
      </w:pPr>
      <w:r w:rsidRPr="00BC41F8">
        <w:rPr>
          <w:rFonts w:eastAsia="MS PGothic"/>
          <w:i/>
          <w:iCs/>
          <w:color w:val="000000"/>
          <w:sz w:val="20"/>
          <w:lang w:val="pt-PT"/>
        </w:rPr>
        <w:t>1</w:t>
      </w:r>
      <w:r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proofErr w:type="spellStart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FibEnTech</w:t>
      </w:r>
      <w:proofErr w:type="spellEnd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Research </w:t>
      </w:r>
      <w:proofErr w:type="spellStart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Unit</w:t>
      </w:r>
      <w:proofErr w:type="spellEnd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, </w:t>
      </w:r>
      <w:proofErr w:type="spellStart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University</w:t>
      </w:r>
      <w:proofErr w:type="spellEnd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proofErr w:type="spellStart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of</w:t>
      </w:r>
      <w:proofErr w:type="spellEnd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Beira Interior, Rua Marquês D'Ávila e Bolama 6201-001 Covilhã, Portugal</w:t>
      </w:r>
      <w:r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; 2 </w:t>
      </w:r>
      <w:proofErr w:type="spellStart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University</w:t>
      </w:r>
      <w:proofErr w:type="spellEnd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proofErr w:type="spellStart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of</w:t>
      </w:r>
      <w:proofErr w:type="spellEnd"/>
      <w:r w:rsidR="00BC41F8" w:rsidRP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Beira Interior, Rua Marquês D'Ávila e Bolama 6201-001 Covilhã, Portuga</w:t>
      </w:r>
      <w:r w:rsidR="00BC41F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l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854A7">
        <w:rPr>
          <w:rFonts w:asciiTheme="minorHAnsi" w:eastAsia="MS PGothic" w:hAnsiTheme="minorHAnsi"/>
          <w:bCs/>
          <w:i/>
          <w:iCs/>
          <w:sz w:val="20"/>
          <w:lang w:val="en-US"/>
        </w:rPr>
        <w:t>avaz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854A7">
        <w:rPr>
          <w:rFonts w:asciiTheme="minorHAnsi" w:eastAsia="MS PGothic" w:hAnsiTheme="minorHAnsi"/>
          <w:bCs/>
          <w:i/>
          <w:iCs/>
          <w:sz w:val="20"/>
          <w:lang w:val="en-US"/>
        </w:rPr>
        <w:t>ubi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C854A7">
        <w:rPr>
          <w:rFonts w:asciiTheme="minorHAnsi" w:eastAsia="MS PGothic" w:hAnsiTheme="minorHAnsi"/>
          <w:bCs/>
          <w:i/>
          <w:iCs/>
          <w:sz w:val="20"/>
          <w:lang w:val="en-US"/>
        </w:rPr>
        <w:t>pt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36258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362582">
        <w:rPr>
          <w:rFonts w:asciiTheme="minorHAnsi" w:hAnsiTheme="minorHAnsi"/>
        </w:rPr>
        <w:t xml:space="preserve">retreatment conditions </w:t>
      </w:r>
      <w:r w:rsidR="00BF3D4E">
        <w:rPr>
          <w:rFonts w:asciiTheme="minorHAnsi" w:hAnsiTheme="minorHAnsi"/>
        </w:rPr>
        <w:t>a</w:t>
      </w:r>
      <w:r w:rsidRPr="00362582">
        <w:rPr>
          <w:rFonts w:asciiTheme="minorHAnsi" w:hAnsiTheme="minorHAnsi"/>
        </w:rPr>
        <w:t xml:space="preserve">ffect total recovered sugars </w:t>
      </w:r>
      <w:r>
        <w:rPr>
          <w:rFonts w:asciiTheme="minorHAnsi" w:hAnsiTheme="minorHAnsi"/>
        </w:rPr>
        <w:t>(6% up to 6</w:t>
      </w:r>
      <w:r w:rsidR="006A7F54">
        <w:rPr>
          <w:rFonts w:asciiTheme="minorHAnsi" w:hAnsiTheme="minorHAnsi"/>
        </w:rPr>
        <w:t>9</w:t>
      </w:r>
      <w:r>
        <w:rPr>
          <w:rFonts w:asciiTheme="minorHAnsi" w:hAnsiTheme="minorHAnsi"/>
        </w:rPr>
        <w:t>%)</w:t>
      </w:r>
      <w:r w:rsidR="006A7F54">
        <w:rPr>
          <w:rFonts w:asciiTheme="minorHAnsi" w:hAnsiTheme="minorHAnsi"/>
        </w:rPr>
        <w:t xml:space="preserve"> </w:t>
      </w:r>
      <w:r w:rsidRPr="00362582">
        <w:rPr>
          <w:rFonts w:asciiTheme="minorHAnsi" w:hAnsiTheme="minorHAnsi"/>
        </w:rPr>
        <w:t>and generated degradation products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36258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62582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 xml:space="preserve">a </w:t>
      </w:r>
      <w:r w:rsidRPr="00362582">
        <w:rPr>
          <w:rFonts w:asciiTheme="minorHAnsi" w:hAnsiTheme="minorHAnsi"/>
        </w:rPr>
        <w:t>given sulfite load, more acidic conditions lead to higher sugar release and further material fragmentation, increasin</w:t>
      </w:r>
      <w:r w:rsidR="00BF3D4E">
        <w:rPr>
          <w:rFonts w:asciiTheme="minorHAnsi" w:hAnsiTheme="minorHAnsi"/>
        </w:rPr>
        <w:t>g</w:t>
      </w:r>
      <w:r w:rsidRPr="00362582">
        <w:rPr>
          <w:rFonts w:asciiTheme="minorHAnsi" w:hAnsiTheme="minorHAnsi"/>
        </w:rPr>
        <w:t xml:space="preserve"> degradation products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BF3D4E" w:rsidRDefault="0036258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F3D4E">
        <w:rPr>
          <w:rFonts w:asciiTheme="minorHAnsi" w:hAnsiTheme="minorHAnsi"/>
        </w:rPr>
        <w:t>Moderate loads of sodium bisulfite (1%) and sulfuric acid (2.25%), release practically all hemicelluloses</w:t>
      </w:r>
      <w:r w:rsidR="00704BDF" w:rsidRPr="00BF3D4E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2B5D8B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production from lignocellulosic material includes three major steps: biomass pretreatment, which fragments the lignocellulosic matrix to facilitate the enzymes access to the substrate; hydrolysis, where the polysaccharides are converted into fermentable sugars (e.g. glucose and xylose) [1]; and finally, fermentation that produces ethanol or other biologically based chemicals (e.g. lactic acid, succinic acid) [2]. The aim was to study the effect </w:t>
      </w:r>
      <w:bookmarkStart w:id="0" w:name="_GoBack"/>
      <w:bookmarkEnd w:id="0"/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132BD6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pretreatment </w:t>
      </w:r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operative variables, namely sodium 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sulfite and sulfuric acid loadings, temperature and time, on release</w:t>
      </w:r>
      <w:r w:rsidR="00132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sugars in </w:t>
      </w:r>
      <w:proofErr w:type="spellStart"/>
      <w:r w:rsidR="00132BD6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>Cytisus</w:t>
      </w:r>
      <w:proofErr w:type="spellEnd"/>
      <w:r w:rsidR="00132BD6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32BD6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striatus</w:t>
      </w:r>
      <w:proofErr w:type="spellEnd"/>
      <w:r w:rsidR="00132BD6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enzymatic hydrolysi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32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Novozymes® cocktail.</w:t>
      </w:r>
      <w:r w:rsidR="003374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re-treatment intend</w:t>
      </w:r>
      <w:r w:rsidR="00132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lignin and hemicelluloses</w:t>
      </w:r>
      <w:r w:rsidR="00132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removal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reduce</w:t>
      </w:r>
      <w:r w:rsidR="00132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cellulose crystallinity and lignocellulosic network porosity </w:t>
      </w:r>
      <w:r w:rsidR="00132BD6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</w:t>
      </w:r>
      <w:r w:rsidR="00132BD6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facilitate enzyme access.</w:t>
      </w:r>
      <w:r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33742F" w:rsidRDefault="00F220F0" w:rsidP="00C854A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Cytisus</w:t>
      </w:r>
      <w:proofErr w:type="spellEnd"/>
      <w:r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striatus</w:t>
      </w:r>
      <w:proofErr w:type="spellEnd"/>
      <w:r w:rsidR="0033742F" w:rsidRPr="003374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2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chipped</w:t>
      </w:r>
      <w:r w:rsidR="003374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742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33742F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74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="0033742F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Retsch</w:t>
      </w:r>
      <w:proofErr w:type="spellEnd"/>
      <w:r w:rsidR="0033742F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3742F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Mühle</w:t>
      </w:r>
      <w:proofErr w:type="spellEnd"/>
      <w:r w:rsidR="0033742F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knife mill</w:t>
      </w:r>
      <w:r w:rsidR="003374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7B33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10 mm x 10 mm</w:t>
      </w:r>
      <w:r w:rsid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2BD6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sieve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being</w:t>
      </w:r>
      <w:r w:rsid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7B33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fines removed </w:t>
      </w:r>
      <w:r w:rsid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3A7B33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18 mesh screen</w:t>
      </w:r>
      <w:r w:rsid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A7B33" w:rsidRP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7B33" w:rsidRPr="00F22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resulting a material with 1-2 mm width and 10 mm long</w:t>
      </w:r>
      <w:r w:rsid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3A7B33">
        <w:rPr>
          <w:rFonts w:asciiTheme="minorHAnsi" w:eastAsia="MS PGothic" w:hAnsiTheme="minorHAnsi"/>
          <w:color w:val="000000"/>
          <w:sz w:val="22"/>
          <w:szCs w:val="22"/>
          <w:lang w:val="en-US"/>
        </w:rPr>
        <w:t>hips were then</w:t>
      </w:r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submitted to different reaction conditions, with a central composite experimental design 2</w:t>
      </w:r>
      <w:r w:rsidR="0033742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</w:t>
      </w:r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>+star, exploring the following variables: sulfuric acid charge (0-3%), sodium bisulfite charge (0-4 %), maximum temperature (150-190ºC) and time at maximum temperature (0-30 minutes).</w:t>
      </w:r>
      <w:r w:rsidR="0033742F" w:rsidRPr="003374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each assay, 30 g (</w:t>
      </w:r>
      <w:proofErr w:type="spellStart"/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o.d.</w:t>
      </w:r>
      <w:proofErr w:type="spellEnd"/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) broom chips were treated in 200 mL stainless steel reactors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3273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5/1 (v/w)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liquid-to-wood chip ratio.</w:t>
      </w:r>
      <w:r w:rsidR="00043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temperature profile was as follows: after impregnation at 90ºC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60 min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.)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temperature was raised to 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maximum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90 minutes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remain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that temperature for 30 minutes. 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reactors were 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="0033742F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suddenly cooled down with tap running water</w:t>
      </w:r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>acid hydrolysates were recovered and the solid residues were mechanically disintegrated and thereafter subjected to enzymatic hydrolysis with an enzymatic cocktail from Novozymes®</w:t>
      </w:r>
      <w:r w:rsidR="00043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 different enzyme solutions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2A3273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 complex: 5%, xylanase: 0.25%, β-glucosidase: 0.6%, enzyme complex: 0.4%, hemicellulose: 2%, glucoamylase: 0.06%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suitable for </w:t>
      </w:r>
      <w:r w:rsidR="002A3273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lignocellulosic materials</w:t>
      </w:r>
      <w:r w:rsidR="002A3273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hydrolysis purpo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rting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bioethanol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cellulase loading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 procedure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6.6 FPU/</w:t>
      </w:r>
      <w:proofErr w:type="spellStart"/>
      <w:r w:rsidR="00043FB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mL</w:t>
      </w:r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spellEnd"/>
      <w:r w:rsidR="0033742F" w:rsidRPr="002B5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never-dried pre-treated solid residues were placed in 50 mL falcon tubes at </w:t>
      </w:r>
      <w:r w:rsidR="002A3273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1%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 content (0.4 g </w:t>
      </w:r>
      <w:proofErr w:type="spellStart"/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o.d.</w:t>
      </w:r>
      <w:proofErr w:type="spellEnd"/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solids</w:t>
      </w:r>
      <w:r w:rsidR="001C4279">
        <w:rPr>
          <w:rFonts w:asciiTheme="minorHAnsi" w:eastAsia="MS PGothic" w:hAnsiTheme="minorHAnsi"/>
          <w:color w:val="000000"/>
          <w:sz w:val="22"/>
          <w:szCs w:val="22"/>
          <w:lang w:val="en-US"/>
        </w:rPr>
        <w:t>/tube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C42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adjusted with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citrate 50 mM</w:t>
      </w:r>
      <w:r w:rsidR="00C20A75" w:rsidRP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20A75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buffer solution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C20A75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 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5.5</w:t>
      </w:r>
      <w:r w:rsidR="001C42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 total volume of 40 mL per tube</w:t>
      </w:r>
      <w:r w:rsidR="001C427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improv</w:t>
      </w:r>
      <w:r w:rsidR="001C427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agitation</w:t>
      </w:r>
      <w:r w:rsidR="001C42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0.3 mm glass spheres. All tubes were homogenized in a vortex and inserted horizontally into a </w:t>
      </w:r>
      <w:r w:rsidR="002A3273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50ºC</w:t>
      </w:r>
      <w:r w:rsidR="002A3273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 bath.</w:t>
      </w:r>
      <w:r w:rsidR="001C42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3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olids were subjected to enzymatic hydrolysis for 7, 15, 24, 48 and 96 hours and the </w:t>
      </w:r>
      <w:r w:rsidR="0034459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enzymatic hydrolysates</w:t>
      </w:r>
      <w:r w:rsidR="0034459B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4279" w:rsidRPr="00C854A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 content was determined by HPLC</w:t>
      </w:r>
      <w:r w:rsidR="001C4279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F4BD6" w:rsidRPr="000F4BD6" w:rsidRDefault="000F4BD6" w:rsidP="000F4B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F4BD6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factors effect (NaHSO3 load [A], H2SO4 load [B], temperature [C] and time at </w:t>
      </w:r>
      <w:proofErr w:type="spellStart"/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proofErr w:type="spellEnd"/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[D]) on different response variables was mathematically established. As example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equation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corresponding to the XMG (Xylose + Mannose + Gala</w:t>
      </w:r>
      <w:r w:rsidR="00826E08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tose) and to the released sugars</w:t>
      </w:r>
      <w:r w:rsidR="00C20A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shown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</w:p>
    <w:p w:rsidR="000F4BD6" w:rsidRPr="000F4BD6" w:rsidRDefault="000F4BD6" w:rsidP="000F4B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𝑋𝑀𝐺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=1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+0,39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+3,06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+1,54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𝐶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+0,54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−0,12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−0,9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𝐴𝐵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−0,65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𝐴𝐶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−0,08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−0,0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−5,3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𝐵𝐶</w:t>
      </w:r>
      <w:r w:rsidR="00893DF2">
        <w:rPr>
          <w:rFonts w:ascii="Cambria Math" w:eastAsia="MS PGothic" w:hAnsi="Cambria Math" w:cs="Cambria Math"/>
          <w:color w:val="000000"/>
          <w:sz w:val="22"/>
          <w:szCs w:val="22"/>
        </w:rPr>
        <w:t xml:space="preserve">- 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−2,40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𝐵𝐷</w:t>
      </w:r>
      <w:r w:rsidR="00893DF2">
        <w:rPr>
          <w:rFonts w:ascii="Cambria Math" w:eastAsia="MS PGothic" w:hAnsi="Cambria Math" w:cs="Cambria Math"/>
          <w:color w:val="000000"/>
          <w:sz w:val="22"/>
          <w:szCs w:val="22"/>
        </w:rPr>
        <w:t xml:space="preserve"> 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−1,80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𝐶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−2,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30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𝐶𝐷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−0,74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>(Eq. 1)</w:t>
      </w:r>
    </w:p>
    <w:p w:rsidR="000F4BD6" w:rsidRPr="000F4BD6" w:rsidRDefault="000F4BD6" w:rsidP="000F4B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𝑆𝑢𝑔𝑎𝑟𝑠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=32,5+7,1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+13,02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+26,5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𝐶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+8,94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+4,7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+0,66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𝐴𝐵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+1,9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𝐴𝐶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+0,78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𝐴𝐷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+2,5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−1,743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𝐵𝐶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0,55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𝐵𝐷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+1,6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𝐶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2 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+1,5</w:t>
      </w:r>
      <w:r w:rsidR="00893DF2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𝐶𝐷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>−0,23</w:t>
      </w:r>
      <w:r w:rsidRPr="000F4BD6">
        <w:rPr>
          <w:rFonts w:ascii="Cambria Math" w:eastAsia="MS PGothic" w:hAnsi="Cambria Math" w:cs="Cambria Math"/>
          <w:color w:val="000000"/>
          <w:sz w:val="22"/>
          <w:szCs w:val="22"/>
        </w:rPr>
        <w:t>𝐷</w:t>
      </w:r>
      <w:r w:rsidRPr="000F4BD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0F4BD6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>(Eq. 2)</w:t>
      </w:r>
    </w:p>
    <w:p w:rsidR="000F4BD6" w:rsidRDefault="000F4BD6" w:rsidP="000F4B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F4BD6">
        <w:rPr>
          <w:rFonts w:asciiTheme="minorHAnsi" w:eastAsia="MS PGothic" w:hAnsiTheme="minorHAnsi"/>
          <w:color w:val="000000"/>
          <w:sz w:val="22"/>
          <w:szCs w:val="22"/>
        </w:rPr>
        <w:t>Standard effects and yield surface response were also obtained and analysed, as seen in Fig. 1 and Fig. 2:</w:t>
      </w:r>
    </w:p>
    <w:p w:rsidR="00893DF2" w:rsidRPr="00893DF2" w:rsidRDefault="00893DF2" w:rsidP="00893DF2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  <w:r w:rsidRPr="00893DF2">
        <w:rPr>
          <w:rFonts w:asciiTheme="minorHAnsi" w:eastAsia="MS PGothic" w:hAnsiTheme="minorHAnsi"/>
          <w:color w:val="000000"/>
          <w:lang w:val="en-US"/>
        </w:rPr>
        <w:t xml:space="preserve">     </w:t>
      </w:r>
      <w:r>
        <w:rPr>
          <w:rFonts w:asciiTheme="minorHAnsi" w:eastAsia="MS PGothic" w:hAnsiTheme="minorHAnsi"/>
          <w:color w:val="000000"/>
          <w:lang w:val="en-US"/>
        </w:rPr>
        <w:t xml:space="preserve">             </w:t>
      </w:r>
      <w:r w:rsidRPr="00893DF2">
        <w:rPr>
          <w:rFonts w:asciiTheme="minorHAnsi" w:eastAsia="MS PGothic" w:hAnsiTheme="minorHAnsi"/>
          <w:color w:val="000000"/>
        </w:rPr>
        <w:drawing>
          <wp:inline distT="0" distB="0" distL="0" distR="0" wp14:anchorId="3C2BEDBB" wp14:editId="7C4BF4F3">
            <wp:extent cx="1752600" cy="1065347"/>
            <wp:effectExtent l="0" t="0" r="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47" cy="110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color w:val="000000"/>
          <w:lang w:val="en-US"/>
        </w:rPr>
        <w:tab/>
      </w:r>
      <w:r w:rsidRPr="00893DF2">
        <w:rPr>
          <w:rFonts w:asciiTheme="minorHAnsi" w:eastAsia="MS PGothic" w:hAnsiTheme="minorHAnsi"/>
          <w:color w:val="000000"/>
        </w:rPr>
        <w:drawing>
          <wp:inline distT="0" distB="0" distL="0" distR="0" wp14:anchorId="0900FC33" wp14:editId="05D7F5FD">
            <wp:extent cx="1795920" cy="108521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90" cy="111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DE0019" w:rsidRDefault="00DD7782" w:rsidP="00DD7782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                   </w:t>
      </w:r>
      <w:r w:rsidR="00893DF2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893DF2">
        <w:rPr>
          <w:rFonts w:asciiTheme="minorHAnsi" w:hAnsiTheme="minorHAnsi"/>
          <w:lang w:val="en-US"/>
        </w:rPr>
        <w:t>XMG surface response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893DF2" w:rsidRPr="00893DF2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893DF2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                         </w:t>
      </w:r>
      <w:r w:rsidR="00893DF2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893DF2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893DF2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893DF2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893DF2" w:rsidRPr="00DE0019">
        <w:rPr>
          <w:rFonts w:asciiTheme="minorHAnsi" w:hAnsiTheme="minorHAnsi"/>
          <w:lang w:val="en-US"/>
        </w:rPr>
        <w:t xml:space="preserve"> </w:t>
      </w:r>
      <w:r w:rsidR="00893DF2">
        <w:rPr>
          <w:rFonts w:asciiTheme="minorHAnsi" w:eastAsia="MS PGothic" w:hAnsiTheme="minorHAnsi"/>
          <w:color w:val="000000"/>
          <w:szCs w:val="18"/>
          <w:lang w:val="en-US"/>
        </w:rPr>
        <w:t>Sugar surface response</w:t>
      </w:r>
      <w:r w:rsidR="00893DF2"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C20A7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iomass</w:t>
      </w:r>
      <w:r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retreatment with sodium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sulfite in acid environment alters the feedstock structure and composition, making it more suitable for enzymatic treatment. </w:t>
      </w:r>
      <w:bookmarkStart w:id="1" w:name="_Hlk7433801"/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pretreatment conditions </w:t>
      </w:r>
      <w:r w:rsid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</w:t>
      </w:r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effect on the amount of total recovered sugars and on the generated</w:t>
      </w:r>
      <w:r w:rsidR="009961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degradation products</w:t>
      </w:r>
      <w:bookmarkEnd w:id="1"/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bookmarkStart w:id="2" w:name="_Hlk7433886"/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 given sulfite load, more acidic conditions lead to higher sugar release and further material fragmentation, but also to an increase in degradation products</w:t>
      </w:r>
      <w:bookmarkEnd w:id="2"/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bookmarkStart w:id="3" w:name="_Hlk7434001"/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Moderate loads of sodium bisulfite (1%) and sulfuric acid (2.25%), releas</w:t>
      </w:r>
      <w:r w:rsid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practically all hemicelluloses of the raw material.</w:t>
      </w:r>
      <w:bookmarkEnd w:id="3"/>
      <w:r w:rsidR="00E70AE3" w:rsidRPr="00E70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enzymatic treatment showed to be very sensitive to the pretreatment conditions. The released sugars percentage in the enzymatic hydrolysis ranged from 6.0% to 68.9%.  More acidic conditions increase the rate and extent of the enzymatic hydrolysis of the polysaccharides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133D2A" w:rsidRPr="00133D2A" w:rsidRDefault="00133D2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133D2A">
        <w:rPr>
          <w:rFonts w:asciiTheme="minorHAnsi" w:hAnsiTheme="minorHAnsi"/>
          <w:color w:val="000000"/>
        </w:rPr>
        <w:t>V. Costa, T. Gomes</w:t>
      </w:r>
      <w:r>
        <w:rPr>
          <w:rFonts w:asciiTheme="minorHAnsi" w:hAnsiTheme="minorHAnsi"/>
          <w:color w:val="000000"/>
        </w:rPr>
        <w:t>,</w:t>
      </w:r>
      <w:r w:rsidRPr="00133D2A">
        <w:rPr>
          <w:rFonts w:asciiTheme="minorHAnsi" w:hAnsiTheme="minorHAnsi"/>
          <w:color w:val="000000"/>
        </w:rPr>
        <w:t xml:space="preserve"> R. </w:t>
      </w:r>
      <w:proofErr w:type="spellStart"/>
      <w:r w:rsidRPr="00133D2A">
        <w:rPr>
          <w:rFonts w:asciiTheme="minorHAnsi" w:hAnsiTheme="minorHAnsi"/>
          <w:color w:val="000000"/>
        </w:rPr>
        <w:t>Simões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133D2A">
        <w:rPr>
          <w:rFonts w:asciiTheme="minorHAnsi" w:hAnsiTheme="minorHAnsi"/>
          <w:color w:val="000000"/>
        </w:rPr>
        <w:t>J</w:t>
      </w:r>
      <w:r>
        <w:rPr>
          <w:rFonts w:asciiTheme="minorHAnsi" w:hAnsiTheme="minorHAnsi"/>
          <w:color w:val="000000"/>
        </w:rPr>
        <w:t>.</w:t>
      </w:r>
      <w:r w:rsidRPr="00133D2A">
        <w:rPr>
          <w:rFonts w:asciiTheme="minorHAnsi" w:hAnsiTheme="minorHAnsi"/>
          <w:color w:val="000000"/>
        </w:rPr>
        <w:t xml:space="preserve"> Wood Chem</w:t>
      </w:r>
      <w:r>
        <w:rPr>
          <w:rFonts w:asciiTheme="minorHAnsi" w:hAnsiTheme="minorHAnsi"/>
          <w:color w:val="000000"/>
        </w:rPr>
        <w:t>.</w:t>
      </w:r>
      <w:r w:rsidRPr="00133D2A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&amp;</w:t>
      </w:r>
      <w:r w:rsidRPr="00133D2A">
        <w:rPr>
          <w:rFonts w:asciiTheme="minorHAnsi" w:hAnsiTheme="minorHAnsi"/>
          <w:color w:val="000000"/>
        </w:rPr>
        <w:t xml:space="preserve"> Tech</w:t>
      </w:r>
      <w:r>
        <w:rPr>
          <w:rFonts w:asciiTheme="minorHAnsi" w:hAnsiTheme="minorHAnsi"/>
          <w:color w:val="000000"/>
        </w:rPr>
        <w:t>.</w:t>
      </w:r>
      <w:r w:rsidRPr="00133D2A">
        <w:rPr>
          <w:rFonts w:asciiTheme="minorHAnsi" w:hAnsiTheme="minorHAnsi"/>
          <w:color w:val="000000"/>
        </w:rPr>
        <w:t xml:space="preserve"> 36</w:t>
      </w:r>
      <w:r>
        <w:rPr>
          <w:rFonts w:asciiTheme="minorHAnsi" w:hAnsiTheme="minorHAnsi"/>
          <w:color w:val="000000"/>
        </w:rPr>
        <w:t>-</w:t>
      </w:r>
      <w:r w:rsidRPr="00133D2A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 xml:space="preserve"> (2019)</w:t>
      </w:r>
      <w:r w:rsidRPr="00133D2A">
        <w:rPr>
          <w:rFonts w:asciiTheme="minorHAnsi" w:hAnsiTheme="minorHAnsi"/>
          <w:color w:val="000000"/>
        </w:rPr>
        <w:t>: 63-75.</w:t>
      </w:r>
    </w:p>
    <w:p w:rsidR="00704BDF" w:rsidRPr="00704BDF" w:rsidRDefault="00193D6A" w:rsidP="001C427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1C4279">
        <w:rPr>
          <w:rFonts w:asciiTheme="minorHAnsi" w:hAnsiTheme="minorHAnsi"/>
          <w:color w:val="000000"/>
          <w:lang w:val="pt-PT"/>
        </w:rPr>
        <w:t xml:space="preserve">N. Gil, F.C. Domingues., M.E. Amaral, A.P. Duarte, J. </w:t>
      </w:r>
      <w:proofErr w:type="spellStart"/>
      <w:r w:rsidRPr="001C4279">
        <w:rPr>
          <w:rFonts w:asciiTheme="minorHAnsi" w:hAnsiTheme="minorHAnsi"/>
          <w:color w:val="000000"/>
          <w:lang w:val="pt-PT"/>
        </w:rPr>
        <w:t>Biobas</w:t>
      </w:r>
      <w:proofErr w:type="spellEnd"/>
      <w:r w:rsidRPr="001C4279">
        <w:rPr>
          <w:rFonts w:asciiTheme="minorHAnsi" w:hAnsiTheme="minorHAnsi"/>
          <w:color w:val="000000"/>
          <w:lang w:val="pt-PT"/>
        </w:rPr>
        <w:t xml:space="preserve">. </w:t>
      </w:r>
      <w:r w:rsidRPr="001C4279">
        <w:rPr>
          <w:rFonts w:asciiTheme="minorHAnsi" w:hAnsiTheme="minorHAnsi"/>
          <w:color w:val="000000"/>
        </w:rPr>
        <w:t xml:space="preserve">Mat. &amp; and </w:t>
      </w:r>
      <w:proofErr w:type="spellStart"/>
      <w:r w:rsidRPr="001C4279">
        <w:rPr>
          <w:rFonts w:asciiTheme="minorHAnsi" w:hAnsiTheme="minorHAnsi"/>
          <w:color w:val="000000"/>
        </w:rPr>
        <w:t>Bioener</w:t>
      </w:r>
      <w:proofErr w:type="spellEnd"/>
      <w:r w:rsidRPr="001C4279">
        <w:rPr>
          <w:rFonts w:asciiTheme="minorHAnsi" w:hAnsiTheme="minorHAnsi"/>
          <w:color w:val="000000"/>
        </w:rPr>
        <w:t>. 6-3 (2012) 292-298.</w:t>
      </w:r>
      <w:r w:rsidR="001C4279" w:rsidRPr="00704BDF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14" w:rsidRDefault="00205F14" w:rsidP="004F5E36">
      <w:r>
        <w:separator/>
      </w:r>
    </w:p>
  </w:endnote>
  <w:endnote w:type="continuationSeparator" w:id="0">
    <w:p w:rsidR="00205F14" w:rsidRDefault="00205F1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14" w:rsidRDefault="00205F14" w:rsidP="004F5E36">
      <w:r>
        <w:separator/>
      </w:r>
    </w:p>
  </w:footnote>
  <w:footnote w:type="continuationSeparator" w:id="0">
    <w:p w:rsidR="00205F14" w:rsidRDefault="00205F1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43FBB"/>
    <w:rsid w:val="00062A9A"/>
    <w:rsid w:val="000A03B2"/>
    <w:rsid w:val="000D34BE"/>
    <w:rsid w:val="000E36F1"/>
    <w:rsid w:val="000E3A73"/>
    <w:rsid w:val="000E414A"/>
    <w:rsid w:val="000F4BD6"/>
    <w:rsid w:val="0013121F"/>
    <w:rsid w:val="00132BD6"/>
    <w:rsid w:val="00133D2A"/>
    <w:rsid w:val="00134DE4"/>
    <w:rsid w:val="00150E59"/>
    <w:rsid w:val="00184AD6"/>
    <w:rsid w:val="00193D6A"/>
    <w:rsid w:val="001B65C1"/>
    <w:rsid w:val="001C4279"/>
    <w:rsid w:val="001C684B"/>
    <w:rsid w:val="001D53FC"/>
    <w:rsid w:val="001F2EC7"/>
    <w:rsid w:val="00205F14"/>
    <w:rsid w:val="002065DB"/>
    <w:rsid w:val="002447EF"/>
    <w:rsid w:val="00251550"/>
    <w:rsid w:val="0027221A"/>
    <w:rsid w:val="00275B61"/>
    <w:rsid w:val="002A3273"/>
    <w:rsid w:val="002B5D8B"/>
    <w:rsid w:val="002D1F12"/>
    <w:rsid w:val="003009B7"/>
    <w:rsid w:val="0030469C"/>
    <w:rsid w:val="0033742F"/>
    <w:rsid w:val="0034459B"/>
    <w:rsid w:val="00362582"/>
    <w:rsid w:val="003723D4"/>
    <w:rsid w:val="003A7B33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A735B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A7F54"/>
    <w:rsid w:val="006C5579"/>
    <w:rsid w:val="00703383"/>
    <w:rsid w:val="00704BDF"/>
    <w:rsid w:val="00736B13"/>
    <w:rsid w:val="007447F3"/>
    <w:rsid w:val="007661C8"/>
    <w:rsid w:val="00787650"/>
    <w:rsid w:val="007D52CD"/>
    <w:rsid w:val="00813288"/>
    <w:rsid w:val="008168FC"/>
    <w:rsid w:val="00826E08"/>
    <w:rsid w:val="0082790D"/>
    <w:rsid w:val="008479A2"/>
    <w:rsid w:val="0087637F"/>
    <w:rsid w:val="00893DF2"/>
    <w:rsid w:val="008A1512"/>
    <w:rsid w:val="008D0BEB"/>
    <w:rsid w:val="008E566E"/>
    <w:rsid w:val="00901EB6"/>
    <w:rsid w:val="009450CE"/>
    <w:rsid w:val="0095164B"/>
    <w:rsid w:val="00996104"/>
    <w:rsid w:val="00996483"/>
    <w:rsid w:val="009E788A"/>
    <w:rsid w:val="009F63C4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C41F8"/>
    <w:rsid w:val="00BE3E58"/>
    <w:rsid w:val="00BF3D4E"/>
    <w:rsid w:val="00C01616"/>
    <w:rsid w:val="00C0162B"/>
    <w:rsid w:val="00C20A75"/>
    <w:rsid w:val="00C345B1"/>
    <w:rsid w:val="00C40142"/>
    <w:rsid w:val="00C57182"/>
    <w:rsid w:val="00C655FD"/>
    <w:rsid w:val="00C854A7"/>
    <w:rsid w:val="00C867B1"/>
    <w:rsid w:val="00C94434"/>
    <w:rsid w:val="00CA1C95"/>
    <w:rsid w:val="00CA5A9C"/>
    <w:rsid w:val="00CB2964"/>
    <w:rsid w:val="00CD5FE2"/>
    <w:rsid w:val="00D02B4C"/>
    <w:rsid w:val="00D21C07"/>
    <w:rsid w:val="00D84576"/>
    <w:rsid w:val="00DD7782"/>
    <w:rsid w:val="00DE0019"/>
    <w:rsid w:val="00DE264A"/>
    <w:rsid w:val="00E041E7"/>
    <w:rsid w:val="00E23CA1"/>
    <w:rsid w:val="00E409A8"/>
    <w:rsid w:val="00E70AE3"/>
    <w:rsid w:val="00E7209D"/>
    <w:rsid w:val="00EA50E1"/>
    <w:rsid w:val="00EE0131"/>
    <w:rsid w:val="00F220F0"/>
    <w:rsid w:val="00F30C64"/>
    <w:rsid w:val="00F4582F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39AC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te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arte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arte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314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3148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3148D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03148D"/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3148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3148D"/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3148D"/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3148D"/>
    <w:pPr>
      <w:spacing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3148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3148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3148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3148D"/>
  </w:style>
  <w:style w:type="paragraph" w:styleId="Listacommarc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3148D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148D"/>
    <w:rPr>
      <w:sz w:val="16"/>
      <w:szCs w:val="16"/>
    </w:rPr>
  </w:style>
  <w:style w:type="paragraph" w:styleId="Avan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48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03148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148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arte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Tipodeletrapredefinidodopar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elha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5503-7A0B-42A0-B8C3-43EFE064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833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Álvaro Vaz</cp:lastModifiedBy>
  <cp:revision>12</cp:revision>
  <cp:lastPrinted>2015-05-12T18:31:00Z</cp:lastPrinted>
  <dcterms:created xsi:type="dcterms:W3CDTF">2019-04-29T10:26:00Z</dcterms:created>
  <dcterms:modified xsi:type="dcterms:W3CDTF">2019-04-29T13:54:00Z</dcterms:modified>
</cp:coreProperties>
</file>