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39F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6130B86" w14:textId="77777777" w:rsidR="0057184A" w:rsidRDefault="0057184A" w:rsidP="00704BDF">
      <w:pPr>
        <w:snapToGrid w:val="0"/>
        <w:spacing w:after="120"/>
        <w:jc w:val="center"/>
        <w:rPr>
          <w:rFonts w:asciiTheme="minorHAnsi" w:eastAsia="MS PGothic" w:hAnsiTheme="minorHAnsi"/>
          <w:b/>
          <w:bCs/>
          <w:sz w:val="28"/>
          <w:szCs w:val="28"/>
          <w:lang w:val="en-US"/>
        </w:rPr>
      </w:pPr>
      <w:r w:rsidRPr="0057184A">
        <w:rPr>
          <w:rFonts w:asciiTheme="minorHAnsi" w:eastAsia="MS PGothic" w:hAnsiTheme="minorHAnsi"/>
          <w:b/>
          <w:bCs/>
          <w:sz w:val="28"/>
          <w:szCs w:val="28"/>
          <w:lang w:val="en-US"/>
        </w:rPr>
        <w:t xml:space="preserve">Tracking phenotypic traits correlated with glycolytic flux capacity as a strategy for directing cell population </w:t>
      </w:r>
    </w:p>
    <w:p w14:paraId="134E89A0" w14:textId="77777777" w:rsidR="0057184A" w:rsidRPr="0057184A" w:rsidRDefault="0057184A" w:rsidP="00704BDF">
      <w:pPr>
        <w:snapToGrid w:val="0"/>
        <w:spacing w:after="120"/>
        <w:jc w:val="center"/>
        <w:rPr>
          <w:rFonts w:asciiTheme="minorHAnsi" w:eastAsia="SimSun" w:hAnsiTheme="minorHAnsi"/>
          <w:color w:val="000000"/>
          <w:sz w:val="24"/>
          <w:szCs w:val="24"/>
          <w:lang w:val="en-US" w:eastAsia="zh-CN"/>
        </w:rPr>
      </w:pPr>
      <w:r w:rsidRPr="0057184A">
        <w:rPr>
          <w:rFonts w:asciiTheme="minorHAnsi" w:eastAsia="SimSun" w:hAnsiTheme="minorHAnsi"/>
          <w:color w:val="000000"/>
          <w:sz w:val="24"/>
          <w:szCs w:val="24"/>
          <w:u w:val="single"/>
          <w:lang w:val="en-US" w:eastAsia="zh-CN"/>
        </w:rPr>
        <w:t>Thai Minh Nguyen</w:t>
      </w:r>
      <w:r w:rsidRPr="0057184A">
        <w:rPr>
          <w:rFonts w:asciiTheme="minorHAnsi" w:eastAsia="SimSun" w:hAnsiTheme="minorHAnsi"/>
          <w:color w:val="000000"/>
          <w:sz w:val="24"/>
          <w:szCs w:val="24"/>
          <w:u w:val="single"/>
          <w:vertAlign w:val="superscript"/>
          <w:lang w:val="en-US" w:eastAsia="zh-CN"/>
        </w:rPr>
        <w:t>1</w:t>
      </w:r>
      <w:r w:rsidRPr="0057184A">
        <w:rPr>
          <w:rFonts w:asciiTheme="minorHAnsi" w:eastAsia="SimSun" w:hAnsiTheme="minorHAnsi"/>
          <w:color w:val="000000"/>
          <w:sz w:val="24"/>
          <w:szCs w:val="24"/>
          <w:u w:val="single"/>
          <w:lang w:val="en-US" w:eastAsia="zh-CN"/>
        </w:rPr>
        <w:t xml:space="preserve">*, </w:t>
      </w:r>
      <w:r w:rsidRPr="0057184A">
        <w:rPr>
          <w:rFonts w:asciiTheme="minorHAnsi" w:eastAsia="SimSun" w:hAnsiTheme="minorHAnsi"/>
          <w:color w:val="000000"/>
          <w:sz w:val="24"/>
          <w:szCs w:val="24"/>
          <w:lang w:val="en-US" w:eastAsia="zh-CN"/>
        </w:rPr>
        <w:t>Hosni Sassi</w:t>
      </w:r>
      <w:r w:rsidRPr="0057184A">
        <w:rPr>
          <w:rFonts w:asciiTheme="minorHAnsi" w:eastAsia="SimSun" w:hAnsiTheme="minorHAnsi"/>
          <w:color w:val="000000"/>
          <w:sz w:val="24"/>
          <w:szCs w:val="24"/>
          <w:vertAlign w:val="superscript"/>
          <w:lang w:val="en-US" w:eastAsia="zh-CN"/>
        </w:rPr>
        <w:t>1</w:t>
      </w:r>
      <w:r w:rsidRPr="0057184A">
        <w:rPr>
          <w:rFonts w:asciiTheme="minorHAnsi" w:eastAsia="SimSun" w:hAnsiTheme="minorHAnsi"/>
          <w:color w:val="000000"/>
          <w:sz w:val="24"/>
          <w:szCs w:val="24"/>
          <w:lang w:val="en-US" w:eastAsia="zh-CN"/>
        </w:rPr>
        <w:t>*, Samuel Telek</w:t>
      </w:r>
      <w:r w:rsidRPr="0057184A">
        <w:rPr>
          <w:rFonts w:asciiTheme="minorHAnsi" w:eastAsia="SimSun" w:hAnsiTheme="minorHAnsi"/>
          <w:color w:val="000000"/>
          <w:sz w:val="24"/>
          <w:szCs w:val="24"/>
          <w:vertAlign w:val="superscript"/>
          <w:lang w:val="en-US" w:eastAsia="zh-CN"/>
        </w:rPr>
        <w:t>1</w:t>
      </w:r>
      <w:r w:rsidRPr="0057184A">
        <w:rPr>
          <w:rFonts w:asciiTheme="minorHAnsi" w:eastAsia="SimSun" w:hAnsiTheme="minorHAnsi"/>
          <w:color w:val="000000"/>
          <w:sz w:val="24"/>
          <w:szCs w:val="24"/>
          <w:lang w:val="en-US" w:eastAsia="zh-CN"/>
        </w:rPr>
        <w:t>, Guillermo Gosset</w:t>
      </w:r>
      <w:r w:rsidRPr="0057184A">
        <w:rPr>
          <w:rFonts w:asciiTheme="minorHAnsi" w:eastAsia="SimSun" w:hAnsiTheme="minorHAnsi"/>
          <w:color w:val="000000"/>
          <w:sz w:val="24"/>
          <w:szCs w:val="24"/>
          <w:vertAlign w:val="superscript"/>
          <w:lang w:val="en-US" w:eastAsia="zh-CN"/>
        </w:rPr>
        <w:t>2</w:t>
      </w:r>
      <w:r w:rsidRPr="0057184A">
        <w:rPr>
          <w:rFonts w:asciiTheme="minorHAnsi" w:eastAsia="SimSun" w:hAnsiTheme="minorHAnsi"/>
          <w:color w:val="000000"/>
          <w:sz w:val="24"/>
          <w:szCs w:val="24"/>
          <w:lang w:val="en-US" w:eastAsia="zh-CN"/>
        </w:rPr>
        <w:t>, Alexander Grünberger</w:t>
      </w:r>
      <w:r w:rsidRPr="0057184A">
        <w:rPr>
          <w:rFonts w:asciiTheme="minorHAnsi" w:eastAsia="SimSun" w:hAnsiTheme="minorHAnsi"/>
          <w:color w:val="000000"/>
          <w:sz w:val="24"/>
          <w:szCs w:val="24"/>
          <w:vertAlign w:val="superscript"/>
          <w:lang w:val="en-US" w:eastAsia="zh-CN"/>
        </w:rPr>
        <w:t>3,4</w:t>
      </w:r>
      <w:r w:rsidRPr="0057184A">
        <w:rPr>
          <w:rFonts w:asciiTheme="minorHAnsi" w:eastAsia="SimSun" w:hAnsiTheme="minorHAnsi"/>
          <w:color w:val="000000"/>
          <w:sz w:val="24"/>
          <w:szCs w:val="24"/>
          <w:lang w:val="en-US" w:eastAsia="zh-CN"/>
        </w:rPr>
        <w:t>, Frank Delvigne</w:t>
      </w:r>
      <w:r w:rsidRPr="0057184A">
        <w:rPr>
          <w:rFonts w:asciiTheme="minorHAnsi" w:eastAsia="SimSun" w:hAnsiTheme="minorHAnsi"/>
          <w:color w:val="000000"/>
          <w:sz w:val="24"/>
          <w:szCs w:val="24"/>
          <w:vertAlign w:val="superscript"/>
          <w:lang w:val="en-US" w:eastAsia="zh-CN"/>
        </w:rPr>
        <w:t>1</w:t>
      </w:r>
    </w:p>
    <w:p w14:paraId="45D89A72" w14:textId="77777777" w:rsidR="0057184A" w:rsidRPr="0057184A" w:rsidRDefault="0057184A" w:rsidP="0057184A">
      <w:pPr>
        <w:snapToGrid w:val="0"/>
        <w:rPr>
          <w:rFonts w:eastAsia="MS PGothic"/>
          <w:i/>
          <w:iCs/>
          <w:color w:val="000000"/>
          <w:sz w:val="20"/>
          <w:lang w:val="en-US"/>
        </w:rPr>
      </w:pPr>
      <w:r w:rsidRPr="0057184A">
        <w:rPr>
          <w:rFonts w:eastAsia="MS PGothic"/>
          <w:i/>
          <w:iCs/>
          <w:color w:val="000000"/>
          <w:sz w:val="20"/>
          <w:lang w:val="en-US"/>
        </w:rPr>
        <w:t xml:space="preserve">1 Terra research and teaching </w:t>
      </w:r>
      <w:proofErr w:type="spellStart"/>
      <w:r w:rsidRPr="0057184A">
        <w:rPr>
          <w:rFonts w:eastAsia="MS PGothic"/>
          <w:i/>
          <w:iCs/>
          <w:color w:val="000000"/>
          <w:sz w:val="20"/>
          <w:lang w:val="en-US"/>
        </w:rPr>
        <w:t>centre</w:t>
      </w:r>
      <w:proofErr w:type="spellEnd"/>
      <w:r w:rsidRPr="0057184A">
        <w:rPr>
          <w:rFonts w:eastAsia="MS PGothic"/>
          <w:i/>
          <w:iCs/>
          <w:color w:val="000000"/>
          <w:sz w:val="20"/>
          <w:lang w:val="en-US"/>
        </w:rPr>
        <w:t>, Microbial Processes and Interactions (</w:t>
      </w:r>
      <w:proofErr w:type="spellStart"/>
      <w:r w:rsidRPr="0057184A">
        <w:rPr>
          <w:rFonts w:eastAsia="MS PGothic"/>
          <w:i/>
          <w:iCs/>
          <w:color w:val="000000"/>
          <w:sz w:val="20"/>
          <w:lang w:val="en-US"/>
        </w:rPr>
        <w:t>MiPI</w:t>
      </w:r>
      <w:proofErr w:type="spellEnd"/>
      <w:r w:rsidRPr="0057184A">
        <w:rPr>
          <w:rFonts w:eastAsia="MS PGothic"/>
          <w:i/>
          <w:iCs/>
          <w:color w:val="000000"/>
          <w:sz w:val="20"/>
          <w:lang w:val="en-US"/>
        </w:rPr>
        <w:t xml:space="preserve">), Gembloux </w:t>
      </w:r>
      <w:proofErr w:type="spellStart"/>
      <w:r w:rsidRPr="0057184A">
        <w:rPr>
          <w:rFonts w:eastAsia="MS PGothic"/>
          <w:i/>
          <w:iCs/>
          <w:color w:val="000000"/>
          <w:sz w:val="20"/>
          <w:lang w:val="en-US"/>
        </w:rPr>
        <w:t>Agro</w:t>
      </w:r>
      <w:proofErr w:type="spellEnd"/>
      <w:r w:rsidRPr="0057184A">
        <w:rPr>
          <w:rFonts w:ascii="Cambria Math" w:eastAsia="MS PGothic" w:hAnsi="Cambria Math" w:cs="Cambria Math"/>
          <w:i/>
          <w:iCs/>
          <w:color w:val="000000"/>
          <w:sz w:val="20"/>
          <w:lang w:val="en-US"/>
        </w:rPr>
        <w:t>‑</w:t>
      </w:r>
      <w:r w:rsidRPr="0057184A">
        <w:rPr>
          <w:rFonts w:eastAsia="MS PGothic"/>
          <w:i/>
          <w:iCs/>
          <w:color w:val="000000"/>
          <w:sz w:val="20"/>
          <w:lang w:val="en-US"/>
        </w:rPr>
        <w:t>Bio Tech, University of Liège, Gembloux, Belgium.</w:t>
      </w:r>
    </w:p>
    <w:p w14:paraId="21A9DCD6" w14:textId="77777777" w:rsidR="0057184A" w:rsidRPr="0057184A" w:rsidRDefault="0057184A" w:rsidP="0057184A">
      <w:pPr>
        <w:snapToGrid w:val="0"/>
        <w:rPr>
          <w:rFonts w:eastAsia="MS PGothic"/>
          <w:i/>
          <w:iCs/>
          <w:color w:val="000000"/>
          <w:sz w:val="20"/>
          <w:lang w:val="en-US"/>
        </w:rPr>
      </w:pPr>
      <w:r w:rsidRPr="0057184A">
        <w:rPr>
          <w:rFonts w:eastAsia="MS PGothic"/>
          <w:i/>
          <w:iCs/>
          <w:color w:val="000000"/>
          <w:sz w:val="20"/>
          <w:lang w:val="en-US"/>
        </w:rPr>
        <w:t xml:space="preserve">2 </w:t>
      </w:r>
      <w:proofErr w:type="spellStart"/>
      <w:r w:rsidRPr="0057184A">
        <w:rPr>
          <w:rFonts w:eastAsia="MS PGothic"/>
          <w:i/>
          <w:iCs/>
          <w:color w:val="000000"/>
          <w:sz w:val="20"/>
          <w:lang w:val="en-US"/>
        </w:rPr>
        <w:t>Departamento</w:t>
      </w:r>
      <w:proofErr w:type="spellEnd"/>
      <w:r w:rsidRPr="0057184A">
        <w:rPr>
          <w:rFonts w:eastAsia="MS PGothic"/>
          <w:i/>
          <w:iCs/>
          <w:color w:val="000000"/>
          <w:sz w:val="20"/>
          <w:lang w:val="en-US"/>
        </w:rPr>
        <w:t xml:space="preserve"> de </w:t>
      </w:r>
      <w:proofErr w:type="spellStart"/>
      <w:r w:rsidRPr="0057184A">
        <w:rPr>
          <w:rFonts w:eastAsia="MS PGothic"/>
          <w:i/>
          <w:iCs/>
          <w:color w:val="000000"/>
          <w:sz w:val="20"/>
          <w:lang w:val="en-US"/>
        </w:rPr>
        <w:t>Ingeniería</w:t>
      </w:r>
      <w:proofErr w:type="spellEnd"/>
      <w:r w:rsidRPr="0057184A">
        <w:rPr>
          <w:rFonts w:eastAsia="MS PGothic"/>
          <w:i/>
          <w:iCs/>
          <w:color w:val="000000"/>
          <w:sz w:val="20"/>
          <w:lang w:val="en-US"/>
        </w:rPr>
        <w:t xml:space="preserve"> </w:t>
      </w:r>
      <w:proofErr w:type="spellStart"/>
      <w:r w:rsidRPr="0057184A">
        <w:rPr>
          <w:rFonts w:eastAsia="MS PGothic"/>
          <w:i/>
          <w:iCs/>
          <w:color w:val="000000"/>
          <w:sz w:val="20"/>
          <w:lang w:val="en-US"/>
        </w:rPr>
        <w:t>Celular</w:t>
      </w:r>
      <w:proofErr w:type="spellEnd"/>
      <w:r w:rsidRPr="0057184A">
        <w:rPr>
          <w:rFonts w:eastAsia="MS PGothic"/>
          <w:i/>
          <w:iCs/>
          <w:color w:val="000000"/>
          <w:sz w:val="20"/>
          <w:lang w:val="en-US"/>
        </w:rPr>
        <w:t xml:space="preserve"> y </w:t>
      </w:r>
      <w:proofErr w:type="spellStart"/>
      <w:r w:rsidRPr="0057184A">
        <w:rPr>
          <w:rFonts w:eastAsia="MS PGothic"/>
          <w:i/>
          <w:iCs/>
          <w:color w:val="000000"/>
          <w:sz w:val="20"/>
          <w:lang w:val="en-US"/>
        </w:rPr>
        <w:t>Biocatálisis</w:t>
      </w:r>
      <w:proofErr w:type="spellEnd"/>
      <w:r w:rsidRPr="0057184A">
        <w:rPr>
          <w:rFonts w:eastAsia="MS PGothic"/>
          <w:i/>
          <w:iCs/>
          <w:color w:val="000000"/>
          <w:sz w:val="20"/>
          <w:lang w:val="en-US"/>
        </w:rPr>
        <w:t xml:space="preserve">, Instituto de </w:t>
      </w:r>
      <w:proofErr w:type="spellStart"/>
      <w:r w:rsidRPr="0057184A">
        <w:rPr>
          <w:rFonts w:eastAsia="MS PGothic"/>
          <w:i/>
          <w:iCs/>
          <w:color w:val="000000"/>
          <w:sz w:val="20"/>
          <w:lang w:val="en-US"/>
        </w:rPr>
        <w:t>Biotecnología</w:t>
      </w:r>
      <w:proofErr w:type="spellEnd"/>
      <w:r w:rsidRPr="0057184A">
        <w:rPr>
          <w:rFonts w:eastAsia="MS PGothic"/>
          <w:i/>
          <w:iCs/>
          <w:color w:val="000000"/>
          <w:sz w:val="20"/>
          <w:lang w:val="en-US"/>
        </w:rPr>
        <w:t xml:space="preserve">, Universidad Nacional </w:t>
      </w:r>
      <w:proofErr w:type="spellStart"/>
      <w:r w:rsidRPr="0057184A">
        <w:rPr>
          <w:rFonts w:eastAsia="MS PGothic"/>
          <w:i/>
          <w:iCs/>
          <w:color w:val="000000"/>
          <w:sz w:val="20"/>
          <w:lang w:val="en-US"/>
        </w:rPr>
        <w:t>Autónoma</w:t>
      </w:r>
      <w:proofErr w:type="spellEnd"/>
      <w:r w:rsidRPr="0057184A">
        <w:rPr>
          <w:rFonts w:eastAsia="MS PGothic"/>
          <w:i/>
          <w:iCs/>
          <w:color w:val="000000"/>
          <w:sz w:val="20"/>
          <w:lang w:val="en-US"/>
        </w:rPr>
        <w:t xml:space="preserve"> de México, Cuernavaca, Morelos, México.</w:t>
      </w:r>
    </w:p>
    <w:p w14:paraId="0C89B3EB" w14:textId="77777777" w:rsidR="0057184A" w:rsidRPr="0057184A" w:rsidRDefault="0057184A" w:rsidP="0057184A">
      <w:pPr>
        <w:snapToGrid w:val="0"/>
        <w:rPr>
          <w:rFonts w:eastAsia="MS PGothic"/>
          <w:i/>
          <w:iCs/>
          <w:color w:val="000000"/>
          <w:sz w:val="20"/>
          <w:lang w:val="de-DE"/>
        </w:rPr>
      </w:pPr>
      <w:r w:rsidRPr="0057184A">
        <w:rPr>
          <w:rFonts w:eastAsia="MS PGothic"/>
          <w:i/>
          <w:iCs/>
          <w:color w:val="000000"/>
          <w:sz w:val="20"/>
          <w:lang w:val="de-DE"/>
        </w:rPr>
        <w:t>3  Forschungszentrum Jülich GmbH, IBG-1: Biotechnology, Jülich, 52425, Germany</w:t>
      </w:r>
    </w:p>
    <w:p w14:paraId="19C7FE5D" w14:textId="77777777" w:rsidR="0057184A" w:rsidRPr="0057184A" w:rsidRDefault="0057184A" w:rsidP="0057184A">
      <w:pPr>
        <w:snapToGrid w:val="0"/>
        <w:rPr>
          <w:rFonts w:eastAsia="MS PGothic"/>
          <w:i/>
          <w:iCs/>
          <w:color w:val="000000"/>
          <w:sz w:val="20"/>
          <w:lang w:val="en-US"/>
        </w:rPr>
      </w:pPr>
      <w:r w:rsidRPr="0057184A">
        <w:rPr>
          <w:rFonts w:eastAsia="MS PGothic"/>
          <w:i/>
          <w:iCs/>
          <w:color w:val="000000"/>
          <w:sz w:val="20"/>
          <w:lang w:val="en-US"/>
        </w:rPr>
        <w:t xml:space="preserve">4 Multiscale Bioengineering, Bielefeld University, </w:t>
      </w:r>
      <w:proofErr w:type="spellStart"/>
      <w:r w:rsidRPr="0057184A">
        <w:rPr>
          <w:rFonts w:eastAsia="MS PGothic"/>
          <w:i/>
          <w:iCs/>
          <w:color w:val="000000"/>
          <w:sz w:val="20"/>
          <w:lang w:val="en-US"/>
        </w:rPr>
        <w:t>Universitätsstraße</w:t>
      </w:r>
      <w:proofErr w:type="spellEnd"/>
      <w:r w:rsidRPr="0057184A">
        <w:rPr>
          <w:rFonts w:eastAsia="MS PGothic"/>
          <w:i/>
          <w:iCs/>
          <w:color w:val="000000"/>
          <w:sz w:val="20"/>
          <w:lang w:val="en-US"/>
        </w:rPr>
        <w:t xml:space="preserve"> 25, 33615 Bielefeld, Germany</w:t>
      </w:r>
    </w:p>
    <w:p w14:paraId="2875EDE9" w14:textId="77777777" w:rsidR="0057184A" w:rsidRPr="0057184A" w:rsidRDefault="0057184A" w:rsidP="0057184A">
      <w:pPr>
        <w:snapToGrid w:val="0"/>
        <w:rPr>
          <w:rFonts w:eastAsia="MS PGothic"/>
          <w:i/>
          <w:iCs/>
          <w:color w:val="000000"/>
          <w:sz w:val="20"/>
          <w:lang w:val="en-US"/>
        </w:rPr>
      </w:pPr>
    </w:p>
    <w:p w14:paraId="4F34B8FE" w14:textId="34A9CEB4" w:rsidR="0057184A" w:rsidRDefault="0057184A" w:rsidP="0057184A">
      <w:pPr>
        <w:snapToGrid w:val="0"/>
        <w:jc w:val="center"/>
        <w:rPr>
          <w:rFonts w:eastAsia="MS PGothic"/>
          <w:i/>
          <w:iCs/>
          <w:color w:val="000000"/>
          <w:sz w:val="20"/>
          <w:lang w:val="en-US"/>
        </w:rPr>
      </w:pPr>
      <w:r w:rsidRPr="0057184A">
        <w:rPr>
          <w:rFonts w:eastAsia="MS PGothic"/>
          <w:i/>
          <w:iCs/>
          <w:color w:val="000000"/>
          <w:sz w:val="20"/>
          <w:lang w:val="en-US"/>
        </w:rPr>
        <w:t xml:space="preserve">Corresponding author : F.Delvigne@uliege.be </w:t>
      </w:r>
    </w:p>
    <w:p w14:paraId="716B8E7A" w14:textId="6D2D1112" w:rsidR="0057184A" w:rsidRPr="0057184A" w:rsidRDefault="0057184A" w:rsidP="0057184A">
      <w:pPr>
        <w:snapToGrid w:val="0"/>
        <w:jc w:val="center"/>
        <w:rPr>
          <w:rFonts w:eastAsia="MS PGothic"/>
          <w:i/>
          <w:iCs/>
          <w:color w:val="000000"/>
          <w:sz w:val="20"/>
          <w:lang w:val="en-US"/>
        </w:rPr>
      </w:pPr>
      <w:r w:rsidRPr="0057184A">
        <w:rPr>
          <w:rFonts w:eastAsia="MS PGothic"/>
          <w:i/>
          <w:iCs/>
          <w:color w:val="000000"/>
          <w:sz w:val="20"/>
          <w:lang w:val="en-US"/>
        </w:rPr>
        <w:t>* equal contributors</w:t>
      </w:r>
    </w:p>
    <w:p w14:paraId="071C785D" w14:textId="77777777" w:rsidR="00704BDF" w:rsidRPr="00A15B93" w:rsidRDefault="00704BDF" w:rsidP="00704BDF">
      <w:pPr>
        <w:snapToGrid w:val="0"/>
        <w:spacing w:after="120"/>
        <w:jc w:val="center"/>
        <w:rPr>
          <w:rFonts w:eastAsia="SimSun"/>
          <w:bCs/>
          <w:i/>
          <w:iCs/>
          <w:color w:val="0000FF"/>
          <w:sz w:val="20"/>
          <w:lang w:val="en-US" w:eastAsia="zh-CN"/>
        </w:rPr>
      </w:pPr>
      <w:bookmarkStart w:id="0" w:name="_GoBack"/>
      <w:bookmarkEnd w:id="0"/>
    </w:p>
    <w:p w14:paraId="6A422FC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77D4235" w14:textId="720FAF99" w:rsidR="00704BDF" w:rsidRPr="008D0BEB" w:rsidRDefault="0057184A" w:rsidP="00704BDF">
      <w:pPr>
        <w:snapToGrid w:val="0"/>
        <w:spacing w:before="240" w:line="300" w:lineRule="auto"/>
        <w:rPr>
          <w:rFonts w:asciiTheme="minorHAnsi" w:eastAsia="MS PGothic" w:hAnsiTheme="minorHAnsi"/>
          <w:color w:val="000000"/>
          <w:sz w:val="22"/>
          <w:szCs w:val="22"/>
          <w:lang w:val="en-US"/>
        </w:rPr>
      </w:pPr>
      <w:r w:rsidRPr="0057184A">
        <w:rPr>
          <w:rFonts w:asciiTheme="minorHAnsi" w:eastAsia="MS PGothic" w:hAnsiTheme="minorHAnsi"/>
          <w:color w:val="000000"/>
          <w:sz w:val="22"/>
          <w:szCs w:val="22"/>
          <w:lang w:val="en-US"/>
        </w:rPr>
        <w:t xml:space="preserve">Phenotypic diversification has been the focus of intensive researches during the last decade that have led to a coherent mathematical and experimental framework of molecular stochasticity in prokaryotic and eukaryotic systems. This framework has been notably used in order to decipher the impact of regulatory network structure on possible metabolic specialization in clonal population of bacteria upon diauxic shift [1][2], but we are still far from applying these knowledges to more specific case studies, e.g. bioprocess optimization where control of phenotypic diversification is desired [3].  This is partly due to the fact that most of these researches have been conducted at low </w:t>
      </w:r>
      <w:proofErr w:type="spellStart"/>
      <w:r w:rsidRPr="0057184A">
        <w:rPr>
          <w:rFonts w:asciiTheme="minorHAnsi" w:eastAsia="MS PGothic" w:hAnsiTheme="minorHAnsi"/>
          <w:color w:val="000000"/>
          <w:sz w:val="22"/>
          <w:szCs w:val="22"/>
          <w:lang w:val="en-US"/>
        </w:rPr>
        <w:t>spatio</w:t>
      </w:r>
      <w:proofErr w:type="spellEnd"/>
      <w:r w:rsidRPr="0057184A">
        <w:rPr>
          <w:rFonts w:asciiTheme="minorHAnsi" w:eastAsia="MS PGothic" w:hAnsiTheme="minorHAnsi"/>
          <w:color w:val="000000"/>
          <w:sz w:val="22"/>
          <w:szCs w:val="22"/>
          <w:lang w:val="en-US"/>
        </w:rPr>
        <w:t xml:space="preserve">-temporal resolution, i.e. either on a limited numbers of cells, or focused on given time point. </w:t>
      </w:r>
      <w:r w:rsidR="00704BDF" w:rsidRPr="008D0BEB">
        <w:rPr>
          <w:rFonts w:asciiTheme="minorHAnsi" w:eastAsia="MS PGothic" w:hAnsiTheme="minorHAnsi"/>
          <w:b/>
          <w:bCs/>
          <w:color w:val="000000"/>
          <w:sz w:val="22"/>
          <w:szCs w:val="22"/>
          <w:lang w:val="en-US"/>
        </w:rPr>
        <w:t>2. Methods</w:t>
      </w:r>
    </w:p>
    <w:p w14:paraId="6FA500A6" w14:textId="77777777" w:rsidR="0057184A" w:rsidRDefault="0057184A"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w:t>
      </w:r>
      <w:r w:rsidRPr="0057184A">
        <w:rPr>
          <w:rFonts w:asciiTheme="minorHAnsi" w:eastAsia="MS PGothic" w:hAnsiTheme="minorHAnsi"/>
          <w:color w:val="000000"/>
          <w:sz w:val="22"/>
          <w:szCs w:val="22"/>
          <w:lang w:val="en-US"/>
        </w:rPr>
        <w:t xml:space="preserve">henotypic diversification dynamics of E. coli strains displaying different glycolytic fluxes (i.e., either wild-type strain E. coli W3110, mutant strains </w:t>
      </w:r>
      <w:proofErr w:type="spellStart"/>
      <w:r w:rsidRPr="0057184A">
        <w:rPr>
          <w:rFonts w:asciiTheme="minorHAnsi" w:eastAsia="MS PGothic" w:hAnsiTheme="minorHAnsi"/>
          <w:color w:val="000000"/>
          <w:sz w:val="22"/>
          <w:szCs w:val="22"/>
          <w:lang w:val="en-US"/>
        </w:rPr>
        <w:t>ΔptsG</w:t>
      </w:r>
      <w:proofErr w:type="spellEnd"/>
      <w:r w:rsidRPr="0057184A">
        <w:rPr>
          <w:rFonts w:asciiTheme="minorHAnsi" w:eastAsia="MS PGothic" w:hAnsiTheme="minorHAnsi"/>
          <w:color w:val="000000"/>
          <w:sz w:val="22"/>
          <w:szCs w:val="22"/>
          <w:lang w:val="en-US"/>
        </w:rPr>
        <w:t xml:space="preserve"> and </w:t>
      </w:r>
      <w:proofErr w:type="spellStart"/>
      <w:r w:rsidRPr="0057184A">
        <w:rPr>
          <w:rFonts w:asciiTheme="minorHAnsi" w:eastAsia="MS PGothic" w:hAnsiTheme="minorHAnsi"/>
          <w:color w:val="000000"/>
          <w:sz w:val="22"/>
          <w:szCs w:val="22"/>
          <w:lang w:val="en-US"/>
        </w:rPr>
        <w:t>ΔptsGΔmanX</w:t>
      </w:r>
      <w:proofErr w:type="spellEnd"/>
      <w:r w:rsidRPr="0057184A">
        <w:rPr>
          <w:rFonts w:asciiTheme="minorHAnsi" w:eastAsia="MS PGothic" w:hAnsiTheme="minorHAnsi"/>
          <w:color w:val="000000"/>
          <w:sz w:val="22"/>
          <w:szCs w:val="22"/>
          <w:lang w:val="en-US"/>
        </w:rPr>
        <w:t xml:space="preserve"> displaying reduced glycolytic flux or mutant strain </w:t>
      </w:r>
      <w:proofErr w:type="spellStart"/>
      <w:r w:rsidRPr="0057184A">
        <w:rPr>
          <w:rFonts w:asciiTheme="minorHAnsi" w:eastAsia="MS PGothic" w:hAnsiTheme="minorHAnsi"/>
          <w:color w:val="000000"/>
          <w:sz w:val="22"/>
          <w:szCs w:val="22"/>
          <w:lang w:val="en-US"/>
        </w:rPr>
        <w:t>ΔompC</w:t>
      </w:r>
      <w:proofErr w:type="spellEnd"/>
      <w:r w:rsidRPr="0057184A">
        <w:rPr>
          <w:rFonts w:asciiTheme="minorHAnsi" w:eastAsia="MS PGothic" w:hAnsiTheme="minorHAnsi"/>
          <w:color w:val="000000"/>
          <w:sz w:val="22"/>
          <w:szCs w:val="22"/>
          <w:lang w:val="en-US"/>
        </w:rPr>
        <w:t xml:space="preserve"> exhibiting increased glycolytic flux) have been investigated based on automated flow cytometry [4]</w:t>
      </w:r>
    </w:p>
    <w:p w14:paraId="61FDEDF0" w14:textId="23CC4CA4" w:rsidR="00704BDF" w:rsidRPr="008D0BEB" w:rsidRDefault="0057184A" w:rsidP="00704BDF">
      <w:pPr>
        <w:snapToGrid w:val="0"/>
        <w:spacing w:before="240" w:line="300" w:lineRule="auto"/>
        <w:rPr>
          <w:rFonts w:asciiTheme="minorHAnsi" w:eastAsia="MS PGothic" w:hAnsiTheme="minorHAnsi"/>
          <w:color w:val="000000"/>
          <w:sz w:val="22"/>
          <w:szCs w:val="22"/>
          <w:lang w:val="en-US"/>
        </w:rPr>
      </w:pPr>
      <w:r w:rsidRPr="0057184A">
        <w:rPr>
          <w:rFonts w:asciiTheme="minorHAnsi" w:eastAsia="MS PGothic" w:hAnsiTheme="minorHAnsi"/>
          <w:color w:val="000000"/>
          <w:sz w:val="22"/>
          <w:szCs w:val="22"/>
          <w:lang w:val="en-US"/>
        </w:rPr>
        <w:t>.</w:t>
      </w:r>
      <w:r w:rsidR="00704BDF" w:rsidRPr="008D0BEB">
        <w:rPr>
          <w:rFonts w:asciiTheme="minorHAnsi" w:eastAsia="MS PGothic" w:hAnsiTheme="minorHAnsi"/>
          <w:b/>
          <w:bCs/>
          <w:color w:val="000000"/>
          <w:sz w:val="22"/>
          <w:szCs w:val="22"/>
          <w:lang w:val="en-US"/>
        </w:rPr>
        <w:t>3. Results and discussion</w:t>
      </w:r>
    </w:p>
    <w:p w14:paraId="7AD96A27" w14:textId="314C03D5" w:rsidR="00704BDF" w:rsidRPr="00DE0019" w:rsidRDefault="0057184A" w:rsidP="0057184A">
      <w:pPr>
        <w:snapToGrid w:val="0"/>
        <w:spacing w:after="120"/>
        <w:rPr>
          <w:rFonts w:asciiTheme="minorHAnsi" w:eastAsia="MS PGothic" w:hAnsiTheme="minorHAnsi"/>
          <w:color w:val="000000"/>
        </w:rPr>
      </w:pPr>
      <w:r w:rsidRPr="0057184A">
        <w:rPr>
          <w:rFonts w:asciiTheme="minorHAnsi" w:eastAsia="MS PGothic" w:hAnsiTheme="minorHAnsi"/>
          <w:color w:val="000000"/>
          <w:sz w:val="22"/>
          <w:szCs w:val="22"/>
          <w:lang w:val="en-US"/>
        </w:rPr>
        <w:t>∆</w:t>
      </w:r>
      <w:proofErr w:type="spellStart"/>
      <w:r w:rsidRPr="0057184A">
        <w:rPr>
          <w:rFonts w:asciiTheme="minorHAnsi" w:eastAsia="MS PGothic" w:hAnsiTheme="minorHAnsi"/>
          <w:color w:val="000000"/>
          <w:sz w:val="22"/>
          <w:szCs w:val="22"/>
          <w:lang w:val="en-US"/>
        </w:rPr>
        <w:t>ompC</w:t>
      </w:r>
      <w:proofErr w:type="spellEnd"/>
      <w:r w:rsidRPr="0057184A">
        <w:rPr>
          <w:rFonts w:asciiTheme="minorHAnsi" w:eastAsia="MS PGothic" w:hAnsiTheme="minorHAnsi"/>
          <w:color w:val="000000"/>
          <w:sz w:val="22"/>
          <w:szCs w:val="22"/>
          <w:lang w:val="en-US"/>
        </w:rPr>
        <w:t xml:space="preserve"> strain, exhibited considerably increased diversification rate in chemostat cultivation. By comparison with the other strains, a correlation between the intensity of the glycolytic flux and the phenotypic diversification rate has been established. Interestingly, this effect was increased when strains were exposed to a succession of diauxic shifts in continuous culture, suggesting the </w:t>
      </w:r>
      <w:proofErr w:type="spellStart"/>
      <w:r w:rsidRPr="0057184A">
        <w:rPr>
          <w:rFonts w:asciiTheme="minorHAnsi" w:eastAsia="MS PGothic" w:hAnsiTheme="minorHAnsi"/>
          <w:color w:val="000000"/>
          <w:sz w:val="22"/>
          <w:szCs w:val="22"/>
          <w:lang w:val="en-US"/>
        </w:rPr>
        <w:t>occurence</w:t>
      </w:r>
      <w:proofErr w:type="spellEnd"/>
      <w:r w:rsidRPr="0057184A">
        <w:rPr>
          <w:rFonts w:asciiTheme="minorHAnsi" w:eastAsia="MS PGothic" w:hAnsiTheme="minorHAnsi"/>
          <w:color w:val="000000"/>
          <w:sz w:val="22"/>
          <w:szCs w:val="22"/>
          <w:lang w:val="en-US"/>
        </w:rPr>
        <w:t xml:space="preserve"> of a cell-decision making process in front of environmental fluctuations.  </w:t>
      </w:r>
    </w:p>
    <w:p w14:paraId="4B783A9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B700CDE" w14:textId="0ED1DCD5" w:rsidR="0057184A" w:rsidRDefault="0057184A" w:rsidP="00704BDF">
      <w:pPr>
        <w:snapToGrid w:val="0"/>
        <w:spacing w:before="240" w:line="300" w:lineRule="auto"/>
        <w:rPr>
          <w:rFonts w:asciiTheme="minorHAnsi" w:eastAsia="MS PGothic" w:hAnsiTheme="minorHAnsi"/>
          <w:color w:val="000000"/>
          <w:sz w:val="22"/>
          <w:szCs w:val="22"/>
          <w:lang w:val="en-US"/>
        </w:rPr>
      </w:pPr>
      <w:r w:rsidRPr="0057184A">
        <w:rPr>
          <w:rFonts w:asciiTheme="minorHAnsi" w:eastAsia="MS PGothic" w:hAnsiTheme="minorHAnsi"/>
          <w:color w:val="000000"/>
          <w:sz w:val="22"/>
          <w:szCs w:val="22"/>
          <w:lang w:val="en-US"/>
        </w:rPr>
        <w:lastRenderedPageBreak/>
        <w:t>Phenotypic diversification rate is correlated to glycolytic flux in E.coli population</w:t>
      </w:r>
      <w:r>
        <w:rPr>
          <w:rFonts w:asciiTheme="minorHAnsi" w:eastAsia="MS PGothic" w:hAnsiTheme="minorHAnsi"/>
          <w:color w:val="000000"/>
          <w:sz w:val="22"/>
          <w:szCs w:val="22"/>
          <w:lang w:val="en-US"/>
        </w:rPr>
        <w:t xml:space="preserve">. This study suggest. </w:t>
      </w:r>
      <w:r w:rsidRPr="0057184A">
        <w:rPr>
          <w:rFonts w:asciiTheme="minorHAnsi" w:eastAsia="MS PGothic" w:hAnsiTheme="minorHAnsi"/>
          <w:color w:val="000000"/>
          <w:sz w:val="22"/>
          <w:szCs w:val="22"/>
          <w:lang w:val="en-US"/>
        </w:rPr>
        <w:t>a step forward for managing the heterogeneity of microbial systems</w:t>
      </w:r>
      <w:r>
        <w:rPr>
          <w:rFonts w:asciiTheme="minorHAnsi" w:eastAsia="MS PGothic" w:hAnsiTheme="minorHAnsi"/>
          <w:color w:val="000000"/>
          <w:sz w:val="22"/>
          <w:szCs w:val="22"/>
          <w:lang w:val="en-US"/>
        </w:rPr>
        <w:t>.</w:t>
      </w:r>
    </w:p>
    <w:p w14:paraId="656C8145" w14:textId="5BB6B5FA"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spellStart"/>
      <w:r w:rsidRPr="008D0BEB">
        <w:rPr>
          <w:rFonts w:asciiTheme="minorHAnsi" w:eastAsia="MS PGothic" w:hAnsiTheme="minorHAnsi"/>
          <w:b/>
          <w:bCs/>
          <w:color w:val="000000"/>
          <w:sz w:val="20"/>
          <w:lang w:val="en-US"/>
        </w:rPr>
        <w:t>Reference</w:t>
      </w:r>
      <w:proofErr w:type="spellEnd"/>
      <w:r w:rsidRPr="008D0BEB">
        <w:rPr>
          <w:rFonts w:asciiTheme="minorHAnsi" w:eastAsia="MS PGothic" w:hAnsiTheme="minorHAnsi"/>
          <w:b/>
          <w:bCs/>
          <w:color w:val="000000"/>
          <w:sz w:val="20"/>
          <w:lang w:val="en-US"/>
        </w:rPr>
        <w:t xml:space="preserve">s </w:t>
      </w:r>
      <w:r w:rsidR="008D0BEB">
        <w:rPr>
          <w:rFonts w:asciiTheme="minorHAnsi" w:eastAsia="MS PGothic" w:hAnsiTheme="minorHAnsi"/>
          <w:b/>
          <w:bCs/>
          <w:color w:val="000000"/>
          <w:sz w:val="20"/>
          <w:lang w:val="en-US"/>
        </w:rPr>
        <w:t xml:space="preserve"> [Calibri 10]</w:t>
      </w:r>
    </w:p>
    <w:p w14:paraId="4A3B3AF4" w14:textId="77777777" w:rsidR="0057184A" w:rsidRPr="0057184A" w:rsidRDefault="0057184A" w:rsidP="0057184A">
      <w:pPr>
        <w:pStyle w:val="FirstParagraph"/>
        <w:widowControl w:val="0"/>
        <w:tabs>
          <w:tab w:val="left" w:pos="426"/>
        </w:tabs>
        <w:autoSpaceDE w:val="0"/>
        <w:autoSpaceDN w:val="0"/>
        <w:adjustRightInd w:val="0"/>
        <w:spacing w:line="240" w:lineRule="auto"/>
        <w:rPr>
          <w:rFonts w:asciiTheme="minorHAnsi" w:hAnsiTheme="minorHAnsi"/>
          <w:color w:val="000000"/>
        </w:rPr>
      </w:pPr>
      <w:r w:rsidRPr="0057184A">
        <w:rPr>
          <w:rFonts w:asciiTheme="minorHAnsi" w:hAnsiTheme="minorHAnsi"/>
          <w:color w:val="000000"/>
        </w:rPr>
        <w:t xml:space="preserve">1. Kotte O, </w:t>
      </w:r>
      <w:proofErr w:type="spellStart"/>
      <w:r w:rsidRPr="0057184A">
        <w:rPr>
          <w:rFonts w:asciiTheme="minorHAnsi" w:hAnsiTheme="minorHAnsi"/>
          <w:color w:val="000000"/>
        </w:rPr>
        <w:t>Volkmer</w:t>
      </w:r>
      <w:proofErr w:type="spellEnd"/>
      <w:r w:rsidRPr="0057184A">
        <w:rPr>
          <w:rFonts w:asciiTheme="minorHAnsi" w:hAnsiTheme="minorHAnsi"/>
          <w:color w:val="000000"/>
        </w:rPr>
        <w:t xml:space="preserve"> B, </w:t>
      </w:r>
      <w:proofErr w:type="spellStart"/>
      <w:r w:rsidRPr="0057184A">
        <w:rPr>
          <w:rFonts w:asciiTheme="minorHAnsi" w:hAnsiTheme="minorHAnsi"/>
          <w:color w:val="000000"/>
        </w:rPr>
        <w:t>Radzikowski</w:t>
      </w:r>
      <w:proofErr w:type="spellEnd"/>
      <w:r w:rsidRPr="0057184A">
        <w:rPr>
          <w:rFonts w:asciiTheme="minorHAnsi" w:hAnsiTheme="minorHAnsi"/>
          <w:color w:val="000000"/>
        </w:rPr>
        <w:t xml:space="preserve"> JL, Heinemann M. Phenotypic </w:t>
      </w:r>
      <w:proofErr w:type="spellStart"/>
      <w:r w:rsidRPr="0057184A">
        <w:rPr>
          <w:rFonts w:asciiTheme="minorHAnsi" w:hAnsiTheme="minorHAnsi"/>
          <w:color w:val="000000"/>
        </w:rPr>
        <w:t>bistability</w:t>
      </w:r>
      <w:proofErr w:type="spellEnd"/>
      <w:r w:rsidRPr="0057184A">
        <w:rPr>
          <w:rFonts w:asciiTheme="minorHAnsi" w:hAnsiTheme="minorHAnsi"/>
          <w:color w:val="000000"/>
        </w:rPr>
        <w:t xml:space="preserve"> in Escherichia coli’s central carbon metabolism. Mol Syst Biol. 2014;10. </w:t>
      </w:r>
    </w:p>
    <w:p w14:paraId="5D5177C2" w14:textId="77777777" w:rsidR="0057184A" w:rsidRPr="0057184A" w:rsidRDefault="0057184A" w:rsidP="0057184A">
      <w:pPr>
        <w:pStyle w:val="FirstParagraph"/>
        <w:widowControl w:val="0"/>
        <w:tabs>
          <w:tab w:val="left" w:pos="426"/>
        </w:tabs>
        <w:autoSpaceDE w:val="0"/>
        <w:autoSpaceDN w:val="0"/>
        <w:adjustRightInd w:val="0"/>
        <w:spacing w:line="240" w:lineRule="auto"/>
        <w:rPr>
          <w:rFonts w:asciiTheme="minorHAnsi" w:hAnsiTheme="minorHAnsi"/>
          <w:color w:val="000000"/>
        </w:rPr>
      </w:pPr>
      <w:r w:rsidRPr="0057184A">
        <w:rPr>
          <w:rFonts w:asciiTheme="minorHAnsi" w:hAnsiTheme="minorHAnsi"/>
          <w:color w:val="000000"/>
        </w:rPr>
        <w:t xml:space="preserve">2. </w:t>
      </w:r>
      <w:proofErr w:type="spellStart"/>
      <w:r w:rsidRPr="0057184A">
        <w:rPr>
          <w:rFonts w:asciiTheme="minorHAnsi" w:hAnsiTheme="minorHAnsi"/>
          <w:color w:val="000000"/>
        </w:rPr>
        <w:t>Solopova</w:t>
      </w:r>
      <w:proofErr w:type="spellEnd"/>
      <w:r w:rsidRPr="0057184A">
        <w:rPr>
          <w:rFonts w:asciiTheme="minorHAnsi" w:hAnsiTheme="minorHAnsi"/>
          <w:color w:val="000000"/>
        </w:rPr>
        <w:t xml:space="preserve"> A, van </w:t>
      </w:r>
      <w:proofErr w:type="spellStart"/>
      <w:r w:rsidRPr="0057184A">
        <w:rPr>
          <w:rFonts w:asciiTheme="minorHAnsi" w:hAnsiTheme="minorHAnsi"/>
          <w:color w:val="000000"/>
        </w:rPr>
        <w:t>Gestel</w:t>
      </w:r>
      <w:proofErr w:type="spellEnd"/>
      <w:r w:rsidRPr="0057184A">
        <w:rPr>
          <w:rFonts w:asciiTheme="minorHAnsi" w:hAnsiTheme="minorHAnsi"/>
          <w:color w:val="000000"/>
        </w:rPr>
        <w:t xml:space="preserve"> J, </w:t>
      </w:r>
      <w:proofErr w:type="spellStart"/>
      <w:r w:rsidRPr="0057184A">
        <w:rPr>
          <w:rFonts w:asciiTheme="minorHAnsi" w:hAnsiTheme="minorHAnsi"/>
          <w:color w:val="000000"/>
        </w:rPr>
        <w:t>Weissing</w:t>
      </w:r>
      <w:proofErr w:type="spellEnd"/>
      <w:r w:rsidRPr="0057184A">
        <w:rPr>
          <w:rFonts w:asciiTheme="minorHAnsi" w:hAnsiTheme="minorHAnsi"/>
          <w:color w:val="000000"/>
        </w:rPr>
        <w:t xml:space="preserve"> FJ, Bachmann H, </w:t>
      </w:r>
      <w:proofErr w:type="spellStart"/>
      <w:r w:rsidRPr="0057184A">
        <w:rPr>
          <w:rFonts w:asciiTheme="minorHAnsi" w:hAnsiTheme="minorHAnsi"/>
          <w:color w:val="000000"/>
        </w:rPr>
        <w:t>Teusink</w:t>
      </w:r>
      <w:proofErr w:type="spellEnd"/>
      <w:r w:rsidRPr="0057184A">
        <w:rPr>
          <w:rFonts w:asciiTheme="minorHAnsi" w:hAnsiTheme="minorHAnsi"/>
          <w:color w:val="000000"/>
        </w:rPr>
        <w:t xml:space="preserve"> B, </w:t>
      </w:r>
      <w:proofErr w:type="spellStart"/>
      <w:r w:rsidRPr="0057184A">
        <w:rPr>
          <w:rFonts w:asciiTheme="minorHAnsi" w:hAnsiTheme="minorHAnsi"/>
          <w:color w:val="000000"/>
        </w:rPr>
        <w:t>Kok</w:t>
      </w:r>
      <w:proofErr w:type="spellEnd"/>
      <w:r w:rsidRPr="0057184A">
        <w:rPr>
          <w:rFonts w:asciiTheme="minorHAnsi" w:hAnsiTheme="minorHAnsi"/>
          <w:color w:val="000000"/>
        </w:rPr>
        <w:t xml:space="preserve"> J, et al. Bet-hedging during bacterial diauxic shift. Proc Natl </w:t>
      </w:r>
      <w:proofErr w:type="spellStart"/>
      <w:r w:rsidRPr="0057184A">
        <w:rPr>
          <w:rFonts w:asciiTheme="minorHAnsi" w:hAnsiTheme="minorHAnsi"/>
          <w:color w:val="000000"/>
        </w:rPr>
        <w:t>Acad</w:t>
      </w:r>
      <w:proofErr w:type="spellEnd"/>
      <w:r w:rsidRPr="0057184A">
        <w:rPr>
          <w:rFonts w:asciiTheme="minorHAnsi" w:hAnsiTheme="minorHAnsi"/>
          <w:color w:val="000000"/>
        </w:rPr>
        <w:t xml:space="preserve"> Sci U S A. 2014;111:7427–32. </w:t>
      </w:r>
    </w:p>
    <w:p w14:paraId="196C3481" w14:textId="77777777" w:rsidR="0057184A" w:rsidRPr="0057184A" w:rsidRDefault="0057184A" w:rsidP="0057184A">
      <w:pPr>
        <w:pStyle w:val="FirstParagraph"/>
        <w:widowControl w:val="0"/>
        <w:tabs>
          <w:tab w:val="left" w:pos="426"/>
        </w:tabs>
        <w:autoSpaceDE w:val="0"/>
        <w:autoSpaceDN w:val="0"/>
        <w:adjustRightInd w:val="0"/>
        <w:spacing w:line="240" w:lineRule="auto"/>
        <w:rPr>
          <w:rFonts w:asciiTheme="minorHAnsi" w:hAnsiTheme="minorHAnsi"/>
          <w:color w:val="000000"/>
        </w:rPr>
      </w:pPr>
      <w:r w:rsidRPr="0057184A">
        <w:rPr>
          <w:rFonts w:asciiTheme="minorHAnsi" w:hAnsiTheme="minorHAnsi"/>
          <w:color w:val="000000"/>
          <w:lang w:val="de-DE"/>
        </w:rPr>
        <w:t xml:space="preserve">3. Binder D, </w:t>
      </w:r>
      <w:proofErr w:type="spellStart"/>
      <w:r w:rsidRPr="0057184A">
        <w:rPr>
          <w:rFonts w:asciiTheme="minorHAnsi" w:hAnsiTheme="minorHAnsi"/>
          <w:color w:val="000000"/>
          <w:lang w:val="de-DE"/>
        </w:rPr>
        <w:t>Drepper</w:t>
      </w:r>
      <w:proofErr w:type="spellEnd"/>
      <w:r w:rsidRPr="0057184A">
        <w:rPr>
          <w:rFonts w:asciiTheme="minorHAnsi" w:hAnsiTheme="minorHAnsi"/>
          <w:color w:val="000000"/>
          <w:lang w:val="de-DE"/>
        </w:rPr>
        <w:t xml:space="preserve"> T, Jaeger K-E, </w:t>
      </w:r>
      <w:proofErr w:type="spellStart"/>
      <w:r w:rsidRPr="0057184A">
        <w:rPr>
          <w:rFonts w:asciiTheme="minorHAnsi" w:hAnsiTheme="minorHAnsi"/>
          <w:color w:val="000000"/>
          <w:lang w:val="de-DE"/>
        </w:rPr>
        <w:t>Delvigne</w:t>
      </w:r>
      <w:proofErr w:type="spellEnd"/>
      <w:r w:rsidRPr="0057184A">
        <w:rPr>
          <w:rFonts w:asciiTheme="minorHAnsi" w:hAnsiTheme="minorHAnsi"/>
          <w:color w:val="000000"/>
          <w:lang w:val="de-DE"/>
        </w:rPr>
        <w:t xml:space="preserve"> F, Wiechert W, </w:t>
      </w:r>
      <w:proofErr w:type="spellStart"/>
      <w:r w:rsidRPr="0057184A">
        <w:rPr>
          <w:rFonts w:asciiTheme="minorHAnsi" w:hAnsiTheme="minorHAnsi"/>
          <w:color w:val="000000"/>
          <w:lang w:val="de-DE"/>
        </w:rPr>
        <w:t>Kohlheyer</w:t>
      </w:r>
      <w:proofErr w:type="spellEnd"/>
      <w:r w:rsidRPr="0057184A">
        <w:rPr>
          <w:rFonts w:asciiTheme="minorHAnsi" w:hAnsiTheme="minorHAnsi"/>
          <w:color w:val="000000"/>
          <w:lang w:val="de-DE"/>
        </w:rPr>
        <w:t xml:space="preserve"> D, et al. </w:t>
      </w:r>
      <w:r w:rsidRPr="0057184A">
        <w:rPr>
          <w:rFonts w:asciiTheme="minorHAnsi" w:hAnsiTheme="minorHAnsi"/>
          <w:color w:val="000000"/>
        </w:rPr>
        <w:t xml:space="preserve">Homogenizing bacterial cell factories: Analysis and engineering of phenotypic heterogeneity. </w:t>
      </w:r>
      <w:proofErr w:type="spellStart"/>
      <w:r w:rsidRPr="0057184A">
        <w:rPr>
          <w:rFonts w:asciiTheme="minorHAnsi" w:hAnsiTheme="minorHAnsi"/>
          <w:color w:val="000000"/>
        </w:rPr>
        <w:t>Metab</w:t>
      </w:r>
      <w:proofErr w:type="spellEnd"/>
      <w:r w:rsidRPr="0057184A">
        <w:rPr>
          <w:rFonts w:asciiTheme="minorHAnsi" w:hAnsiTheme="minorHAnsi"/>
          <w:color w:val="000000"/>
        </w:rPr>
        <w:t xml:space="preserve"> Eng. 2017;42:145–56. </w:t>
      </w:r>
    </w:p>
    <w:p w14:paraId="67270956" w14:textId="77777777" w:rsidR="0057184A" w:rsidRPr="0057184A" w:rsidRDefault="0057184A" w:rsidP="0057184A">
      <w:pPr>
        <w:pStyle w:val="FirstParagraph"/>
        <w:widowControl w:val="0"/>
        <w:tabs>
          <w:tab w:val="left" w:pos="426"/>
        </w:tabs>
        <w:autoSpaceDE w:val="0"/>
        <w:autoSpaceDN w:val="0"/>
        <w:adjustRightInd w:val="0"/>
        <w:spacing w:line="240" w:lineRule="auto"/>
        <w:rPr>
          <w:rFonts w:asciiTheme="minorHAnsi" w:hAnsiTheme="minorHAnsi"/>
          <w:color w:val="000000"/>
        </w:rPr>
      </w:pPr>
      <w:r w:rsidRPr="0057184A">
        <w:rPr>
          <w:rFonts w:asciiTheme="minorHAnsi" w:hAnsiTheme="minorHAnsi"/>
          <w:color w:val="000000"/>
        </w:rPr>
        <w:t xml:space="preserve">4. Sassi H, Nguyen Minh T, </w:t>
      </w:r>
      <w:proofErr w:type="spellStart"/>
      <w:r w:rsidRPr="0057184A">
        <w:rPr>
          <w:rFonts w:asciiTheme="minorHAnsi" w:hAnsiTheme="minorHAnsi"/>
          <w:color w:val="000000"/>
        </w:rPr>
        <w:t>Telek</w:t>
      </w:r>
      <w:proofErr w:type="spellEnd"/>
      <w:r w:rsidRPr="0057184A">
        <w:rPr>
          <w:rFonts w:asciiTheme="minorHAnsi" w:hAnsiTheme="minorHAnsi"/>
          <w:color w:val="000000"/>
        </w:rPr>
        <w:t xml:space="preserve"> S, </w:t>
      </w:r>
      <w:proofErr w:type="spellStart"/>
      <w:r w:rsidRPr="0057184A">
        <w:rPr>
          <w:rFonts w:asciiTheme="minorHAnsi" w:hAnsiTheme="minorHAnsi"/>
          <w:color w:val="000000"/>
        </w:rPr>
        <w:t>Gosset</w:t>
      </w:r>
      <w:proofErr w:type="spellEnd"/>
      <w:r w:rsidRPr="0057184A">
        <w:rPr>
          <w:rFonts w:asciiTheme="minorHAnsi" w:hAnsiTheme="minorHAnsi"/>
          <w:color w:val="000000"/>
        </w:rPr>
        <w:t xml:space="preserve"> G, </w:t>
      </w:r>
      <w:proofErr w:type="spellStart"/>
      <w:r w:rsidRPr="0057184A">
        <w:rPr>
          <w:rFonts w:asciiTheme="minorHAnsi" w:hAnsiTheme="minorHAnsi"/>
          <w:color w:val="000000"/>
        </w:rPr>
        <w:t>Grunberger</w:t>
      </w:r>
      <w:proofErr w:type="spellEnd"/>
      <w:r w:rsidRPr="0057184A">
        <w:rPr>
          <w:rFonts w:asciiTheme="minorHAnsi" w:hAnsiTheme="minorHAnsi"/>
          <w:color w:val="000000"/>
        </w:rPr>
        <w:t xml:space="preserve"> A, </w:t>
      </w:r>
      <w:proofErr w:type="spellStart"/>
      <w:r w:rsidRPr="0057184A">
        <w:rPr>
          <w:rFonts w:asciiTheme="minorHAnsi" w:hAnsiTheme="minorHAnsi"/>
          <w:color w:val="000000"/>
        </w:rPr>
        <w:t>Delvigne</w:t>
      </w:r>
      <w:proofErr w:type="spellEnd"/>
      <w:r w:rsidRPr="0057184A">
        <w:rPr>
          <w:rFonts w:asciiTheme="minorHAnsi" w:hAnsiTheme="minorHAnsi"/>
          <w:color w:val="000000"/>
        </w:rPr>
        <w:t xml:space="preserve"> F. </w:t>
      </w:r>
      <w:proofErr w:type="spellStart"/>
      <w:r w:rsidRPr="0057184A">
        <w:rPr>
          <w:rFonts w:asciiTheme="minorHAnsi" w:hAnsiTheme="minorHAnsi"/>
          <w:color w:val="000000"/>
        </w:rPr>
        <w:t>Segregostat</w:t>
      </w:r>
      <w:proofErr w:type="spellEnd"/>
      <w:r w:rsidRPr="0057184A">
        <w:rPr>
          <w:rFonts w:asciiTheme="minorHAnsi" w:hAnsiTheme="minorHAnsi"/>
          <w:color w:val="000000"/>
        </w:rPr>
        <w:t xml:space="preserve">: A novel concept to control phenotypic diversification dynamics on the example of Gram-negative bacteria. </w:t>
      </w:r>
      <w:proofErr w:type="spellStart"/>
      <w:r w:rsidRPr="0057184A">
        <w:rPr>
          <w:rFonts w:asciiTheme="minorHAnsi" w:hAnsiTheme="minorHAnsi"/>
          <w:color w:val="000000"/>
        </w:rPr>
        <w:t>BioRXiv</w:t>
      </w:r>
      <w:proofErr w:type="spellEnd"/>
      <w:r w:rsidRPr="0057184A">
        <w:rPr>
          <w:rFonts w:asciiTheme="minorHAnsi" w:hAnsiTheme="minorHAnsi"/>
          <w:color w:val="000000"/>
        </w:rPr>
        <w:t xml:space="preserve">. 542704. </w:t>
      </w:r>
    </w:p>
    <w:p w14:paraId="13F16674"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D4A2" w14:textId="77777777" w:rsidR="005162D6" w:rsidRDefault="005162D6" w:rsidP="004F5E36">
      <w:r>
        <w:separator/>
      </w:r>
    </w:p>
  </w:endnote>
  <w:endnote w:type="continuationSeparator" w:id="0">
    <w:p w14:paraId="69C99884" w14:textId="77777777" w:rsidR="005162D6" w:rsidRDefault="005162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0407B" w14:textId="77777777" w:rsidR="005162D6" w:rsidRDefault="005162D6" w:rsidP="004F5E36">
      <w:r>
        <w:separator/>
      </w:r>
    </w:p>
  </w:footnote>
  <w:footnote w:type="continuationSeparator" w:id="0">
    <w:p w14:paraId="0BD708C1" w14:textId="77777777" w:rsidR="005162D6" w:rsidRDefault="005162D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8ED9"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2BA7E7E9" wp14:editId="6378B1B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284735D7" wp14:editId="4EE949F4">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85C8"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66C6EF1A" wp14:editId="78CFB40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0F423302" w14:textId="77777777" w:rsidR="00704BDF" w:rsidRDefault="00704BDF">
    <w:pPr>
      <w:pStyle w:val="Header"/>
    </w:pPr>
  </w:p>
  <w:p w14:paraId="79AB962F"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533951FE" wp14:editId="590B6FF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162D6"/>
    <w:rsid w:val="005278B7"/>
    <w:rsid w:val="005346C8"/>
    <w:rsid w:val="0057184A"/>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17294"/>
    <w:rsid w:val="008479A2"/>
    <w:rsid w:val="0085508C"/>
    <w:rsid w:val="0087637F"/>
    <w:rsid w:val="0088406D"/>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158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0AF5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57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65F9-2D58-42C1-90CC-50F18F62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Nguyen Minh Thai</cp:lastModifiedBy>
  <cp:revision>2</cp:revision>
  <cp:lastPrinted>2015-05-12T18:31:00Z</cp:lastPrinted>
  <dcterms:created xsi:type="dcterms:W3CDTF">2019-04-29T11:04:00Z</dcterms:created>
  <dcterms:modified xsi:type="dcterms:W3CDTF">2019-04-29T11:04:00Z</dcterms:modified>
</cp:coreProperties>
</file>