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F923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B459E2F" w14:textId="77777777" w:rsidR="0090772A" w:rsidRPr="0090772A" w:rsidRDefault="0090772A" w:rsidP="0090772A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Vapor-Liquid Phase Equilibrium </w:t>
      </w:r>
      <w:r w:rsidRPr="0090772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for Binary Systems Containing </w:t>
      </w:r>
    </w:p>
    <w:p w14:paraId="38D2758C" w14:textId="40261CC5" w:rsidR="00704BDF" w:rsidRPr="005975A0" w:rsidRDefault="0090772A" w:rsidP="0090772A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975A0">
        <w:rPr>
          <w:rFonts w:asciiTheme="minorHAnsi" w:eastAsia="MS PGothic" w:hAnsiTheme="minorHAnsi"/>
          <w:b/>
          <w:bCs/>
          <w:sz w:val="28"/>
          <w:szCs w:val="28"/>
          <w:lang w:val="en-US"/>
        </w:rPr>
        <w:t>1,2,</w:t>
      </w:r>
      <w:r w:rsidR="00642AD2" w:rsidRPr="005975A0">
        <w:rPr>
          <w:rFonts w:asciiTheme="minorHAnsi" w:eastAsia="MS PGothic" w:hAnsiTheme="minorHAnsi"/>
          <w:b/>
          <w:bCs/>
          <w:sz w:val="28"/>
          <w:szCs w:val="28"/>
          <w:lang w:val="en-US"/>
        </w:rPr>
        <w:t>4-Trimethylbenzene and Aromatic</w:t>
      </w:r>
      <w:r w:rsidRPr="005975A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Compounds </w:t>
      </w:r>
    </w:p>
    <w:p w14:paraId="7CF45B17" w14:textId="27BF5E8F" w:rsidR="00DE0019" w:rsidRPr="00DE3503" w:rsidRDefault="00316AE3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Salal Hasan Kh</w:t>
      </w:r>
      <w:r w:rsidR="00C821D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udaida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616C2E" w:rsidRPr="00616C2E">
        <w:rPr>
          <w:rFonts w:asciiTheme="minorHAnsi" w:hAnsiTheme="minorHAnsi" w:cstheme="minorHAnsi"/>
          <w:sz w:val="24"/>
          <w:szCs w:val="24"/>
        </w:rPr>
        <w:t>Ming-Jer Lee</w:t>
      </w:r>
      <w:r w:rsidR="007E0A2C">
        <w:rPr>
          <w:rFonts w:asciiTheme="minorHAnsi" w:hAnsiTheme="minorHAnsi" w:cstheme="minorHAnsi"/>
          <w:sz w:val="24"/>
          <w:szCs w:val="24"/>
        </w:rPr>
        <w:t>*</w:t>
      </w:r>
      <w:r w:rsidR="003901D8" w:rsidRPr="00DE350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 xml:space="preserve"> </w:t>
      </w:r>
      <w:bookmarkStart w:id="0" w:name="_GoBack"/>
      <w:bookmarkEnd w:id="0"/>
    </w:p>
    <w:p w14:paraId="45577C63" w14:textId="77777777" w:rsidR="00416FD5" w:rsidRPr="003901D8" w:rsidRDefault="00416FD5" w:rsidP="00416FD5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Theme="minorHAnsi" w:eastAsia="新細明體" w:hAnsiTheme="minorHAnsi" w:cstheme="minorHAnsi"/>
          <w:i/>
          <w:sz w:val="20"/>
          <w:lang w:eastAsia="zh-TW"/>
        </w:rPr>
      </w:pPr>
      <w:r w:rsidRPr="003901D8">
        <w:rPr>
          <w:rFonts w:asciiTheme="minorHAnsi" w:eastAsia="Batang" w:hAnsiTheme="minorHAnsi" w:cstheme="minorHAnsi"/>
          <w:i/>
          <w:kern w:val="2"/>
          <w:sz w:val="20"/>
          <w:lang w:eastAsia="ko-KR"/>
        </w:rPr>
        <w:t>Department of Chemical Engineering</w:t>
      </w:r>
      <w:r w:rsidRPr="003901D8">
        <w:rPr>
          <w:rFonts w:asciiTheme="minorHAnsi" w:eastAsia="Batang" w:hAnsiTheme="minorHAnsi" w:cstheme="minorHAnsi"/>
          <w:i/>
          <w:kern w:val="2"/>
          <w:sz w:val="20"/>
          <w:lang w:eastAsia="zh-TW"/>
        </w:rPr>
        <w:t>,</w:t>
      </w:r>
      <w:r w:rsidRPr="003901D8">
        <w:rPr>
          <w:rFonts w:asciiTheme="minorHAnsi" w:eastAsia="Batang" w:hAnsiTheme="minorHAnsi" w:cstheme="minorHAnsi"/>
          <w:i/>
          <w:kern w:val="2"/>
          <w:sz w:val="20"/>
          <w:lang w:eastAsia="ko-KR"/>
        </w:rPr>
        <w:t xml:space="preserve"> National Taiwan University of Science and Technology</w:t>
      </w:r>
      <w:r w:rsidRPr="003901D8">
        <w:rPr>
          <w:rFonts w:asciiTheme="minorHAnsi" w:eastAsia="新細明體" w:hAnsiTheme="minorHAnsi" w:cstheme="minorHAnsi"/>
          <w:i/>
          <w:sz w:val="20"/>
          <w:lang w:eastAsia="zh-TW"/>
        </w:rPr>
        <w:t xml:space="preserve"> </w:t>
      </w:r>
    </w:p>
    <w:p w14:paraId="484BC5B2" w14:textId="77777777" w:rsidR="00704BDF" w:rsidRPr="003901D8" w:rsidRDefault="00416FD5" w:rsidP="00416FD5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Theme="minorHAnsi" w:eastAsia="新細明體" w:hAnsiTheme="minorHAnsi" w:cstheme="minorHAnsi"/>
          <w:i/>
          <w:kern w:val="2"/>
          <w:sz w:val="20"/>
          <w:lang w:eastAsia="zh-TW"/>
        </w:rPr>
      </w:pPr>
      <w:r w:rsidRPr="003901D8">
        <w:rPr>
          <w:rFonts w:asciiTheme="minorHAnsi" w:eastAsia="Batang" w:hAnsiTheme="minorHAnsi" w:cstheme="minorHAnsi"/>
          <w:i/>
          <w:kern w:val="2"/>
          <w:sz w:val="20"/>
          <w:lang w:eastAsia="ko-KR"/>
        </w:rPr>
        <w:t>43 Keelung Road, Section 4, Taipei 106-07, Taiwan</w:t>
      </w:r>
    </w:p>
    <w:p w14:paraId="1DEC0E70" w14:textId="77777777" w:rsidR="00616C2E" w:rsidRDefault="00616C2E" w:rsidP="00616C2E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jc w:val="center"/>
        <w:rPr>
          <w:rStyle w:val="Hyperlink"/>
          <w:rFonts w:asciiTheme="minorHAnsi" w:eastAsia="Batang" w:hAnsiTheme="minorHAnsi" w:cstheme="minorHAnsi"/>
          <w:color w:val="auto"/>
          <w:kern w:val="2"/>
          <w:lang w:eastAsia="zh-TW"/>
        </w:rPr>
      </w:pPr>
      <w:r w:rsidRPr="00616C2E">
        <w:rPr>
          <w:rFonts w:asciiTheme="minorHAnsi" w:hAnsiTheme="minorHAnsi" w:cstheme="minorHAnsi"/>
        </w:rPr>
        <w:t>Corresponding author e-mail:</w:t>
      </w:r>
      <w:r w:rsidRPr="00616C2E">
        <w:rPr>
          <w:rFonts w:asciiTheme="minorHAnsi" w:hAnsiTheme="minorHAnsi" w:cstheme="minorHAnsi"/>
          <w:u w:val="single"/>
        </w:rPr>
        <w:t xml:space="preserve"> </w:t>
      </w:r>
      <w:hyperlink r:id="rId10" w:history="1">
        <w:r w:rsidRPr="00616C2E">
          <w:rPr>
            <w:rStyle w:val="Hyperlink"/>
            <w:rFonts w:asciiTheme="minorHAnsi" w:eastAsia="Batang" w:hAnsiTheme="minorHAnsi" w:cstheme="minorHAnsi"/>
            <w:kern w:val="2"/>
            <w:lang w:eastAsia="zh-TW"/>
          </w:rPr>
          <w:t>mjlee@mail.ntust.edu.tw</w:t>
        </w:r>
      </w:hyperlink>
    </w:p>
    <w:p w14:paraId="03F2B130" w14:textId="77777777" w:rsidR="00704BDF" w:rsidRPr="00EC66CC" w:rsidRDefault="00704BDF" w:rsidP="00616C2E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jc w:val="left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0843164" w14:textId="0C8DDFBE" w:rsidR="00704BDF" w:rsidRPr="005975A0" w:rsidRDefault="00A17894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5975A0">
        <w:rPr>
          <w:rFonts w:asciiTheme="minorHAnsi" w:hAnsiTheme="minorHAnsi" w:cstheme="minorHAnsi"/>
          <w:b/>
        </w:rPr>
        <w:t>The isothermal VLE data were measured for 1,2,4-trimethyl benzene</w:t>
      </w:r>
      <w:r w:rsidR="002F6AEB" w:rsidRPr="005975A0">
        <w:rPr>
          <w:rFonts w:asciiTheme="minorHAnsi" w:hAnsiTheme="minorHAnsi" w:cstheme="minorHAnsi"/>
          <w:b/>
        </w:rPr>
        <w:t xml:space="preserve"> + </w:t>
      </w:r>
      <w:r w:rsidR="002F6AEB" w:rsidRPr="005975A0">
        <w:rPr>
          <w:rFonts w:asciiTheme="minorHAnsi" w:hAnsiTheme="minorHAnsi" w:cstheme="minorHAnsi"/>
          <w:b/>
          <w:i/>
        </w:rPr>
        <w:t>m</w:t>
      </w:r>
      <w:r w:rsidRPr="005975A0">
        <w:rPr>
          <w:rFonts w:asciiTheme="minorHAnsi" w:hAnsiTheme="minorHAnsi" w:cstheme="minorHAnsi"/>
          <w:b/>
        </w:rPr>
        <w:t xml:space="preserve">-xylene </w:t>
      </w:r>
      <w:r w:rsidR="00996FCD" w:rsidRPr="005975A0">
        <w:rPr>
          <w:rFonts w:asciiTheme="minorHAnsi" w:hAnsiTheme="minorHAnsi" w:cstheme="minorHAnsi"/>
          <w:b/>
        </w:rPr>
        <w:t xml:space="preserve"> and</w:t>
      </w:r>
      <w:r w:rsidRPr="005975A0">
        <w:rPr>
          <w:rFonts w:asciiTheme="minorHAnsi" w:hAnsiTheme="minorHAnsi" w:cstheme="minorHAnsi"/>
          <w:b/>
        </w:rPr>
        <w:t xml:space="preserve"> 1,2,4-trimethyl benzene + </w:t>
      </w:r>
      <w:r w:rsidRPr="005975A0">
        <w:rPr>
          <w:rFonts w:asciiTheme="minorHAnsi" w:hAnsiTheme="minorHAnsi" w:cstheme="minorHAnsi"/>
          <w:b/>
          <w:i/>
        </w:rPr>
        <w:t>p</w:t>
      </w:r>
      <w:r w:rsidRPr="005975A0">
        <w:rPr>
          <w:rFonts w:asciiTheme="minorHAnsi" w:hAnsiTheme="minorHAnsi" w:cstheme="minorHAnsi"/>
          <w:b/>
        </w:rPr>
        <w:t xml:space="preserve">-xylene </w:t>
      </w:r>
      <w:r w:rsidR="00996FCD" w:rsidRPr="005975A0">
        <w:rPr>
          <w:rFonts w:asciiTheme="minorHAnsi" w:hAnsiTheme="minorHAnsi" w:cstheme="minorHAnsi"/>
          <w:b/>
        </w:rPr>
        <w:t>systems</w:t>
      </w:r>
      <w:r w:rsidR="00FE4227" w:rsidRPr="005975A0">
        <w:rPr>
          <w:rFonts w:asciiTheme="minorHAnsi" w:hAnsiTheme="minorHAnsi" w:cstheme="minorHAnsi"/>
          <w:b/>
        </w:rPr>
        <w:t xml:space="preserve"> at temperature</w:t>
      </w:r>
      <w:r w:rsidR="00642AD2" w:rsidRPr="005975A0">
        <w:rPr>
          <w:rFonts w:asciiTheme="minorHAnsi" w:hAnsiTheme="minorHAnsi" w:cstheme="minorHAnsi"/>
          <w:b/>
        </w:rPr>
        <w:t>s</w:t>
      </w:r>
      <w:r w:rsidR="00FE4227" w:rsidRPr="005975A0">
        <w:rPr>
          <w:rFonts w:asciiTheme="minorHAnsi" w:hAnsiTheme="minorHAnsi" w:cstheme="minorHAnsi"/>
          <w:b/>
        </w:rPr>
        <w:t xml:space="preserve"> from 363.15 K </w:t>
      </w:r>
      <w:r w:rsidR="007E0A2C" w:rsidRPr="005975A0">
        <w:rPr>
          <w:rFonts w:asciiTheme="minorHAnsi" w:hAnsiTheme="minorHAnsi" w:cstheme="minorHAnsi"/>
          <w:b/>
        </w:rPr>
        <w:t xml:space="preserve">to </w:t>
      </w:r>
      <w:r w:rsidR="00FE4227" w:rsidRPr="005975A0">
        <w:rPr>
          <w:rFonts w:asciiTheme="minorHAnsi" w:hAnsiTheme="minorHAnsi" w:cstheme="minorHAnsi"/>
          <w:b/>
        </w:rPr>
        <w:t xml:space="preserve">473.15 K using </w:t>
      </w:r>
      <w:r w:rsidR="00BF4802" w:rsidRPr="005975A0">
        <w:rPr>
          <w:rFonts w:asciiTheme="minorHAnsi" w:hAnsiTheme="minorHAnsi" w:cstheme="minorHAnsi"/>
          <w:b/>
        </w:rPr>
        <w:t xml:space="preserve">a </w:t>
      </w:r>
      <w:r w:rsidR="00A956AC" w:rsidRPr="005975A0">
        <w:rPr>
          <w:rFonts w:asciiTheme="minorHAnsi" w:hAnsiTheme="minorHAnsi" w:cstheme="minorHAnsi"/>
          <w:b/>
        </w:rPr>
        <w:t>static apparatus</w:t>
      </w:r>
      <w:r w:rsidRPr="005975A0">
        <w:rPr>
          <w:rFonts w:asciiTheme="minorHAnsi" w:hAnsiTheme="minorHAnsi" w:cstheme="minorHAnsi"/>
          <w:b/>
        </w:rPr>
        <w:t xml:space="preserve">. </w:t>
      </w:r>
    </w:p>
    <w:p w14:paraId="32229A5E" w14:textId="77B7885B" w:rsidR="00704BDF" w:rsidRPr="005975A0" w:rsidRDefault="008C0B5F" w:rsidP="00704BDF">
      <w:pPr>
        <w:pStyle w:val="AbstractBody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5975A0">
        <w:rPr>
          <w:rFonts w:asciiTheme="minorHAnsi" w:hAnsiTheme="minorHAnsi" w:cstheme="minorHAnsi"/>
          <w:b/>
        </w:rPr>
        <w:t>Experi</w:t>
      </w:r>
      <w:r w:rsidR="00987C72" w:rsidRPr="005975A0">
        <w:rPr>
          <w:rFonts w:asciiTheme="minorHAnsi" w:hAnsiTheme="minorHAnsi" w:cstheme="minorHAnsi"/>
          <w:b/>
        </w:rPr>
        <w:t>mental VLE data were correlated</w:t>
      </w:r>
      <w:r w:rsidR="0054460D" w:rsidRPr="005975A0">
        <w:rPr>
          <w:rFonts w:asciiTheme="minorHAnsi" w:hAnsiTheme="minorHAnsi" w:cstheme="minorHAnsi"/>
          <w:b/>
        </w:rPr>
        <w:t xml:space="preserve"> well</w:t>
      </w:r>
      <w:r w:rsidR="00987C72" w:rsidRPr="005975A0">
        <w:rPr>
          <w:rFonts w:asciiTheme="minorHAnsi" w:hAnsiTheme="minorHAnsi" w:cstheme="minorHAnsi"/>
          <w:b/>
        </w:rPr>
        <w:t xml:space="preserve"> </w:t>
      </w:r>
      <w:r w:rsidR="007E0A2C" w:rsidRPr="005975A0">
        <w:rPr>
          <w:rFonts w:asciiTheme="minorHAnsi" w:hAnsiTheme="minorHAnsi" w:cstheme="minorHAnsi"/>
          <w:b/>
        </w:rPr>
        <w:t xml:space="preserve">with the </w:t>
      </w:r>
      <w:r w:rsidRPr="005975A0">
        <w:rPr>
          <w:rFonts w:asciiTheme="minorHAnsi" w:hAnsiTheme="minorHAnsi" w:cstheme="minorHAnsi"/>
          <w:b/>
        </w:rPr>
        <w:t>NRTL-HOC model</w:t>
      </w:r>
      <w:r w:rsidR="00704BDF" w:rsidRPr="005975A0">
        <w:rPr>
          <w:rFonts w:asciiTheme="minorHAnsi" w:hAnsiTheme="minorHAnsi" w:cstheme="minorHAnsi"/>
          <w:b/>
        </w:rPr>
        <w:t xml:space="preserve">. </w:t>
      </w:r>
    </w:p>
    <w:p w14:paraId="7488D3C0" w14:textId="77777777" w:rsidR="00704BDF" w:rsidRPr="005975A0" w:rsidRDefault="00704BDF" w:rsidP="00870B4B">
      <w:pPr>
        <w:pStyle w:val="AbstractBody"/>
        <w:ind w:left="1440"/>
        <w:rPr>
          <w:rFonts w:asciiTheme="minorHAnsi" w:hAnsiTheme="minorHAnsi"/>
        </w:rPr>
      </w:pPr>
      <w:r w:rsidRPr="005975A0">
        <w:rPr>
          <w:rFonts w:asciiTheme="minorHAnsi" w:hAnsiTheme="minorHAnsi"/>
        </w:rPr>
        <w:t xml:space="preserve"> </w:t>
      </w:r>
    </w:p>
    <w:p w14:paraId="40305127" w14:textId="77777777" w:rsidR="00704BDF" w:rsidRPr="005975A0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5975A0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14:paraId="18A62E4C" w14:textId="406957E7" w:rsidR="00C867B1" w:rsidRPr="005975A0" w:rsidRDefault="008F0CED" w:rsidP="00D7766F">
      <w:pPr>
        <w:snapToGri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5975A0">
        <w:rPr>
          <w:rFonts w:asciiTheme="minorHAnsi" w:hAnsiTheme="minorHAnsi" w:cstheme="minorHAnsi"/>
          <w:sz w:val="22"/>
          <w:szCs w:val="22"/>
        </w:rPr>
        <w:t>For conducting the process simulation f</w:t>
      </w:r>
      <w:r w:rsidR="00642AD2" w:rsidRPr="005975A0">
        <w:rPr>
          <w:rFonts w:asciiTheme="minorHAnsi" w:hAnsiTheme="minorHAnsi" w:cstheme="minorHAnsi"/>
          <w:sz w:val="22"/>
          <w:szCs w:val="22"/>
        </w:rPr>
        <w:t>or</w:t>
      </w:r>
      <w:r w:rsidRPr="005975A0">
        <w:rPr>
          <w:rFonts w:asciiTheme="minorHAnsi" w:hAnsiTheme="minorHAnsi" w:cstheme="minorHAnsi"/>
          <w:sz w:val="22"/>
          <w:szCs w:val="22"/>
        </w:rPr>
        <w:t xml:space="preserve"> a</w:t>
      </w:r>
      <w:r w:rsidR="0054460D" w:rsidRPr="005975A0">
        <w:rPr>
          <w:rFonts w:asciiTheme="minorHAnsi" w:hAnsiTheme="minorHAnsi" w:cstheme="minorHAnsi"/>
          <w:sz w:val="22"/>
          <w:szCs w:val="22"/>
        </w:rPr>
        <w:t xml:space="preserve">n oil </w:t>
      </w:r>
      <w:r w:rsidRPr="005975A0">
        <w:rPr>
          <w:rFonts w:asciiTheme="minorHAnsi" w:hAnsiTheme="minorHAnsi" w:cstheme="minorHAnsi"/>
          <w:sz w:val="22"/>
          <w:szCs w:val="22"/>
        </w:rPr>
        <w:t xml:space="preserve">refinery plant, we need vapor-liquid equilibrium (VLE) data </w:t>
      </w:r>
      <w:r w:rsidR="00642AD2" w:rsidRPr="005975A0">
        <w:rPr>
          <w:rFonts w:asciiTheme="minorHAnsi" w:hAnsiTheme="minorHAnsi" w:cstheme="minorHAnsi"/>
          <w:sz w:val="22"/>
          <w:szCs w:val="22"/>
        </w:rPr>
        <w:t>of</w:t>
      </w:r>
      <w:r w:rsidRPr="005975A0">
        <w:rPr>
          <w:rFonts w:asciiTheme="minorHAnsi" w:hAnsiTheme="minorHAnsi" w:cstheme="minorHAnsi"/>
          <w:sz w:val="22"/>
          <w:szCs w:val="22"/>
        </w:rPr>
        <w:t xml:space="preserve"> the mixtures containing alkyl aromatic</w:t>
      </w:r>
      <w:r w:rsidR="0054460D" w:rsidRPr="005975A0">
        <w:rPr>
          <w:rFonts w:asciiTheme="minorHAnsi" w:hAnsiTheme="minorHAnsi" w:cstheme="minorHAnsi"/>
          <w:sz w:val="22"/>
          <w:szCs w:val="22"/>
        </w:rPr>
        <w:t>s</w:t>
      </w:r>
      <w:r w:rsidRPr="005975A0">
        <w:rPr>
          <w:rFonts w:asciiTheme="minorHAnsi" w:hAnsiTheme="minorHAnsi" w:cstheme="minorHAnsi"/>
          <w:sz w:val="22"/>
          <w:szCs w:val="22"/>
        </w:rPr>
        <w:t xml:space="preserve"> and </w:t>
      </w:r>
      <w:r w:rsidR="0054460D" w:rsidRPr="005975A0">
        <w:rPr>
          <w:rFonts w:asciiTheme="minorHAnsi" w:hAnsiTheme="minorHAnsi" w:cstheme="minorHAnsi"/>
          <w:sz w:val="22"/>
          <w:szCs w:val="22"/>
        </w:rPr>
        <w:t>xylenes</w:t>
      </w:r>
      <w:r w:rsidRPr="005975A0">
        <w:rPr>
          <w:rFonts w:asciiTheme="minorHAnsi" w:hAnsiTheme="minorHAnsi" w:cstheme="minorHAnsi"/>
          <w:sz w:val="22"/>
          <w:szCs w:val="22"/>
        </w:rPr>
        <w:t xml:space="preserve">. </w:t>
      </w:r>
      <w:r w:rsidR="00642AD2" w:rsidRPr="005975A0">
        <w:rPr>
          <w:rFonts w:asciiTheme="minorHAnsi" w:hAnsiTheme="minorHAnsi" w:cstheme="minorHAnsi"/>
          <w:sz w:val="22"/>
          <w:szCs w:val="22"/>
        </w:rPr>
        <w:t>Among several others, t</w:t>
      </w:r>
      <w:r w:rsidRPr="005975A0">
        <w:rPr>
          <w:rFonts w:asciiTheme="minorHAnsi" w:hAnsiTheme="minorHAnsi" w:cstheme="minorHAnsi"/>
          <w:sz w:val="22"/>
          <w:szCs w:val="22"/>
        </w:rPr>
        <w:t xml:space="preserve">he VLE data of </w:t>
      </w:r>
      <w:r w:rsidR="00642AD2" w:rsidRPr="005975A0">
        <w:rPr>
          <w:rFonts w:asciiTheme="minorHAnsi" w:hAnsiTheme="minorHAnsi" w:cstheme="minorHAnsi"/>
          <w:sz w:val="22"/>
          <w:szCs w:val="22"/>
        </w:rPr>
        <w:t xml:space="preserve">binary </w:t>
      </w:r>
      <w:r w:rsidRPr="005975A0">
        <w:rPr>
          <w:rFonts w:asciiTheme="minorHAnsi" w:hAnsiTheme="minorHAnsi" w:cstheme="minorHAnsi"/>
          <w:sz w:val="22"/>
          <w:szCs w:val="22"/>
        </w:rPr>
        <w:t xml:space="preserve">mixtures of 1,2,4-trimethylbenzene + </w:t>
      </w:r>
      <w:r w:rsidRPr="005975A0">
        <w:rPr>
          <w:rFonts w:asciiTheme="minorHAnsi" w:hAnsiTheme="minorHAnsi" w:cstheme="minorHAnsi"/>
          <w:i/>
          <w:sz w:val="22"/>
          <w:szCs w:val="22"/>
        </w:rPr>
        <w:t>m</w:t>
      </w:r>
      <w:r w:rsidRPr="005975A0">
        <w:rPr>
          <w:rFonts w:asciiTheme="minorHAnsi" w:hAnsiTheme="minorHAnsi" w:cstheme="minorHAnsi"/>
          <w:sz w:val="22"/>
          <w:szCs w:val="22"/>
        </w:rPr>
        <w:t>-xylene</w:t>
      </w:r>
      <w:r w:rsidR="00642AD2" w:rsidRPr="005975A0">
        <w:rPr>
          <w:rFonts w:asciiTheme="minorHAnsi" w:hAnsiTheme="minorHAnsi" w:cstheme="minorHAnsi"/>
          <w:sz w:val="22"/>
          <w:szCs w:val="22"/>
        </w:rPr>
        <w:t xml:space="preserve"> and +</w:t>
      </w:r>
      <w:r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642AD2" w:rsidRPr="005975A0">
        <w:rPr>
          <w:rFonts w:asciiTheme="minorHAnsi" w:hAnsiTheme="minorHAnsi" w:cstheme="minorHAnsi"/>
          <w:i/>
          <w:sz w:val="22"/>
          <w:szCs w:val="22"/>
        </w:rPr>
        <w:t>p</w:t>
      </w:r>
      <w:r w:rsidR="00642AD2" w:rsidRPr="005975A0">
        <w:rPr>
          <w:rFonts w:asciiTheme="minorHAnsi" w:hAnsiTheme="minorHAnsi" w:cstheme="minorHAnsi"/>
          <w:sz w:val="22"/>
          <w:szCs w:val="22"/>
        </w:rPr>
        <w:t xml:space="preserve">-xylene are still unavailable from open literature. </w:t>
      </w:r>
      <w:r w:rsidR="000E013A" w:rsidRPr="005975A0">
        <w:rPr>
          <w:rFonts w:asciiTheme="minorHAnsi" w:hAnsiTheme="minorHAnsi" w:cstheme="minorHAnsi"/>
          <w:sz w:val="22"/>
          <w:szCs w:val="22"/>
        </w:rPr>
        <w:t>In th</w:t>
      </w:r>
      <w:r w:rsidR="0054460D" w:rsidRPr="005975A0">
        <w:rPr>
          <w:rFonts w:asciiTheme="minorHAnsi" w:hAnsiTheme="minorHAnsi" w:cstheme="minorHAnsi"/>
          <w:sz w:val="22"/>
          <w:szCs w:val="22"/>
        </w:rPr>
        <w:t xml:space="preserve">is </w:t>
      </w:r>
      <w:r w:rsidR="000E013A" w:rsidRPr="005975A0">
        <w:rPr>
          <w:rFonts w:asciiTheme="minorHAnsi" w:hAnsiTheme="minorHAnsi" w:cstheme="minorHAnsi"/>
          <w:sz w:val="22"/>
          <w:szCs w:val="22"/>
        </w:rPr>
        <w:t xml:space="preserve">work, the total pressure method was used to measure the isothermal VLE data for the binary systems of 1,2,4-trimethylbenzene </w:t>
      </w:r>
      <w:r w:rsidRPr="005975A0">
        <w:rPr>
          <w:rFonts w:asciiTheme="minorHAnsi" w:hAnsiTheme="minorHAnsi" w:cstheme="minorHAnsi"/>
          <w:sz w:val="22"/>
          <w:szCs w:val="22"/>
        </w:rPr>
        <w:t>with</w:t>
      </w:r>
      <w:r w:rsidR="000E013A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2F6AEB" w:rsidRPr="005975A0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="000E013A" w:rsidRPr="005975A0">
        <w:rPr>
          <w:rFonts w:asciiTheme="minorHAnsi" w:hAnsiTheme="minorHAnsi" w:cstheme="minorHAnsi"/>
          <w:sz w:val="22"/>
          <w:szCs w:val="22"/>
        </w:rPr>
        <w:t>-xylene</w:t>
      </w:r>
      <w:r w:rsidRPr="005975A0">
        <w:rPr>
          <w:rFonts w:asciiTheme="minorHAnsi" w:hAnsiTheme="minorHAnsi" w:cstheme="minorHAnsi"/>
          <w:sz w:val="22"/>
          <w:szCs w:val="22"/>
        </w:rPr>
        <w:t xml:space="preserve"> or</w:t>
      </w:r>
      <w:r w:rsidR="000E013A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0E013A" w:rsidRPr="005975A0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0E013A" w:rsidRPr="005975A0">
        <w:rPr>
          <w:rFonts w:asciiTheme="minorHAnsi" w:hAnsiTheme="minorHAnsi" w:cstheme="minorHAnsi"/>
          <w:sz w:val="22"/>
          <w:szCs w:val="22"/>
        </w:rPr>
        <w:t>-</w:t>
      </w:r>
      <w:r w:rsidR="002F6AEB" w:rsidRPr="005975A0">
        <w:rPr>
          <w:rFonts w:asciiTheme="minorHAnsi" w:hAnsiTheme="minorHAnsi" w:cstheme="minorHAnsi"/>
          <w:sz w:val="22"/>
          <w:szCs w:val="22"/>
        </w:rPr>
        <w:t>xylene</w:t>
      </w:r>
      <w:r w:rsidR="000E013A" w:rsidRPr="005975A0">
        <w:rPr>
          <w:rFonts w:asciiTheme="minorHAnsi" w:hAnsiTheme="minorHAnsi" w:cstheme="minorHAnsi"/>
          <w:sz w:val="22"/>
          <w:szCs w:val="22"/>
        </w:rPr>
        <w:t xml:space="preserve"> at 363.15 K, 393.15 K, 433.15 K</w:t>
      </w:r>
      <w:r w:rsidRPr="005975A0">
        <w:rPr>
          <w:rFonts w:asciiTheme="minorHAnsi" w:hAnsiTheme="minorHAnsi" w:cstheme="minorHAnsi"/>
          <w:sz w:val="22"/>
          <w:szCs w:val="22"/>
        </w:rPr>
        <w:t>,</w:t>
      </w:r>
      <w:r w:rsidR="000E013A" w:rsidRPr="005975A0">
        <w:rPr>
          <w:rFonts w:asciiTheme="minorHAnsi" w:hAnsiTheme="minorHAnsi" w:cstheme="minorHAnsi"/>
          <w:sz w:val="22"/>
          <w:szCs w:val="22"/>
        </w:rPr>
        <w:t xml:space="preserve"> and 473.15 K</w:t>
      </w:r>
      <w:r w:rsidR="00B11FE6" w:rsidRPr="005975A0">
        <w:rPr>
          <w:rFonts w:asciiTheme="minorHAnsi" w:hAnsiTheme="minorHAnsi" w:cstheme="minorHAnsi"/>
          <w:sz w:val="22"/>
          <w:szCs w:val="22"/>
        </w:rPr>
        <w:t xml:space="preserve"> with </w:t>
      </w:r>
      <w:r w:rsidR="000E013A" w:rsidRPr="005975A0">
        <w:rPr>
          <w:rFonts w:asciiTheme="minorHAnsi" w:hAnsiTheme="minorHAnsi" w:cstheme="minorHAnsi"/>
          <w:sz w:val="22"/>
          <w:szCs w:val="22"/>
        </w:rPr>
        <w:t>8:2/6:4/4:6/2:8</w:t>
      </w:r>
      <w:r w:rsidR="00B11FE6" w:rsidRPr="005975A0">
        <w:rPr>
          <w:rFonts w:asciiTheme="minorHAnsi" w:hAnsiTheme="minorHAnsi" w:cstheme="minorHAnsi"/>
          <w:sz w:val="22"/>
          <w:szCs w:val="22"/>
        </w:rPr>
        <w:t xml:space="preserve"> in mole ratio</w:t>
      </w:r>
      <w:r w:rsidRPr="005975A0">
        <w:rPr>
          <w:rFonts w:asciiTheme="minorHAnsi" w:hAnsiTheme="minorHAnsi" w:cstheme="minorHAnsi"/>
          <w:sz w:val="22"/>
          <w:szCs w:val="22"/>
        </w:rPr>
        <w:t>s of the consitituent compounds</w:t>
      </w:r>
      <w:r w:rsidR="0054460D" w:rsidRPr="005975A0">
        <w:rPr>
          <w:rFonts w:asciiTheme="minorHAnsi" w:hAnsiTheme="minorHAnsi" w:cstheme="minorHAnsi"/>
          <w:sz w:val="22"/>
          <w:szCs w:val="22"/>
        </w:rPr>
        <w:t xml:space="preserve"> in the liquid phase</w:t>
      </w:r>
      <w:r w:rsidR="00253E09" w:rsidRPr="005975A0">
        <w:rPr>
          <w:rFonts w:asciiTheme="minorHAnsi" w:hAnsiTheme="minorHAnsi" w:cstheme="minorHAnsi"/>
          <w:sz w:val="22"/>
          <w:szCs w:val="22"/>
        </w:rPr>
        <w:t xml:space="preserve">. </w:t>
      </w:r>
      <w:r w:rsidRPr="005975A0">
        <w:rPr>
          <w:rFonts w:asciiTheme="minorHAnsi" w:hAnsiTheme="minorHAnsi" w:cstheme="minorHAnsi"/>
          <w:sz w:val="22"/>
          <w:szCs w:val="22"/>
        </w:rPr>
        <w:t>Using the NRTL</w:t>
      </w:r>
      <w:r w:rsidR="0054460D" w:rsidRPr="005975A0">
        <w:rPr>
          <w:rFonts w:asciiTheme="minorHAnsi" w:hAnsiTheme="minorHAnsi" w:cstheme="minorHAnsi"/>
          <w:sz w:val="22"/>
          <w:szCs w:val="22"/>
        </w:rPr>
        <w:t>-</w:t>
      </w:r>
      <w:r w:rsidRPr="005975A0">
        <w:rPr>
          <w:rFonts w:asciiTheme="minorHAnsi" w:hAnsiTheme="minorHAnsi" w:cstheme="minorHAnsi"/>
          <w:sz w:val="22"/>
          <w:szCs w:val="22"/>
        </w:rPr>
        <w:t>HOC model, we determined t</w:t>
      </w:r>
      <w:r w:rsidR="00253E09" w:rsidRPr="005975A0">
        <w:rPr>
          <w:rFonts w:asciiTheme="minorHAnsi" w:hAnsiTheme="minorHAnsi" w:cstheme="minorHAnsi"/>
          <w:sz w:val="22"/>
          <w:szCs w:val="22"/>
        </w:rPr>
        <w:t>he</w:t>
      </w:r>
      <w:r w:rsidR="000E013A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205BB0" w:rsidRPr="005975A0">
        <w:rPr>
          <w:rFonts w:asciiTheme="minorHAnsi" w:hAnsiTheme="minorHAnsi" w:cstheme="minorHAnsi"/>
          <w:sz w:val="22"/>
          <w:szCs w:val="22"/>
        </w:rPr>
        <w:t>optim</w:t>
      </w:r>
      <w:r w:rsidRPr="005975A0">
        <w:rPr>
          <w:rFonts w:asciiTheme="minorHAnsi" w:hAnsiTheme="minorHAnsi" w:cstheme="minorHAnsi"/>
          <w:sz w:val="22"/>
          <w:szCs w:val="22"/>
        </w:rPr>
        <w:t>al values of the</w:t>
      </w:r>
      <w:r w:rsidR="00205BB0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5F77BD" w:rsidRPr="005975A0">
        <w:rPr>
          <w:rFonts w:asciiTheme="minorHAnsi" w:hAnsiTheme="minorHAnsi" w:cstheme="minorHAnsi"/>
          <w:sz w:val="22"/>
          <w:szCs w:val="22"/>
        </w:rPr>
        <w:t>binary interaction parameter</w:t>
      </w:r>
      <w:r w:rsidRPr="005975A0">
        <w:rPr>
          <w:rFonts w:asciiTheme="minorHAnsi" w:hAnsiTheme="minorHAnsi" w:cstheme="minorHAnsi"/>
          <w:sz w:val="22"/>
          <w:szCs w:val="22"/>
        </w:rPr>
        <w:t>s</w:t>
      </w:r>
      <w:r w:rsidR="005F77BD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Pr="005975A0">
        <w:rPr>
          <w:rFonts w:asciiTheme="minorHAnsi" w:hAnsiTheme="minorHAnsi" w:cstheme="minorHAnsi"/>
          <w:sz w:val="22"/>
          <w:szCs w:val="22"/>
        </w:rPr>
        <w:t xml:space="preserve">for each investigated </w:t>
      </w:r>
      <w:r w:rsidR="005F77BD" w:rsidRPr="005975A0">
        <w:rPr>
          <w:rFonts w:asciiTheme="minorHAnsi" w:hAnsiTheme="minorHAnsi" w:cstheme="minorHAnsi"/>
          <w:sz w:val="22"/>
          <w:szCs w:val="22"/>
        </w:rPr>
        <w:t xml:space="preserve">system </w:t>
      </w:r>
      <w:r w:rsidR="0054460D" w:rsidRPr="005975A0">
        <w:rPr>
          <w:rFonts w:asciiTheme="minorHAnsi" w:hAnsiTheme="minorHAnsi" w:cstheme="minorHAnsi"/>
          <w:sz w:val="22"/>
          <w:szCs w:val="22"/>
        </w:rPr>
        <w:t xml:space="preserve">via </w:t>
      </w:r>
      <w:r w:rsidRPr="005975A0">
        <w:rPr>
          <w:rFonts w:asciiTheme="minorHAnsi" w:hAnsiTheme="minorHAnsi" w:cstheme="minorHAnsi"/>
          <w:sz w:val="22"/>
          <w:szCs w:val="22"/>
        </w:rPr>
        <w:t xml:space="preserve">data correlation. </w:t>
      </w:r>
    </w:p>
    <w:p w14:paraId="3A4AC704" w14:textId="77777777" w:rsidR="00704BDF" w:rsidRPr="005975A0" w:rsidRDefault="00704BDF" w:rsidP="00C867B1">
      <w:pPr>
        <w:snapToGrid w:val="0"/>
        <w:spacing w:after="120"/>
        <w:rPr>
          <w:rFonts w:asciiTheme="minorHAnsi" w:eastAsia="MS PGothic" w:hAnsiTheme="minorHAnsi" w:cstheme="minorHAnsi"/>
          <w:sz w:val="22"/>
          <w:szCs w:val="22"/>
          <w:lang w:val="en-US"/>
        </w:rPr>
      </w:pPr>
      <w:r w:rsidRPr="005975A0">
        <w:rPr>
          <w:rFonts w:asciiTheme="minorHAnsi" w:eastAsia="MS PGothic" w:hAnsiTheme="minorHAnsi" w:cstheme="minorHAnsi"/>
          <w:b/>
          <w:bCs/>
          <w:sz w:val="22"/>
          <w:szCs w:val="22"/>
          <w:lang w:val="en-US"/>
        </w:rPr>
        <w:t>2. Methods</w:t>
      </w:r>
    </w:p>
    <w:p w14:paraId="231C01F3" w14:textId="0EA8CF3B" w:rsidR="00752A0A" w:rsidRPr="005975A0" w:rsidRDefault="008904D4" w:rsidP="00752A0A">
      <w:pPr>
        <w:widowControl w:val="0"/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5975A0">
        <w:rPr>
          <w:rFonts w:asciiTheme="minorHAnsi" w:eastAsia="標楷體" w:hAnsiTheme="minorHAnsi" w:cstheme="minorHAnsi"/>
          <w:sz w:val="22"/>
          <w:szCs w:val="22"/>
        </w:rPr>
        <w:t xml:space="preserve">The 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>Isot</w:t>
      </w:r>
      <w:r w:rsidR="00F1528B" w:rsidRPr="005975A0">
        <w:rPr>
          <w:rFonts w:asciiTheme="minorHAnsi" w:eastAsia="標楷體" w:hAnsiTheme="minorHAnsi" w:cstheme="minorHAnsi"/>
          <w:sz w:val="22"/>
          <w:szCs w:val="22"/>
        </w:rPr>
        <w:t>hermal VLE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 xml:space="preserve"> </w:t>
      </w:r>
      <w:r w:rsidRPr="005975A0">
        <w:rPr>
          <w:rFonts w:asciiTheme="minorHAnsi" w:eastAsia="標楷體" w:hAnsiTheme="minorHAnsi" w:cstheme="minorHAnsi"/>
          <w:sz w:val="22"/>
          <w:szCs w:val="22"/>
        </w:rPr>
        <w:t>d</w:t>
      </w:r>
      <w:r w:rsidR="00E34779" w:rsidRPr="005975A0">
        <w:rPr>
          <w:rFonts w:asciiTheme="minorHAnsi" w:eastAsia="標楷體" w:hAnsiTheme="minorHAnsi" w:cstheme="minorHAnsi"/>
          <w:sz w:val="22"/>
          <w:szCs w:val="22"/>
        </w:rPr>
        <w:t>ata</w:t>
      </w:r>
      <w:r w:rsidR="00642AD2" w:rsidRPr="005975A0">
        <w:rPr>
          <w:rFonts w:asciiTheme="minorHAnsi" w:eastAsia="標楷體" w:hAnsiTheme="minorHAnsi" w:cstheme="minorHAnsi"/>
          <w:sz w:val="22"/>
          <w:szCs w:val="22"/>
        </w:rPr>
        <w:t xml:space="preserve"> were measured for 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 xml:space="preserve">the binary systems of 1,2,4-trimethylbenzene + </w:t>
      </w:r>
      <w:r w:rsidR="002F6AEB" w:rsidRPr="005975A0">
        <w:rPr>
          <w:rFonts w:asciiTheme="minorHAnsi" w:eastAsia="標楷體" w:hAnsiTheme="minorHAnsi" w:cstheme="minorHAnsi"/>
          <w:i/>
          <w:sz w:val="22"/>
          <w:szCs w:val="22"/>
        </w:rPr>
        <w:t>m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>-xylene</w:t>
      </w:r>
      <w:r w:rsidR="00642AD2" w:rsidRPr="005975A0">
        <w:rPr>
          <w:rFonts w:asciiTheme="minorHAnsi" w:eastAsia="標楷體" w:hAnsiTheme="minorHAnsi" w:cstheme="minorHAnsi"/>
          <w:sz w:val="22"/>
          <w:szCs w:val="22"/>
        </w:rPr>
        <w:t xml:space="preserve"> and +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 xml:space="preserve"> </w:t>
      </w:r>
      <w:r w:rsidR="00870B4B" w:rsidRPr="005975A0">
        <w:rPr>
          <w:rFonts w:asciiTheme="minorHAnsi" w:eastAsia="標楷體" w:hAnsiTheme="minorHAnsi" w:cstheme="minorHAnsi"/>
          <w:i/>
          <w:sz w:val="22"/>
          <w:szCs w:val="22"/>
        </w:rPr>
        <w:t>p</w:t>
      </w:r>
      <w:r w:rsidR="002F6AEB" w:rsidRPr="005975A0">
        <w:rPr>
          <w:rFonts w:asciiTheme="minorHAnsi" w:eastAsia="標楷體" w:hAnsiTheme="minorHAnsi" w:cstheme="minorHAnsi"/>
          <w:sz w:val="22"/>
          <w:szCs w:val="22"/>
        </w:rPr>
        <w:t>-xylene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 xml:space="preserve"> by using </w:t>
      </w:r>
      <w:r w:rsidR="00642AD2" w:rsidRPr="005975A0">
        <w:rPr>
          <w:rFonts w:asciiTheme="minorHAnsi" w:eastAsia="標楷體" w:hAnsiTheme="minorHAnsi" w:cstheme="minorHAnsi"/>
          <w:sz w:val="22"/>
          <w:szCs w:val="22"/>
        </w:rPr>
        <w:t>total pressure method with a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 xml:space="preserve"> static apparatus.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261987" w:rsidRPr="005975A0">
        <w:rPr>
          <w:rFonts w:asciiTheme="minorHAnsi" w:hAnsiTheme="minorHAnsi" w:cstheme="minorHAnsi"/>
          <w:sz w:val="22"/>
          <w:szCs w:val="22"/>
        </w:rPr>
        <w:t xml:space="preserve">The operation of </w:t>
      </w:r>
      <w:r w:rsidR="00DD696E" w:rsidRPr="005975A0">
        <w:rPr>
          <w:rFonts w:asciiTheme="minorHAnsi" w:hAnsiTheme="minorHAnsi" w:cstheme="minorHAnsi"/>
          <w:sz w:val="22"/>
          <w:szCs w:val="22"/>
        </w:rPr>
        <w:t>this</w:t>
      </w:r>
      <w:r w:rsidR="00261987" w:rsidRPr="005975A0">
        <w:rPr>
          <w:rFonts w:asciiTheme="minorHAnsi" w:hAnsiTheme="minorHAnsi" w:cstheme="minorHAnsi"/>
          <w:sz w:val="22"/>
          <w:szCs w:val="22"/>
        </w:rPr>
        <w:t xml:space="preserve"> static apparatus is briefly describe</w:t>
      </w:r>
      <w:r w:rsidR="005F2BDB" w:rsidRPr="005975A0">
        <w:rPr>
          <w:rFonts w:asciiTheme="minorHAnsi" w:hAnsiTheme="minorHAnsi" w:cstheme="minorHAnsi"/>
          <w:sz w:val="22"/>
          <w:szCs w:val="22"/>
        </w:rPr>
        <w:t>d</w:t>
      </w:r>
      <w:r w:rsidR="00253E09" w:rsidRPr="005975A0">
        <w:rPr>
          <w:rFonts w:asciiTheme="minorHAnsi" w:hAnsiTheme="minorHAnsi" w:cstheme="minorHAnsi"/>
          <w:sz w:val="22"/>
          <w:szCs w:val="22"/>
        </w:rPr>
        <w:t xml:space="preserve"> as follows. The</w:t>
      </w:r>
      <w:r w:rsidR="00A518B8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190AA7" w:rsidRPr="005975A0">
        <w:rPr>
          <w:rFonts w:asciiTheme="minorHAnsi" w:hAnsiTheme="minorHAnsi" w:cstheme="minorHAnsi"/>
          <w:sz w:val="22"/>
          <w:szCs w:val="22"/>
        </w:rPr>
        <w:t xml:space="preserve">air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impurities were </w:t>
      </w:r>
      <w:r w:rsidR="005600D0" w:rsidRPr="005975A0">
        <w:rPr>
          <w:rFonts w:asciiTheme="minorHAnsi" w:hAnsiTheme="minorHAnsi" w:cstheme="minorHAnsi"/>
          <w:sz w:val="22"/>
          <w:szCs w:val="22"/>
        </w:rPr>
        <w:t>adequately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evacuated from the cell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 xml:space="preserve"> with a vacuum pump (Model GLD-N136, </w:t>
      </w:r>
      <w:r w:rsidR="00496C9A" w:rsidRPr="005975A0">
        <w:rPr>
          <w:rFonts w:asciiTheme="minorHAnsi" w:eastAsia="標楷體" w:hAnsiTheme="minorHAnsi" w:cstheme="minorHAnsi"/>
          <w:sz w:val="22"/>
          <w:szCs w:val="22"/>
        </w:rPr>
        <w:t xml:space="preserve">a 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>minimum pressure of 6.7×10</w:t>
      </w:r>
      <w:r w:rsidR="00870B4B" w:rsidRPr="005975A0">
        <w:rPr>
          <w:rFonts w:asciiTheme="minorHAnsi" w:eastAsia="標楷體" w:hAnsiTheme="minorHAnsi" w:cstheme="minorHAnsi"/>
          <w:sz w:val="22"/>
          <w:szCs w:val="22"/>
          <w:vertAlign w:val="superscript"/>
        </w:rPr>
        <w:t>-1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 xml:space="preserve"> Pa,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>ULVAC)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.  </w:t>
      </w:r>
      <w:r w:rsidR="0064541B" w:rsidRPr="005975A0">
        <w:rPr>
          <w:rFonts w:asciiTheme="minorHAnsi" w:hAnsiTheme="minorHAnsi" w:cstheme="minorHAnsi"/>
          <w:sz w:val="22"/>
          <w:szCs w:val="22"/>
        </w:rPr>
        <w:t xml:space="preserve">The </w:t>
      </w:r>
      <w:r w:rsidR="0021464D" w:rsidRPr="005975A0">
        <w:rPr>
          <w:rFonts w:asciiTheme="minorHAnsi" w:hAnsiTheme="minorHAnsi" w:cstheme="minorHAnsi"/>
          <w:sz w:val="22"/>
          <w:szCs w:val="22"/>
        </w:rPr>
        <w:t xml:space="preserve">high-purity </w:t>
      </w:r>
      <w:r w:rsidR="0054460D" w:rsidRPr="005975A0">
        <w:rPr>
          <w:rFonts w:asciiTheme="minorHAnsi" w:hAnsiTheme="minorHAnsi" w:cstheme="minorHAnsi"/>
          <w:sz w:val="22"/>
          <w:szCs w:val="22"/>
        </w:rPr>
        <w:t xml:space="preserve">chemicals </w:t>
      </w:r>
      <w:r w:rsidR="00870B4B" w:rsidRPr="005975A0">
        <w:rPr>
          <w:rFonts w:asciiTheme="minorHAnsi" w:hAnsiTheme="minorHAnsi" w:cstheme="minorHAnsi"/>
          <w:sz w:val="22"/>
          <w:szCs w:val="22"/>
        </w:rPr>
        <w:t>were degassed</w:t>
      </w:r>
      <w:r w:rsidR="0021464D" w:rsidRPr="005975A0">
        <w:rPr>
          <w:rFonts w:asciiTheme="minorHAnsi" w:hAnsiTheme="minorHAnsi" w:cstheme="minorHAnsi"/>
          <w:sz w:val="22"/>
          <w:szCs w:val="22"/>
        </w:rPr>
        <w:t xml:space="preserve"> to remove the non-condensable dissolved gases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before use. Each </w:t>
      </w:r>
      <w:r w:rsidR="00386CE4" w:rsidRPr="005975A0">
        <w:rPr>
          <w:rFonts w:asciiTheme="minorHAnsi" w:hAnsiTheme="minorHAnsi" w:cstheme="minorHAnsi"/>
          <w:sz w:val="22"/>
          <w:szCs w:val="22"/>
        </w:rPr>
        <w:t xml:space="preserve">of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binary mixture was prepared from the degassed </w:t>
      </w:r>
      <w:r w:rsidR="005B1FC0" w:rsidRPr="005975A0">
        <w:rPr>
          <w:rFonts w:asciiTheme="minorHAnsi" w:hAnsiTheme="minorHAnsi" w:cstheme="minorHAnsi"/>
          <w:sz w:val="22"/>
          <w:szCs w:val="22"/>
        </w:rPr>
        <w:t>compounds with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an electronic balance (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>Model FA-2204C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, Chrom Tech Co., Ltd., Taiwan), which can be accurate to </w:t>
      </w:r>
      <w:r w:rsidR="00870B4B" w:rsidRPr="005975A0">
        <w:rPr>
          <w:rFonts w:asciiTheme="minorHAnsi" w:eastAsia="標楷體" w:hAnsiTheme="minorHAnsi" w:cstheme="minorHAnsi"/>
          <w:sz w:val="22"/>
          <w:szCs w:val="22"/>
        </w:rPr>
        <w:t>±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0.1 mg and then mixed well by using magnetic stirrer</w:t>
      </w:r>
      <w:r w:rsidR="00386CE4" w:rsidRPr="005975A0">
        <w:rPr>
          <w:rFonts w:asciiTheme="minorHAnsi" w:hAnsiTheme="minorHAnsi" w:cstheme="minorHAnsi"/>
          <w:sz w:val="22"/>
          <w:szCs w:val="22"/>
        </w:rPr>
        <w:t xml:space="preserve"> under a certain composition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. The prepared solution was then charged into the evacuated equilibrium cell by </w:t>
      </w:r>
      <w:r w:rsidR="00DD696E" w:rsidRPr="005975A0">
        <w:rPr>
          <w:rFonts w:asciiTheme="minorHAnsi" w:hAnsiTheme="minorHAnsi" w:cstheme="minorHAnsi"/>
          <w:sz w:val="22"/>
          <w:szCs w:val="22"/>
        </w:rPr>
        <w:t xml:space="preserve">pressure difference between vaccum and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atmospheric </w:t>
      </w:r>
      <w:r w:rsidR="00DD696E" w:rsidRPr="005975A0">
        <w:rPr>
          <w:rFonts w:asciiTheme="minorHAnsi" w:hAnsiTheme="minorHAnsi" w:cstheme="minorHAnsi"/>
          <w:sz w:val="22"/>
          <w:szCs w:val="22"/>
        </w:rPr>
        <w:t>pressure</w:t>
      </w:r>
      <w:r w:rsidR="004E193B" w:rsidRPr="005975A0">
        <w:rPr>
          <w:rFonts w:asciiTheme="minorHAnsi" w:hAnsiTheme="minorHAnsi" w:cstheme="minorHAnsi"/>
          <w:sz w:val="22"/>
          <w:szCs w:val="22"/>
        </w:rPr>
        <w:t xml:space="preserve"> [1]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. The charging </w:t>
      </w:r>
      <w:r w:rsidR="0021464D" w:rsidRPr="005975A0">
        <w:rPr>
          <w:rFonts w:asciiTheme="minorHAnsi" w:hAnsiTheme="minorHAnsi" w:cstheme="minorHAnsi"/>
          <w:sz w:val="22"/>
          <w:szCs w:val="22"/>
        </w:rPr>
        <w:t>process was</w:t>
      </w:r>
      <w:r w:rsidR="00DD696E" w:rsidRPr="005975A0">
        <w:rPr>
          <w:rFonts w:asciiTheme="minorHAnsi" w:hAnsiTheme="minorHAnsi" w:cstheme="minorHAnsi"/>
          <w:sz w:val="22"/>
          <w:szCs w:val="22"/>
        </w:rPr>
        <w:t xml:space="preserve"> terminated before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the liquid level in the degassing bottle </w:t>
      </w:r>
      <w:r w:rsidR="00DD696E" w:rsidRPr="005975A0">
        <w:rPr>
          <w:rFonts w:asciiTheme="minorHAnsi" w:hAnsiTheme="minorHAnsi" w:cstheme="minorHAnsi"/>
          <w:sz w:val="22"/>
          <w:szCs w:val="22"/>
        </w:rPr>
        <w:t xml:space="preserve">lower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than the bottom of </w:t>
      </w:r>
      <w:r w:rsidR="00496C9A" w:rsidRPr="005975A0">
        <w:rPr>
          <w:rFonts w:asciiTheme="minorHAnsi" w:hAnsiTheme="minorHAnsi" w:cstheme="minorHAnsi"/>
          <w:sz w:val="22"/>
          <w:szCs w:val="22"/>
        </w:rPr>
        <w:t xml:space="preserve">the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feeding tube to </w:t>
      </w:r>
      <w:r w:rsidR="00DD696E" w:rsidRPr="005975A0">
        <w:rPr>
          <w:rFonts w:asciiTheme="minorHAnsi" w:hAnsiTheme="minorHAnsi" w:cstheme="minorHAnsi"/>
          <w:sz w:val="22"/>
          <w:szCs w:val="22"/>
        </w:rPr>
        <w:t xml:space="preserve">prevent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non-condensable gas from </w:t>
      </w:r>
      <w:r w:rsidR="0021464D" w:rsidRPr="005975A0">
        <w:rPr>
          <w:rFonts w:asciiTheme="minorHAnsi" w:hAnsiTheme="minorHAnsi" w:cstheme="minorHAnsi"/>
          <w:sz w:val="22"/>
          <w:szCs w:val="22"/>
        </w:rPr>
        <w:t xml:space="preserve">entering </w:t>
      </w:r>
      <w:r w:rsidR="00ED7863" w:rsidRPr="005975A0">
        <w:rPr>
          <w:rFonts w:asciiTheme="minorHAnsi" w:hAnsiTheme="minorHAnsi" w:cstheme="minorHAnsi"/>
          <w:sz w:val="22"/>
          <w:szCs w:val="22"/>
        </w:rPr>
        <w:t xml:space="preserve">the </w:t>
      </w:r>
      <w:r w:rsidR="00DD696E" w:rsidRPr="005975A0">
        <w:rPr>
          <w:rFonts w:asciiTheme="minorHAnsi" w:hAnsiTheme="minorHAnsi" w:cstheme="minorHAnsi"/>
          <w:sz w:val="22"/>
          <w:szCs w:val="22"/>
        </w:rPr>
        <w:t>equilibrium cell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. After the charging process, the temperature of </w:t>
      </w:r>
      <w:r w:rsidR="00496C9A" w:rsidRPr="005975A0">
        <w:rPr>
          <w:rFonts w:asciiTheme="minorHAnsi" w:hAnsiTheme="minorHAnsi" w:cstheme="minorHAnsi"/>
          <w:sz w:val="22"/>
          <w:szCs w:val="22"/>
        </w:rPr>
        <w:t xml:space="preserve">the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bath was adjusted to </w:t>
      </w:r>
      <w:r w:rsidR="00496C9A" w:rsidRPr="005975A0">
        <w:rPr>
          <w:rFonts w:asciiTheme="minorHAnsi" w:hAnsiTheme="minorHAnsi" w:cstheme="minorHAnsi"/>
          <w:sz w:val="22"/>
          <w:szCs w:val="22"/>
        </w:rPr>
        <w:t>the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desired value. Since this equipment has no circulating pump, it is necessary to shake the cell manually to accelerate the system to achieve </w:t>
      </w:r>
      <w:r w:rsidR="00496C9A" w:rsidRPr="005975A0">
        <w:rPr>
          <w:rFonts w:asciiTheme="minorHAnsi" w:hAnsiTheme="minorHAnsi" w:cstheme="minorHAnsi"/>
          <w:sz w:val="22"/>
          <w:szCs w:val="22"/>
        </w:rPr>
        <w:t xml:space="preserve">a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vapor-liquid equilibrium state. </w:t>
      </w:r>
      <w:r w:rsidR="0021464D" w:rsidRPr="005975A0">
        <w:rPr>
          <w:rFonts w:asciiTheme="minorHAnsi" w:hAnsiTheme="minorHAnsi" w:cstheme="minorHAnsi"/>
          <w:sz w:val="22"/>
          <w:szCs w:val="22"/>
        </w:rPr>
        <w:t>As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496C9A" w:rsidRPr="005975A0">
        <w:rPr>
          <w:rFonts w:asciiTheme="minorHAnsi" w:hAnsiTheme="minorHAnsi" w:cstheme="minorHAnsi"/>
          <w:sz w:val="22"/>
          <w:szCs w:val="22"/>
        </w:rPr>
        <w:t xml:space="preserve">the </w:t>
      </w:r>
      <w:r w:rsidR="00870B4B" w:rsidRPr="005975A0">
        <w:rPr>
          <w:rFonts w:asciiTheme="minorHAnsi" w:hAnsiTheme="minorHAnsi" w:cstheme="minorHAnsi"/>
          <w:sz w:val="22"/>
          <w:szCs w:val="22"/>
        </w:rPr>
        <w:t xml:space="preserve">equilibrium state </w:t>
      </w:r>
      <w:r w:rsidR="0021464D" w:rsidRPr="005975A0">
        <w:rPr>
          <w:rFonts w:asciiTheme="minorHAnsi" w:hAnsiTheme="minorHAnsi" w:cstheme="minorHAnsi"/>
          <w:sz w:val="22"/>
          <w:szCs w:val="22"/>
        </w:rPr>
        <w:t xml:space="preserve">is </w:t>
      </w:r>
      <w:r w:rsidR="00870B4B" w:rsidRPr="005975A0">
        <w:rPr>
          <w:rFonts w:asciiTheme="minorHAnsi" w:hAnsiTheme="minorHAnsi" w:cstheme="minorHAnsi"/>
          <w:sz w:val="22"/>
          <w:szCs w:val="22"/>
        </w:rPr>
        <w:t>attained, the pressure reading will reach a constant value, which was recorded as the equilibrium pressure (</w:t>
      </w:r>
      <w:r w:rsidR="00870B4B" w:rsidRPr="005975A0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870B4B" w:rsidRPr="005975A0">
        <w:rPr>
          <w:rFonts w:asciiTheme="minorHAnsi" w:hAnsiTheme="minorHAnsi" w:cstheme="minorHAnsi"/>
          <w:sz w:val="22"/>
          <w:szCs w:val="22"/>
        </w:rPr>
        <w:t>) at the specific temperature (</w:t>
      </w:r>
      <w:r w:rsidR="00870B4B" w:rsidRPr="005975A0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870B4B" w:rsidRPr="005975A0">
        <w:rPr>
          <w:rFonts w:asciiTheme="minorHAnsi" w:hAnsiTheme="minorHAnsi" w:cstheme="minorHAnsi"/>
          <w:sz w:val="22"/>
          <w:szCs w:val="22"/>
        </w:rPr>
        <w:t>). The equilibrium pressure was measured at different temperatures by an increment of about 30 K.</w:t>
      </w:r>
      <w:r w:rsidR="00704BDF"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21464D"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>Additonally</w:t>
      </w:r>
      <w:r w:rsidR="00056D95"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, the </w:t>
      </w:r>
      <w:r w:rsidR="00DD696E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lastRenderedPageBreak/>
        <w:t>c</w:t>
      </w:r>
      <w:r w:rsidR="00056D95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omposition of </w:t>
      </w:r>
      <w:r w:rsidR="00727210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each loaded </w:t>
      </w:r>
      <w:r w:rsidR="00056D95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liquid </w:t>
      </w:r>
      <w:r w:rsidR="0021464D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sample</w:t>
      </w:r>
      <w:r w:rsidR="00727210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was</w:t>
      </w:r>
      <w:r w:rsidR="00056D95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analyzed by gas chromatography</w:t>
      </w:r>
      <w:r w:rsidR="001C1772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. </w:t>
      </w:r>
      <w:r w:rsidR="00752A0A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The uncertaint</w:t>
      </w:r>
      <w:r w:rsidR="00DD696E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ies</w:t>
      </w:r>
      <w:r w:rsidR="00752A0A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of the reported </w:t>
      </w:r>
      <w:r w:rsidR="00DD696E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equilibrium </w:t>
      </w:r>
      <w:r w:rsidR="00752A0A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temperature</w:t>
      </w:r>
      <w:r w:rsidR="00DD696E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, pressure, and liquid phase composition are </w:t>
      </w:r>
      <w:r w:rsidR="00752A0A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estimated to be 0.1 K</w:t>
      </w:r>
      <w:r w:rsidR="00DD696E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, </w:t>
      </w:r>
      <w:r w:rsidR="00CB6DFD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0.01 bar</w:t>
      </w:r>
      <w:r w:rsidR="00DD696E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, and 0.00</w:t>
      </w:r>
      <w:r w:rsidR="00727210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5</w:t>
      </w:r>
      <w:r w:rsidR="00DD696E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in mole fraction, respectively</w:t>
      </w:r>
      <w:r w:rsidR="00CB6DFD" w:rsidRPr="005975A0">
        <w:rPr>
          <w:rFonts w:asciiTheme="minorHAnsi" w:eastAsiaTheme="minorEastAsia" w:hAnsiTheme="minorHAnsi" w:cstheme="minorHAnsi"/>
          <w:sz w:val="22"/>
          <w:szCs w:val="22"/>
          <w:lang w:val="en-US"/>
        </w:rPr>
        <w:t>.</w:t>
      </w:r>
    </w:p>
    <w:p w14:paraId="611B5000" w14:textId="42F5D405" w:rsidR="00AE7F20" w:rsidRPr="005975A0" w:rsidRDefault="00AE7F20" w:rsidP="00752A0A">
      <w:pPr>
        <w:widowControl w:val="0"/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HAnsi"/>
          <w:sz w:val="16"/>
          <w:szCs w:val="16"/>
          <w:lang w:val="en-US"/>
        </w:rPr>
      </w:pPr>
    </w:p>
    <w:p w14:paraId="6FD90C9A" w14:textId="77777777" w:rsidR="00704BDF" w:rsidRPr="005975A0" w:rsidRDefault="00704BDF" w:rsidP="00704BDF">
      <w:pPr>
        <w:snapToGrid w:val="0"/>
        <w:spacing w:before="240" w:line="300" w:lineRule="auto"/>
        <w:rPr>
          <w:rFonts w:asciiTheme="minorHAnsi" w:eastAsia="MS PGothic" w:hAnsiTheme="minorHAnsi" w:cstheme="minorHAnsi"/>
          <w:sz w:val="22"/>
          <w:szCs w:val="22"/>
          <w:lang w:val="en-US"/>
        </w:rPr>
      </w:pPr>
      <w:r w:rsidRPr="005975A0">
        <w:rPr>
          <w:rFonts w:asciiTheme="minorHAnsi" w:eastAsia="MS PGothic" w:hAnsiTheme="minorHAnsi" w:cstheme="minorHAnsi"/>
          <w:b/>
          <w:bCs/>
          <w:sz w:val="22"/>
          <w:szCs w:val="22"/>
          <w:lang w:val="en-US"/>
        </w:rPr>
        <w:t>3. Results and discussion</w:t>
      </w:r>
    </w:p>
    <w:p w14:paraId="74C572C4" w14:textId="354756A0" w:rsidR="00100334" w:rsidRPr="005975A0" w:rsidRDefault="00727210" w:rsidP="00B91FA9">
      <w:pPr>
        <w:snapToGrid w:val="0"/>
        <w:spacing w:after="1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7B7A44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total pressures (</w:t>
      </w:r>
      <w:r w:rsidR="007B7A44" w:rsidRPr="005975A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</w:t>
      </w:r>
      <w:r w:rsidR="007B7A44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at given </w:t>
      </w:r>
      <w:r w:rsidR="007B7A44" w:rsidRPr="005975A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T</w:t>
      </w:r>
      <w:r w:rsidR="007B7A44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liquid composition (</w:t>
      </w:r>
      <w:r w:rsidR="007B7A44" w:rsidRPr="005975A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x</w:t>
      </w:r>
      <w:r w:rsidR="007B7A44" w:rsidRPr="005975A0">
        <w:rPr>
          <w:rFonts w:asciiTheme="minorHAnsi" w:hAnsiTheme="minorHAnsi" w:cstheme="minorHAnsi"/>
          <w:sz w:val="22"/>
          <w:szCs w:val="22"/>
          <w:shd w:val="clear" w:color="auto" w:fill="FFFFFF"/>
          <w:vertAlign w:val="subscript"/>
        </w:rPr>
        <w:t>i</w:t>
      </w:r>
      <w:r w:rsidR="007B7A44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were measured </w:t>
      </w:r>
      <w:r w:rsidR="007B7A44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for </w:t>
      </w:r>
      <w:r w:rsidR="007B7A44" w:rsidRPr="005975A0">
        <w:rPr>
          <w:rFonts w:asciiTheme="minorHAnsi" w:hAnsiTheme="minorHAnsi" w:cstheme="minorHAnsi"/>
          <w:sz w:val="22"/>
          <w:szCs w:val="22"/>
        </w:rPr>
        <w:t>1,2,4-trimethylbenzene + m-xylene and 1,2,4-trimethylbenzene + p-xylene</w:t>
      </w:r>
      <w:r w:rsidR="007B7A44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at </w:t>
      </w:r>
      <w:r w:rsidR="007B7A44" w:rsidRPr="005975A0">
        <w:rPr>
          <w:rFonts w:asciiTheme="minorHAnsi" w:hAnsiTheme="minorHAnsi" w:cstheme="minorHAnsi"/>
          <w:sz w:val="22"/>
          <w:szCs w:val="22"/>
        </w:rPr>
        <w:t>363.15 K, 393.15 K, 433.15 K, and 473.15 K over the entire composition range. The experimental results show that equilibrium pressure increases as increasing temperature and no azeotrope was formed in both two systems. T</w:t>
      </w:r>
      <w:r w:rsidR="00B16D21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he VLE data w</w:t>
      </w:r>
      <w:r w:rsidR="00FE1E4A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ere</w:t>
      </w:r>
      <w:r w:rsidR="00B16D21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correlated </w:t>
      </w:r>
      <w:r w:rsidR="00B16D21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us</w:t>
      </w:r>
      <w:r w:rsidR="00440942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ing the (</w:t>
      </w:r>
      <w:r w:rsidR="00440942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sym w:font="Symbol" w:char="F067"/>
      </w:r>
      <w:r w:rsidR="00440942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440942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sym w:font="Symbol" w:char="F066"/>
      </w:r>
      <w:r w:rsidR="00440942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) method</w:t>
      </w:r>
      <w:r w:rsidR="00253E09" w:rsidRPr="005975A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E0CA6"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>The NRTL model [</w:t>
      </w:r>
      <w:r w:rsidR="007B7A44"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>2</w:t>
      </w:r>
      <w:r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>] and the two-term virial equation of state with Hayden-O’Connell method [</w:t>
      </w:r>
      <w:r w:rsidR="007B7A44"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>3</w:t>
      </w:r>
      <w:r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>] for estimation of the second virial coefficient (HOC) were adopted to represent the non-idealilt</w:t>
      </w:r>
      <w:r w:rsidR="0021464D"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>ies</w:t>
      </w:r>
      <w:r w:rsidRPr="005975A0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of liquid and vapor phases, respectively. </w:t>
      </w:r>
      <w:r w:rsidR="00C97920" w:rsidRPr="005975A0">
        <w:rPr>
          <w:rFonts w:asciiTheme="minorHAnsi" w:hAnsiTheme="minorHAnsi" w:cstheme="minorHAnsi"/>
          <w:sz w:val="22"/>
          <w:szCs w:val="22"/>
        </w:rPr>
        <w:t xml:space="preserve">Figures </w:t>
      </w:r>
      <w:r w:rsidR="00B91FA9" w:rsidRPr="005975A0">
        <w:rPr>
          <w:rFonts w:asciiTheme="minorHAnsi" w:hAnsiTheme="minorHAnsi" w:cstheme="minorHAnsi"/>
          <w:sz w:val="22"/>
          <w:szCs w:val="22"/>
        </w:rPr>
        <w:t>1 and 2</w:t>
      </w:r>
      <w:r w:rsidR="00C97920" w:rsidRPr="005975A0">
        <w:rPr>
          <w:rFonts w:asciiTheme="minorHAnsi" w:hAnsiTheme="minorHAnsi" w:cstheme="minorHAnsi"/>
          <w:sz w:val="22"/>
          <w:szCs w:val="22"/>
        </w:rPr>
        <w:t xml:space="preserve"> indicate </w:t>
      </w:r>
      <w:r w:rsidR="007B7A44" w:rsidRPr="005975A0">
        <w:rPr>
          <w:rFonts w:asciiTheme="minorHAnsi" w:hAnsiTheme="minorHAnsi" w:cstheme="minorHAnsi"/>
          <w:sz w:val="22"/>
          <w:szCs w:val="22"/>
        </w:rPr>
        <w:t xml:space="preserve">that </w:t>
      </w:r>
      <w:r w:rsidR="00C97920" w:rsidRPr="005975A0">
        <w:rPr>
          <w:rFonts w:asciiTheme="minorHAnsi" w:hAnsiTheme="minorHAnsi" w:cstheme="minorHAnsi"/>
          <w:sz w:val="22"/>
          <w:szCs w:val="22"/>
        </w:rPr>
        <w:t>the NRTL</w:t>
      </w:r>
      <w:r w:rsidR="007B7A44" w:rsidRPr="005975A0">
        <w:rPr>
          <w:rFonts w:asciiTheme="minorHAnsi" w:hAnsiTheme="minorHAnsi" w:cstheme="minorHAnsi"/>
          <w:sz w:val="22"/>
          <w:szCs w:val="22"/>
        </w:rPr>
        <w:t>-</w:t>
      </w:r>
      <w:r w:rsidR="00C97920" w:rsidRPr="005975A0">
        <w:rPr>
          <w:rFonts w:asciiTheme="minorHAnsi" w:hAnsiTheme="minorHAnsi" w:cstheme="minorHAnsi"/>
          <w:sz w:val="22"/>
          <w:szCs w:val="22"/>
        </w:rPr>
        <w:t>HOC mode</w:t>
      </w:r>
      <w:r w:rsidR="007F71EF" w:rsidRPr="005975A0">
        <w:rPr>
          <w:rFonts w:asciiTheme="minorHAnsi" w:hAnsiTheme="minorHAnsi" w:cstheme="minorHAnsi"/>
          <w:sz w:val="22"/>
          <w:szCs w:val="22"/>
        </w:rPr>
        <w:t xml:space="preserve">l </w:t>
      </w:r>
      <w:r w:rsidR="007B7A44" w:rsidRPr="005975A0">
        <w:rPr>
          <w:rFonts w:asciiTheme="minorHAnsi" w:hAnsiTheme="minorHAnsi" w:cstheme="minorHAnsi"/>
          <w:sz w:val="22"/>
          <w:szCs w:val="22"/>
        </w:rPr>
        <w:t xml:space="preserve">correlates </w:t>
      </w:r>
      <w:r w:rsidR="00C97920" w:rsidRPr="005975A0">
        <w:rPr>
          <w:rFonts w:asciiTheme="minorHAnsi" w:hAnsiTheme="minorHAnsi" w:cstheme="minorHAnsi"/>
          <w:sz w:val="22"/>
          <w:szCs w:val="22"/>
        </w:rPr>
        <w:t xml:space="preserve">satisfactorily the </w:t>
      </w:r>
      <w:r w:rsidR="007B7A44" w:rsidRPr="005975A0">
        <w:rPr>
          <w:rFonts w:asciiTheme="minorHAnsi" w:hAnsiTheme="minorHAnsi" w:cstheme="minorHAnsi"/>
          <w:sz w:val="22"/>
          <w:szCs w:val="22"/>
        </w:rPr>
        <w:t>VLE</w:t>
      </w:r>
      <w:r w:rsidR="00C97920" w:rsidRPr="005975A0">
        <w:rPr>
          <w:rFonts w:asciiTheme="minorHAnsi" w:hAnsiTheme="minorHAnsi" w:cstheme="minorHAnsi"/>
          <w:sz w:val="22"/>
          <w:szCs w:val="22"/>
        </w:rPr>
        <w:t xml:space="preserve"> </w:t>
      </w:r>
      <w:r w:rsidR="00253E09" w:rsidRPr="005975A0">
        <w:rPr>
          <w:rFonts w:asciiTheme="minorHAnsi" w:hAnsiTheme="minorHAnsi" w:cstheme="minorHAnsi"/>
          <w:sz w:val="22"/>
          <w:szCs w:val="22"/>
        </w:rPr>
        <w:t>data. The</w:t>
      </w:r>
      <w:r w:rsidR="00440942" w:rsidRPr="005975A0">
        <w:rPr>
          <w:rFonts w:asciiTheme="minorHAnsi" w:hAnsiTheme="minorHAnsi" w:cstheme="minorHAnsi"/>
          <w:sz w:val="22"/>
          <w:szCs w:val="22"/>
        </w:rPr>
        <w:t xml:space="preserve"> average absolute relative deviation</w:t>
      </w:r>
      <w:r w:rsidR="007B7A44" w:rsidRPr="005975A0">
        <w:rPr>
          <w:rFonts w:asciiTheme="minorHAnsi" w:hAnsiTheme="minorHAnsi" w:cstheme="minorHAnsi"/>
          <w:sz w:val="22"/>
          <w:szCs w:val="22"/>
        </w:rPr>
        <w:t>s</w:t>
      </w:r>
      <w:r w:rsidR="007B7A44" w:rsidRPr="005975A0">
        <w:rPr>
          <w:rFonts w:asciiTheme="minorHAnsi" w:eastAsiaTheme="minorEastAsia" w:hAnsiTheme="minorHAnsi" w:cstheme="minorHAnsi"/>
          <w:sz w:val="22"/>
          <w:szCs w:val="22"/>
          <w:lang w:eastAsia="zh-TW"/>
        </w:rPr>
        <w:t xml:space="preserve"> (AARDs)</w:t>
      </w:r>
      <w:r w:rsidR="00440942" w:rsidRPr="005975A0">
        <w:rPr>
          <w:rFonts w:asciiTheme="minorHAnsi" w:hAnsiTheme="minorHAnsi" w:cstheme="minorHAnsi"/>
          <w:sz w:val="22"/>
          <w:szCs w:val="22"/>
        </w:rPr>
        <w:t xml:space="preserve"> between measured and calculated values </w:t>
      </w:r>
      <w:r w:rsidR="007B7A44" w:rsidRPr="005975A0">
        <w:rPr>
          <w:rFonts w:asciiTheme="minorHAnsi" w:hAnsiTheme="minorHAnsi" w:cstheme="minorHAnsi"/>
          <w:sz w:val="22"/>
          <w:szCs w:val="22"/>
        </w:rPr>
        <w:t xml:space="preserve">are </w:t>
      </w:r>
      <w:r w:rsidR="00440942" w:rsidRPr="005975A0">
        <w:rPr>
          <w:rFonts w:asciiTheme="minorHAnsi" w:hAnsiTheme="minorHAnsi" w:cstheme="minorHAnsi"/>
          <w:sz w:val="22"/>
          <w:szCs w:val="22"/>
        </w:rPr>
        <w:t xml:space="preserve">0.003 % </w:t>
      </w:r>
      <w:r w:rsidR="007B7A44" w:rsidRPr="005975A0">
        <w:rPr>
          <w:rFonts w:asciiTheme="minorHAnsi" w:hAnsiTheme="minorHAnsi" w:cstheme="minorHAnsi"/>
          <w:sz w:val="22"/>
          <w:szCs w:val="22"/>
        </w:rPr>
        <w:t xml:space="preserve">and 0.14 % </w:t>
      </w:r>
      <w:r w:rsidR="00440942" w:rsidRPr="005975A0">
        <w:rPr>
          <w:rFonts w:asciiTheme="minorHAnsi" w:hAnsiTheme="minorHAnsi" w:cstheme="minorHAnsi"/>
          <w:sz w:val="22"/>
          <w:szCs w:val="22"/>
        </w:rPr>
        <w:t xml:space="preserve">for </w:t>
      </w:r>
      <w:r w:rsidR="007B7A44" w:rsidRPr="005975A0">
        <w:rPr>
          <w:rFonts w:asciiTheme="minorHAnsi" w:hAnsiTheme="minorHAnsi" w:cstheme="minorHAnsi"/>
          <w:sz w:val="22"/>
          <w:szCs w:val="22"/>
        </w:rPr>
        <w:t xml:space="preserve">the systems containging </w:t>
      </w:r>
      <w:r w:rsidR="00440942" w:rsidRPr="005975A0">
        <w:rPr>
          <w:rFonts w:asciiTheme="minorHAnsi" w:hAnsiTheme="minorHAnsi" w:cstheme="minorHAnsi"/>
          <w:i/>
          <w:sz w:val="22"/>
          <w:szCs w:val="22"/>
        </w:rPr>
        <w:t>m</w:t>
      </w:r>
      <w:r w:rsidR="00440942" w:rsidRPr="005975A0">
        <w:rPr>
          <w:rFonts w:asciiTheme="minorHAnsi" w:hAnsiTheme="minorHAnsi" w:cstheme="minorHAnsi"/>
          <w:sz w:val="22"/>
          <w:szCs w:val="22"/>
        </w:rPr>
        <w:t xml:space="preserve">-xylene and </w:t>
      </w:r>
      <w:r w:rsidR="00440942" w:rsidRPr="005975A0">
        <w:rPr>
          <w:rFonts w:asciiTheme="minorHAnsi" w:hAnsiTheme="minorHAnsi" w:cstheme="minorHAnsi"/>
          <w:i/>
          <w:sz w:val="22"/>
          <w:szCs w:val="22"/>
        </w:rPr>
        <w:t>p</w:t>
      </w:r>
      <w:r w:rsidR="00440942" w:rsidRPr="005975A0">
        <w:rPr>
          <w:rFonts w:asciiTheme="minorHAnsi" w:hAnsiTheme="minorHAnsi" w:cstheme="minorHAnsi"/>
          <w:sz w:val="22"/>
          <w:szCs w:val="22"/>
        </w:rPr>
        <w:t>-xylene</w:t>
      </w:r>
      <w:r w:rsidR="007B7A44" w:rsidRPr="005975A0">
        <w:rPr>
          <w:rFonts w:asciiTheme="minorHAnsi" w:hAnsiTheme="minorHAnsi" w:cstheme="minorHAnsi"/>
          <w:sz w:val="22"/>
          <w:szCs w:val="22"/>
        </w:rPr>
        <w:t>, respectively.</w:t>
      </w:r>
      <w:r w:rsidR="001F43CE" w:rsidRPr="005975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0CF19" w14:textId="77777777" w:rsidR="00704BDF" w:rsidRPr="00B91FA9" w:rsidRDefault="00B91FA9" w:rsidP="00704BDF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67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1044B" w14:textId="687B9328" w:rsidR="00944A6B" w:rsidRPr="00623263" w:rsidRDefault="009F67DD" w:rsidP="00623263">
      <w:pPr>
        <w:snapToGrid w:val="0"/>
        <w:spacing w:after="120"/>
        <w:ind w:left="6120" w:hangingChars="2550" w:hanging="6120"/>
        <w:jc w:val="left"/>
      </w:pPr>
      <w:r>
        <w:rPr>
          <w:sz w:val="24"/>
          <w:szCs w:val="24"/>
        </w:rPr>
        <w:t xml:space="preserve">            </w:t>
      </w:r>
      <w:r w:rsidR="00623263">
        <w:rPr>
          <w:noProof/>
          <w:lang w:val="en-US" w:eastAsia="zh-TW"/>
        </w:rPr>
        <w:drawing>
          <wp:inline distT="0" distB="0" distL="0" distR="0" wp14:anchorId="072E905C" wp14:editId="6306804C">
            <wp:extent cx="2476500" cy="185737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623263">
        <w:rPr>
          <w:noProof/>
          <w:lang w:val="en-US" w:eastAsia="zh-TW"/>
        </w:rPr>
        <w:drawing>
          <wp:inline distT="0" distB="0" distL="0" distR="0" wp14:anchorId="0B944549" wp14:editId="7AF2227C">
            <wp:extent cx="2476500" cy="1885315"/>
            <wp:effectExtent l="0" t="0" r="0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F6C717" w14:textId="4AC7389B" w:rsidR="00100334" w:rsidRPr="00D77ABB" w:rsidRDefault="00F01408" w:rsidP="00100334">
      <w:pPr>
        <w:pStyle w:val="a"/>
        <w:ind w:leftChars="150" w:left="3350" w:hangingChars="1100" w:hanging="3080"/>
        <w:jc w:val="right"/>
        <w:rPr>
          <w:rFonts w:asciiTheme="minorHAnsi" w:hAnsiTheme="minorHAnsi" w:cstheme="minorHAnsi"/>
          <w:sz w:val="18"/>
          <w:szCs w:val="18"/>
        </w:rPr>
      </w:pPr>
      <w:r w:rsidRPr="001003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EC734" wp14:editId="1760E306">
                <wp:simplePos x="0" y="0"/>
                <wp:positionH relativeFrom="margin">
                  <wp:posOffset>3129915</wp:posOffset>
                </wp:positionH>
                <wp:positionV relativeFrom="paragraph">
                  <wp:posOffset>12065</wp:posOffset>
                </wp:positionV>
                <wp:extent cx="3133725" cy="561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DC87B" w14:textId="4112E590" w:rsidR="00100334" w:rsidRPr="005975A0" w:rsidRDefault="00100334" w:rsidP="0077037D">
                            <w:pPr>
                              <w:ind w:left="90" w:hangingChars="50" w:hanging="90"/>
                              <w:rPr>
                                <w:b/>
                                <w:lang w:val="en-US"/>
                              </w:rPr>
                            </w:pPr>
                            <w:r w:rsidRPr="005975A0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5975A0">
                              <w:rPr>
                                <w:rFonts w:asciiTheme="minorHAnsi" w:eastAsia="MS PGothic" w:hAnsiTheme="minorHAnsi" w:cstheme="minorHAnsi"/>
                                <w:b/>
                                <w:szCs w:val="18"/>
                                <w:lang w:val="en-US"/>
                              </w:rPr>
                              <w:t>Figure 2</w:t>
                            </w:r>
                            <w:r w:rsidRPr="005975A0">
                              <w:rPr>
                                <w:rFonts w:asciiTheme="minorHAnsi" w:eastAsia="MS PGothic" w:hAnsiTheme="minorHAnsi" w:cstheme="minorHAnsi"/>
                                <w:b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Deviation distribution </w:t>
                            </w:r>
                            <w:r w:rsidR="00415EF3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>of the</w:t>
                            </w:r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 calculated values from</w:t>
                            </w:r>
                            <w:r w:rsidR="00415EF3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 the</w:t>
                            </w:r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01408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NRTL-HOC model with </w:t>
                            </w:r>
                            <w:r w:rsidR="00865061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the </w:t>
                            </w:r>
                            <w:r w:rsidR="00F01408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measured values for 1,2,4-trimethylbenzene +</w:t>
                            </w:r>
                            <w:r w:rsidR="00865061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 </w:t>
                            </w:r>
                            <w:r w:rsidR="00F01408" w:rsidRPr="005975A0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18"/>
                              </w:rPr>
                              <w:t>p</w:t>
                            </w:r>
                            <w:r w:rsidR="00F01408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-xylene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C7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45pt;margin-top:.95pt;width:246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" filled="f" stroked="f" strokeweight=".5pt">
                <v:textbox>
                  <w:txbxContent>
                    <w:p w14:paraId="63ADC87B" w14:textId="4112E590" w:rsidR="00100334" w:rsidRPr="005975A0" w:rsidRDefault="00100334" w:rsidP="0077037D">
                      <w:pPr>
                        <w:ind w:left="90" w:hangingChars="50" w:hanging="90"/>
                        <w:rPr>
                          <w:b/>
                          <w:lang w:val="en-US"/>
                        </w:rPr>
                      </w:pPr>
                      <w:r w:rsidRPr="005975A0"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</w:t>
                      </w:r>
                      <w:r w:rsidRPr="005975A0">
                        <w:rPr>
                          <w:rFonts w:asciiTheme="minorHAnsi" w:eastAsia="MS PGothic" w:hAnsiTheme="minorHAnsi" w:cstheme="minorHAnsi"/>
                          <w:b/>
                          <w:szCs w:val="18"/>
                          <w:lang w:val="en-US"/>
                        </w:rPr>
                        <w:t>Figure 2</w:t>
                      </w:r>
                      <w:r w:rsidRPr="005975A0">
                        <w:rPr>
                          <w:rFonts w:asciiTheme="minorHAnsi" w:eastAsia="MS PGothic" w:hAnsiTheme="minorHAnsi" w:cstheme="minorHAnsi"/>
                          <w:b/>
                          <w:szCs w:val="18"/>
                          <w:lang w:val="en-US" w:eastAsia="ko-KR"/>
                        </w:rPr>
                        <w:t>.</w:t>
                      </w:r>
                      <w:r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 </w:t>
                      </w:r>
                      <w:r w:rsidR="00F01408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Deviation distribution </w:t>
                      </w:r>
                      <w:r w:rsidR="00415EF3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>of the</w:t>
                      </w:r>
                      <w:r w:rsidR="00F01408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 calculated values from</w:t>
                      </w:r>
                      <w:r w:rsidR="00415EF3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 the</w:t>
                      </w:r>
                      <w:r w:rsidR="00F01408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 </w:t>
                      </w:r>
                      <w:r w:rsidR="00F01408" w:rsidRPr="005975A0">
                        <w:rPr>
                          <w:rFonts w:asciiTheme="minorHAnsi" w:hAnsiTheme="minorHAnsi" w:cstheme="minorHAnsi"/>
                          <w:szCs w:val="18"/>
                        </w:rPr>
                        <w:t xml:space="preserve">NRTL-HOC model with </w:t>
                      </w:r>
                      <w:r w:rsidR="00865061" w:rsidRPr="005975A0">
                        <w:rPr>
                          <w:rFonts w:asciiTheme="minorHAnsi" w:hAnsiTheme="minorHAnsi" w:cstheme="minorHAnsi"/>
                          <w:szCs w:val="18"/>
                        </w:rPr>
                        <w:t xml:space="preserve">the </w:t>
                      </w:r>
                      <w:r w:rsidR="00F01408" w:rsidRPr="005975A0">
                        <w:rPr>
                          <w:rFonts w:asciiTheme="minorHAnsi" w:hAnsiTheme="minorHAnsi" w:cstheme="minorHAnsi"/>
                          <w:szCs w:val="18"/>
                        </w:rPr>
                        <w:t>measured values for 1,2,4-trimethylbenzene +</w:t>
                      </w:r>
                      <w:r w:rsidR="00865061" w:rsidRPr="005975A0">
                        <w:rPr>
                          <w:rFonts w:asciiTheme="minorHAnsi" w:hAnsiTheme="minorHAnsi" w:cstheme="minorHAnsi"/>
                          <w:szCs w:val="18"/>
                        </w:rPr>
                        <w:t xml:space="preserve"> </w:t>
                      </w:r>
                      <w:r w:rsidR="00F01408" w:rsidRPr="005975A0">
                        <w:rPr>
                          <w:rFonts w:asciiTheme="minorHAnsi" w:hAnsiTheme="minorHAnsi" w:cstheme="minorHAnsi"/>
                          <w:i/>
                          <w:iCs/>
                          <w:szCs w:val="18"/>
                        </w:rPr>
                        <w:t>p</w:t>
                      </w:r>
                      <w:r w:rsidR="00F01408" w:rsidRPr="005975A0">
                        <w:rPr>
                          <w:rFonts w:asciiTheme="minorHAnsi" w:hAnsiTheme="minorHAnsi" w:cstheme="minorHAnsi"/>
                          <w:szCs w:val="18"/>
                        </w:rPr>
                        <w:t>-xylene 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C84CF" wp14:editId="4CF1BA2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152775" cy="7524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959D3" w14:textId="0CFD9351" w:rsidR="00100334" w:rsidRPr="005975A0" w:rsidRDefault="00100334" w:rsidP="0077037D">
                            <w:pPr>
                              <w:ind w:left="90" w:hangingChars="50" w:hanging="90"/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  <w:lang w:val="en-US"/>
                              </w:rPr>
                            </w:pPr>
                            <w:r w:rsidRPr="005975A0"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975A0">
                              <w:rPr>
                                <w:rFonts w:asciiTheme="minorHAnsi" w:eastAsia="MS PGothic" w:hAnsiTheme="minorHAnsi" w:cstheme="minorHAnsi"/>
                                <w:b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bookmarkStart w:id="1" w:name="_Toc512599315"/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b/>
                                <w:szCs w:val="18"/>
                                <w:lang w:val="en-US"/>
                              </w:rPr>
                              <w:t>1</w:t>
                            </w:r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b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 Deviation distribution of </w:t>
                            </w:r>
                            <w:r w:rsidR="00415EF3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>calculated values from</w:t>
                            </w:r>
                            <w:r w:rsidR="00415EF3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 the</w:t>
                            </w:r>
                            <w:r w:rsidR="00F01408" w:rsidRPr="005975A0">
                              <w:rPr>
                                <w:rFonts w:asciiTheme="minorHAnsi" w:eastAsia="MS PGothic" w:hAnsiTheme="minorHAnsi" w:cstheme="minorHAnsi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15EF3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NRTL-HOC </w:t>
                            </w:r>
                            <w:r w:rsidR="00F01408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model with </w:t>
                            </w:r>
                            <w:r w:rsidR="00865061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the </w:t>
                            </w:r>
                            <w:r w:rsidR="00F01408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measured values </w:t>
                            </w:r>
                            <w:r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for 1,2,4-trimethylbenzene +</w:t>
                            </w:r>
                            <w:r w:rsidR="00865061" w:rsidRPr="005975A0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18"/>
                              </w:rPr>
                              <w:t xml:space="preserve"> </w:t>
                            </w:r>
                            <w:r w:rsidRPr="005975A0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18"/>
                              </w:rPr>
                              <w:t>m</w:t>
                            </w:r>
                            <w:r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-xylene system</w:t>
                            </w:r>
                            <w:bookmarkEnd w:id="1"/>
                            <w:r w:rsidR="00F01408" w:rsidRPr="005975A0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84CF" id="Text Box 11" o:spid="_x0000_s1027" type="#_x0000_t202" style="position:absolute;left:0;text-align:left;margin-left:0;margin-top:.95pt;width:248.2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" filled="f" stroked="f" strokeweight=".5pt">
                <v:textbox>
                  <w:txbxContent>
                    <w:p w14:paraId="678959D3" w14:textId="0CFD9351" w:rsidR="00100334" w:rsidRPr="005975A0" w:rsidRDefault="00100334" w:rsidP="0077037D">
                      <w:pPr>
                        <w:ind w:left="90" w:hangingChars="50" w:hanging="90"/>
                        <w:rPr>
                          <w:rFonts w:asciiTheme="minorHAnsi" w:hAnsiTheme="minorHAnsi" w:cstheme="minorHAnsi"/>
                          <w:b/>
                          <w:szCs w:val="18"/>
                          <w:lang w:val="en-US"/>
                        </w:rPr>
                      </w:pPr>
                      <w:r w:rsidRPr="005975A0">
                        <w:rPr>
                          <w:rFonts w:asciiTheme="minorHAnsi" w:hAnsiTheme="minorHAnsi" w:cstheme="minorHAnsi"/>
                          <w:b/>
                          <w:szCs w:val="18"/>
                          <w:lang w:val="en-US"/>
                        </w:rPr>
                        <w:t xml:space="preserve"> </w:t>
                      </w:r>
                      <w:r w:rsidRPr="005975A0">
                        <w:rPr>
                          <w:rFonts w:asciiTheme="minorHAnsi" w:eastAsia="MS PGothic" w:hAnsiTheme="minorHAnsi" w:cstheme="minorHAnsi"/>
                          <w:b/>
                          <w:szCs w:val="18"/>
                          <w:lang w:val="en-US"/>
                        </w:rPr>
                        <w:t xml:space="preserve">Figure </w:t>
                      </w:r>
                      <w:bookmarkStart w:id="2" w:name="_Toc512599315"/>
                      <w:r w:rsidR="00F01408" w:rsidRPr="005975A0">
                        <w:rPr>
                          <w:rFonts w:asciiTheme="minorHAnsi" w:eastAsia="MS PGothic" w:hAnsiTheme="minorHAnsi" w:cstheme="minorHAnsi"/>
                          <w:b/>
                          <w:szCs w:val="18"/>
                          <w:lang w:val="en-US"/>
                        </w:rPr>
                        <w:t>1</w:t>
                      </w:r>
                      <w:r w:rsidR="00F01408" w:rsidRPr="005975A0">
                        <w:rPr>
                          <w:rFonts w:asciiTheme="minorHAnsi" w:eastAsia="MS PGothic" w:hAnsiTheme="minorHAnsi" w:cstheme="minorHAnsi"/>
                          <w:b/>
                          <w:szCs w:val="18"/>
                          <w:lang w:val="en-US" w:eastAsia="ko-KR"/>
                        </w:rPr>
                        <w:t>.</w:t>
                      </w:r>
                      <w:r w:rsidR="00F01408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 Deviation distribution of </w:t>
                      </w:r>
                      <w:r w:rsidR="00415EF3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the </w:t>
                      </w:r>
                      <w:r w:rsidR="00F01408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>calculated values from</w:t>
                      </w:r>
                      <w:r w:rsidR="00415EF3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 the</w:t>
                      </w:r>
                      <w:r w:rsidR="00F01408" w:rsidRPr="005975A0">
                        <w:rPr>
                          <w:rFonts w:asciiTheme="minorHAnsi" w:eastAsia="MS PGothic" w:hAnsiTheme="minorHAnsi" w:cstheme="minorHAnsi"/>
                          <w:szCs w:val="18"/>
                          <w:lang w:val="en-US"/>
                        </w:rPr>
                        <w:t xml:space="preserve"> </w:t>
                      </w:r>
                      <w:r w:rsidR="00415EF3" w:rsidRPr="005975A0">
                        <w:rPr>
                          <w:rFonts w:asciiTheme="minorHAnsi" w:hAnsiTheme="minorHAnsi" w:cstheme="minorHAnsi"/>
                          <w:szCs w:val="18"/>
                        </w:rPr>
                        <w:t xml:space="preserve">NRTL-HOC </w:t>
                      </w:r>
                      <w:r w:rsidR="00F01408" w:rsidRPr="005975A0">
                        <w:rPr>
                          <w:rFonts w:asciiTheme="minorHAnsi" w:hAnsiTheme="minorHAnsi" w:cstheme="minorHAnsi"/>
                          <w:szCs w:val="18"/>
                        </w:rPr>
                        <w:t xml:space="preserve">model with </w:t>
                      </w:r>
                      <w:r w:rsidR="00865061" w:rsidRPr="005975A0">
                        <w:rPr>
                          <w:rFonts w:asciiTheme="minorHAnsi" w:hAnsiTheme="minorHAnsi" w:cstheme="minorHAnsi"/>
                          <w:szCs w:val="18"/>
                        </w:rPr>
                        <w:t xml:space="preserve">the </w:t>
                      </w:r>
                      <w:r w:rsidR="00F01408" w:rsidRPr="005975A0">
                        <w:rPr>
                          <w:rFonts w:asciiTheme="minorHAnsi" w:hAnsiTheme="minorHAnsi" w:cstheme="minorHAnsi"/>
                          <w:szCs w:val="18"/>
                        </w:rPr>
                        <w:t xml:space="preserve">measured values </w:t>
                      </w:r>
                      <w:r w:rsidRPr="005975A0">
                        <w:rPr>
                          <w:rFonts w:asciiTheme="minorHAnsi" w:hAnsiTheme="minorHAnsi" w:cstheme="minorHAnsi"/>
                          <w:szCs w:val="18"/>
                        </w:rPr>
                        <w:t>for 1,2,4-trimethylbenzene +</w:t>
                      </w:r>
                      <w:r w:rsidR="00865061" w:rsidRPr="005975A0">
                        <w:rPr>
                          <w:rFonts w:asciiTheme="minorHAnsi" w:hAnsiTheme="minorHAnsi" w:cstheme="minorHAnsi"/>
                          <w:i/>
                          <w:iCs/>
                          <w:szCs w:val="18"/>
                        </w:rPr>
                        <w:t xml:space="preserve"> </w:t>
                      </w:r>
                      <w:r w:rsidRPr="005975A0">
                        <w:rPr>
                          <w:rFonts w:asciiTheme="minorHAnsi" w:hAnsiTheme="minorHAnsi" w:cstheme="minorHAnsi"/>
                          <w:i/>
                          <w:iCs/>
                          <w:szCs w:val="18"/>
                        </w:rPr>
                        <w:t>m</w:t>
                      </w:r>
                      <w:r w:rsidRPr="005975A0">
                        <w:rPr>
                          <w:rFonts w:asciiTheme="minorHAnsi" w:hAnsiTheme="minorHAnsi" w:cstheme="minorHAnsi"/>
                          <w:szCs w:val="18"/>
                        </w:rPr>
                        <w:t>-xylene system</w:t>
                      </w:r>
                      <w:bookmarkEnd w:id="2"/>
                      <w:r w:rsidR="00F01408" w:rsidRPr="005975A0">
                        <w:rPr>
                          <w:rFonts w:asciiTheme="minorHAnsi" w:hAnsiTheme="minorHAnsi" w:cstheme="minorHAnsi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334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753B7E8B" w14:textId="4240BFC0" w:rsidR="00100334" w:rsidRPr="00E46E35" w:rsidRDefault="00100334" w:rsidP="00E46E35">
      <w:pPr>
        <w:pStyle w:val="a"/>
        <w:ind w:leftChars="150" w:left="2250" w:hangingChars="1100" w:hanging="19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5C63522" w14:textId="3DB6145E" w:rsidR="00F01408" w:rsidRDefault="00F01408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0672820D" w14:textId="2EB10955" w:rsidR="00704BDF" w:rsidRPr="005975A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 w:eastAsia="ko-KR"/>
        </w:rPr>
      </w:pPr>
      <w:r w:rsidRPr="005975A0">
        <w:rPr>
          <w:rFonts w:asciiTheme="minorHAnsi" w:eastAsia="MS PGothic" w:hAnsiTheme="minorHAnsi"/>
          <w:b/>
          <w:bCs/>
          <w:sz w:val="22"/>
          <w:szCs w:val="22"/>
          <w:lang w:val="en-US"/>
        </w:rPr>
        <w:t>4. Conclusion</w:t>
      </w:r>
      <w:r w:rsidRPr="005975A0"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  <w:t>s</w:t>
      </w:r>
    </w:p>
    <w:p w14:paraId="71F3E165" w14:textId="6BD058C2" w:rsidR="004E1E89" w:rsidRPr="00F7245C" w:rsidRDefault="007219F0" w:rsidP="004E1E89">
      <w:pPr>
        <w:snapToGrid w:val="0"/>
        <w:spacing w:after="120"/>
        <w:rPr>
          <w:rFonts w:asciiTheme="minorHAnsi" w:eastAsia="MS PGothic" w:hAnsiTheme="minorHAnsi" w:cstheme="minorHAnsi"/>
          <w:b/>
          <w:sz w:val="22"/>
          <w:szCs w:val="22"/>
        </w:rPr>
      </w:pPr>
      <w:r w:rsidRPr="00F7245C">
        <w:rPr>
          <w:rFonts w:asciiTheme="minorHAnsi" w:eastAsia="MS PGothic" w:hAnsiTheme="minorHAnsi" w:cstheme="minorHAnsi"/>
          <w:sz w:val="22"/>
          <w:szCs w:val="22"/>
          <w:lang w:val="en-US"/>
        </w:rPr>
        <w:t>In th</w:t>
      </w:r>
      <w:r w:rsidR="00865061" w:rsidRPr="00F7245C">
        <w:rPr>
          <w:rFonts w:asciiTheme="minorHAnsi" w:eastAsia="MS PGothic" w:hAnsiTheme="minorHAnsi" w:cstheme="minorHAnsi"/>
          <w:sz w:val="22"/>
          <w:szCs w:val="22"/>
          <w:lang w:val="en-US"/>
        </w:rPr>
        <w:t>e present study</w:t>
      </w:r>
      <w:r w:rsidR="00987A29" w:rsidRPr="00F7245C">
        <w:rPr>
          <w:rFonts w:asciiTheme="minorHAnsi" w:eastAsia="MS PGothic" w:hAnsiTheme="minorHAnsi" w:cstheme="minorHAnsi"/>
          <w:sz w:val="22"/>
          <w:szCs w:val="22"/>
          <w:lang w:val="en-US"/>
        </w:rPr>
        <w:t>,</w:t>
      </w:r>
      <w:r w:rsidRPr="00F7245C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987A29" w:rsidRPr="00F7245C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the </w:t>
      </w:r>
      <w:r w:rsidRPr="00F7245C">
        <w:rPr>
          <w:rFonts w:asciiTheme="minorHAnsi" w:eastAsia="標楷體" w:hAnsiTheme="minorHAnsi" w:cstheme="minorHAnsi"/>
          <w:sz w:val="22"/>
          <w:szCs w:val="22"/>
        </w:rPr>
        <w:t>VLE data</w:t>
      </w:r>
      <w:r w:rsidRPr="00F7245C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of </w:t>
      </w:r>
      <w:r w:rsidRPr="00F7245C">
        <w:rPr>
          <w:rFonts w:asciiTheme="minorHAnsi" w:hAnsiTheme="minorHAnsi" w:cstheme="minorHAnsi"/>
          <w:sz w:val="22"/>
          <w:szCs w:val="22"/>
        </w:rPr>
        <w:t xml:space="preserve">1,2,4-trimethyl benzene + </w:t>
      </w:r>
      <w:r w:rsidRPr="00F7245C">
        <w:rPr>
          <w:rFonts w:asciiTheme="minorHAnsi" w:hAnsiTheme="minorHAnsi" w:cstheme="minorHAnsi"/>
          <w:i/>
          <w:sz w:val="22"/>
          <w:szCs w:val="22"/>
        </w:rPr>
        <w:t>m</w:t>
      </w:r>
      <w:r w:rsidRPr="00F7245C">
        <w:rPr>
          <w:rFonts w:asciiTheme="minorHAnsi" w:hAnsiTheme="minorHAnsi" w:cstheme="minorHAnsi"/>
          <w:sz w:val="22"/>
          <w:szCs w:val="22"/>
        </w:rPr>
        <w:t>-xylene and 1,2,4-trimethyl benzene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 </w:t>
      </w:r>
      <w:r w:rsidRPr="00F7245C">
        <w:rPr>
          <w:rFonts w:asciiTheme="minorHAnsi" w:hAnsiTheme="minorHAnsi" w:cstheme="minorHAnsi"/>
          <w:sz w:val="22"/>
          <w:szCs w:val="22"/>
        </w:rPr>
        <w:t xml:space="preserve">+ </w:t>
      </w:r>
      <w:r w:rsidRPr="00F7245C">
        <w:rPr>
          <w:rFonts w:asciiTheme="minorHAnsi" w:hAnsiTheme="minorHAnsi" w:cstheme="minorHAnsi"/>
          <w:i/>
          <w:sz w:val="22"/>
          <w:szCs w:val="22"/>
        </w:rPr>
        <w:t>p</w:t>
      </w:r>
      <w:r w:rsidRPr="00F7245C">
        <w:rPr>
          <w:rFonts w:asciiTheme="minorHAnsi" w:hAnsiTheme="minorHAnsi" w:cstheme="minorHAnsi"/>
          <w:sz w:val="22"/>
          <w:szCs w:val="22"/>
        </w:rPr>
        <w:t>-xylene were measured at temperature</w:t>
      </w:r>
      <w:r w:rsidR="00865061" w:rsidRPr="00F7245C">
        <w:rPr>
          <w:rFonts w:asciiTheme="minorHAnsi" w:hAnsiTheme="minorHAnsi" w:cstheme="minorHAnsi"/>
          <w:sz w:val="22"/>
          <w:szCs w:val="22"/>
        </w:rPr>
        <w:t>s</w:t>
      </w:r>
      <w:r w:rsidRPr="00F7245C">
        <w:rPr>
          <w:rFonts w:asciiTheme="minorHAnsi" w:hAnsiTheme="minorHAnsi" w:cstheme="minorHAnsi"/>
          <w:sz w:val="22"/>
          <w:szCs w:val="22"/>
        </w:rPr>
        <w:t xml:space="preserve"> </w:t>
      </w:r>
      <w:r w:rsidR="00C97920" w:rsidRPr="00F7245C">
        <w:rPr>
          <w:rFonts w:asciiTheme="minorHAnsi" w:hAnsiTheme="minorHAnsi" w:cstheme="minorHAnsi"/>
          <w:sz w:val="22"/>
          <w:szCs w:val="22"/>
        </w:rPr>
        <w:t>from</w:t>
      </w:r>
      <w:r w:rsidRPr="00F7245C">
        <w:rPr>
          <w:rFonts w:asciiTheme="minorHAnsi" w:hAnsiTheme="minorHAnsi" w:cstheme="minorHAnsi"/>
          <w:sz w:val="22"/>
          <w:szCs w:val="22"/>
        </w:rPr>
        <w:t xml:space="preserve"> 363.15</w:t>
      </w:r>
      <w:r w:rsidR="00C97920" w:rsidRPr="00F7245C">
        <w:rPr>
          <w:rFonts w:asciiTheme="minorHAnsi" w:hAnsiTheme="minorHAnsi" w:cstheme="minorHAnsi"/>
          <w:sz w:val="22"/>
          <w:szCs w:val="22"/>
        </w:rPr>
        <w:t xml:space="preserve"> K </w:t>
      </w:r>
      <w:r w:rsidR="00865061" w:rsidRPr="00F7245C">
        <w:rPr>
          <w:rFonts w:asciiTheme="minorHAnsi" w:hAnsiTheme="minorHAnsi" w:cstheme="minorHAnsi"/>
          <w:sz w:val="22"/>
          <w:szCs w:val="22"/>
        </w:rPr>
        <w:t>to</w:t>
      </w:r>
      <w:r w:rsidR="00C97920" w:rsidRPr="00F7245C">
        <w:rPr>
          <w:rFonts w:asciiTheme="minorHAnsi" w:hAnsiTheme="minorHAnsi" w:cstheme="minorHAnsi"/>
          <w:sz w:val="22"/>
          <w:szCs w:val="22"/>
        </w:rPr>
        <w:t xml:space="preserve"> </w:t>
      </w:r>
      <w:r w:rsidRPr="00F7245C">
        <w:rPr>
          <w:rFonts w:asciiTheme="minorHAnsi" w:hAnsiTheme="minorHAnsi" w:cstheme="minorHAnsi"/>
          <w:sz w:val="22"/>
          <w:szCs w:val="22"/>
        </w:rPr>
        <w:t xml:space="preserve">473.15 </w:t>
      </w:r>
      <w:r w:rsidR="00C97920" w:rsidRPr="00F7245C">
        <w:rPr>
          <w:rFonts w:asciiTheme="minorHAnsi" w:hAnsiTheme="minorHAnsi" w:cstheme="minorHAnsi"/>
          <w:sz w:val="22"/>
          <w:szCs w:val="22"/>
        </w:rPr>
        <w:t>K</w:t>
      </w:r>
      <w:r w:rsidR="00A02AA3" w:rsidRPr="00F7245C">
        <w:rPr>
          <w:rFonts w:asciiTheme="minorHAnsi" w:eastAsia="MS PGothic" w:hAnsiTheme="minorHAnsi" w:cstheme="minorHAnsi"/>
          <w:sz w:val="22"/>
          <w:szCs w:val="22"/>
          <w:lang w:val="en-US"/>
        </w:rPr>
        <w:t>.</w:t>
      </w:r>
      <w:r w:rsidR="00A02AA3" w:rsidRPr="00F7245C">
        <w:rPr>
          <w:rFonts w:asciiTheme="minorHAnsi" w:eastAsia="標楷體" w:hAnsiTheme="minorHAnsi" w:cstheme="minorHAnsi"/>
          <w:sz w:val="22"/>
          <w:szCs w:val="22"/>
        </w:rPr>
        <w:t xml:space="preserve"> The experimental results exhibit no azeotropic behavior </w:t>
      </w:r>
      <w:r w:rsidR="00865061" w:rsidRPr="00F7245C">
        <w:rPr>
          <w:rFonts w:asciiTheme="minorHAnsi" w:eastAsia="標楷體" w:hAnsiTheme="minorHAnsi" w:cstheme="minorHAnsi"/>
          <w:sz w:val="22"/>
          <w:szCs w:val="22"/>
        </w:rPr>
        <w:t xml:space="preserve">over </w:t>
      </w:r>
      <w:r w:rsidR="00A02AA3" w:rsidRPr="00F7245C">
        <w:rPr>
          <w:rFonts w:asciiTheme="minorHAnsi" w:eastAsia="標楷體" w:hAnsiTheme="minorHAnsi" w:cstheme="minorHAnsi"/>
          <w:sz w:val="22"/>
          <w:szCs w:val="22"/>
        </w:rPr>
        <w:t>whole temperature ranges studied here.</w:t>
      </w:r>
      <w:r w:rsidR="00A02AA3" w:rsidRPr="00F724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2AA3" w:rsidRPr="00F7245C">
        <w:rPr>
          <w:rFonts w:asciiTheme="minorHAnsi" w:hAnsiTheme="minorHAnsi" w:cstheme="minorHAnsi"/>
          <w:sz w:val="22"/>
          <w:szCs w:val="22"/>
        </w:rPr>
        <w:t xml:space="preserve">The calculated results reveal that the NRTL-HOC model can accurately represent the VLE behaviour for these 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two </w:t>
      </w:r>
      <w:r w:rsidR="00A02AA3" w:rsidRPr="00F7245C">
        <w:rPr>
          <w:rFonts w:asciiTheme="minorHAnsi" w:hAnsiTheme="minorHAnsi" w:cstheme="minorHAnsi"/>
          <w:sz w:val="22"/>
          <w:szCs w:val="22"/>
        </w:rPr>
        <w:t xml:space="preserve">investigated systems. These experimental data are 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fundamentally </w:t>
      </w:r>
      <w:r w:rsidR="00A02AA3" w:rsidRPr="00F7245C">
        <w:rPr>
          <w:rFonts w:asciiTheme="minorHAnsi" w:hAnsiTheme="minorHAnsi" w:cstheme="minorHAnsi"/>
          <w:sz w:val="22"/>
          <w:szCs w:val="22"/>
        </w:rPr>
        <w:t xml:space="preserve">important </w:t>
      </w:r>
      <w:r w:rsidR="00865061" w:rsidRPr="00F7245C">
        <w:rPr>
          <w:rFonts w:asciiTheme="minorHAnsi" w:hAnsiTheme="minorHAnsi" w:cstheme="minorHAnsi"/>
          <w:sz w:val="22"/>
          <w:szCs w:val="22"/>
        </w:rPr>
        <w:t>to conduc</w:t>
      </w:r>
      <w:r w:rsidR="0021464D" w:rsidRPr="00F7245C">
        <w:rPr>
          <w:rFonts w:asciiTheme="minorHAnsi" w:hAnsiTheme="minorHAnsi" w:cstheme="minorHAnsi"/>
          <w:sz w:val="22"/>
          <w:szCs w:val="22"/>
        </w:rPr>
        <w:t>t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 the</w:t>
      </w:r>
      <w:r w:rsidR="00A02AA3" w:rsidRPr="00F7245C">
        <w:rPr>
          <w:rFonts w:asciiTheme="minorHAnsi" w:hAnsiTheme="minorHAnsi" w:cstheme="minorHAnsi"/>
          <w:sz w:val="22"/>
          <w:szCs w:val="22"/>
        </w:rPr>
        <w:t xml:space="preserve"> optim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al </w:t>
      </w:r>
      <w:r w:rsidR="00A02AA3" w:rsidRPr="00F7245C">
        <w:rPr>
          <w:rFonts w:asciiTheme="minorHAnsi" w:hAnsiTheme="minorHAnsi" w:cstheme="minorHAnsi"/>
          <w:sz w:val="22"/>
          <w:szCs w:val="22"/>
        </w:rPr>
        <w:t>process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 simulation and design for </w:t>
      </w:r>
      <w:r w:rsidR="00C3304A" w:rsidRPr="00F7245C">
        <w:rPr>
          <w:rFonts w:asciiTheme="minorHAnsi" w:hAnsiTheme="minorHAnsi" w:cstheme="minorHAnsi"/>
          <w:sz w:val="22"/>
          <w:szCs w:val="22"/>
        </w:rPr>
        <w:t xml:space="preserve">an 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oil refinery </w:t>
      </w:r>
      <w:r w:rsidR="00C3304A" w:rsidRPr="00F7245C">
        <w:rPr>
          <w:rFonts w:asciiTheme="minorHAnsi" w:hAnsiTheme="minorHAnsi" w:cstheme="minorHAnsi"/>
          <w:sz w:val="22"/>
          <w:szCs w:val="22"/>
        </w:rPr>
        <w:t>plant</w:t>
      </w:r>
      <w:r w:rsidR="00865061" w:rsidRPr="00F7245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1AD422" w14:textId="3BE81185" w:rsidR="00704BDF" w:rsidRPr="005975A0" w:rsidRDefault="00704BDF" w:rsidP="004E1E89">
      <w:pPr>
        <w:snapToGrid w:val="0"/>
        <w:spacing w:after="120"/>
        <w:rPr>
          <w:rFonts w:asciiTheme="minorHAnsi" w:eastAsia="MS PGothic" w:hAnsiTheme="minorHAnsi" w:cstheme="minorHAnsi"/>
          <w:b/>
          <w:sz w:val="22"/>
          <w:szCs w:val="22"/>
        </w:rPr>
      </w:pPr>
      <w:r w:rsidRPr="005975A0">
        <w:rPr>
          <w:rFonts w:asciiTheme="minorHAnsi" w:eastAsia="MS PGothic" w:hAnsiTheme="minorHAnsi"/>
          <w:b/>
          <w:bCs/>
          <w:sz w:val="20"/>
          <w:lang w:val="en-US"/>
        </w:rPr>
        <w:t xml:space="preserve">References </w:t>
      </w:r>
      <w:r w:rsidR="008D0BEB" w:rsidRPr="005975A0">
        <w:rPr>
          <w:rFonts w:asciiTheme="minorHAnsi" w:eastAsia="MS PGothic" w:hAnsiTheme="minorHAnsi"/>
          <w:b/>
          <w:bCs/>
          <w:sz w:val="20"/>
          <w:lang w:val="en-US"/>
        </w:rPr>
        <w:t xml:space="preserve"> </w:t>
      </w:r>
    </w:p>
    <w:p w14:paraId="0448DA52" w14:textId="77777777" w:rsidR="00704BDF" w:rsidRPr="005975A0" w:rsidRDefault="00B5065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</w:rPr>
      </w:pPr>
      <w:r w:rsidRPr="005975A0">
        <w:rPr>
          <w:rFonts w:asciiTheme="minorHAnsi" w:hAnsiTheme="minorHAnsi" w:cstheme="minorHAnsi"/>
        </w:rPr>
        <w:t>I</w:t>
      </w:r>
      <w:r w:rsidR="00704BDF" w:rsidRPr="005975A0">
        <w:rPr>
          <w:rFonts w:asciiTheme="minorHAnsi" w:hAnsiTheme="minorHAnsi" w:cstheme="minorHAnsi"/>
        </w:rPr>
        <w:t>.</w:t>
      </w:r>
      <w:r w:rsidRPr="005975A0">
        <w:rPr>
          <w:rFonts w:asciiTheme="minorHAnsi" w:eastAsiaTheme="minorEastAsia" w:hAnsiTheme="minorHAnsi" w:cstheme="minorHAnsi"/>
        </w:rPr>
        <w:t xml:space="preserve"> Khoiroh</w:t>
      </w:r>
      <w:r w:rsidRPr="005975A0">
        <w:rPr>
          <w:rFonts w:asciiTheme="minorHAnsi" w:hAnsiTheme="minorHAnsi" w:cstheme="minorHAnsi"/>
        </w:rPr>
        <w:t>,</w:t>
      </w:r>
      <w:r w:rsidR="00704BDF" w:rsidRPr="005975A0">
        <w:rPr>
          <w:rFonts w:asciiTheme="minorHAnsi" w:hAnsiTheme="minorHAnsi" w:cstheme="minorHAnsi"/>
        </w:rPr>
        <w:t xml:space="preserve"> </w:t>
      </w:r>
      <w:r w:rsidRPr="005975A0">
        <w:rPr>
          <w:rFonts w:asciiTheme="minorHAnsi" w:eastAsia="標楷體" w:hAnsiTheme="minorHAnsi" w:cstheme="minorHAnsi"/>
        </w:rPr>
        <w:t>M. L. Lee,</w:t>
      </w:r>
      <w:r w:rsidR="00704BDF" w:rsidRPr="005975A0">
        <w:rPr>
          <w:rFonts w:asciiTheme="minorHAnsi" w:hAnsiTheme="minorHAnsi" w:cstheme="minorHAnsi"/>
        </w:rPr>
        <w:t xml:space="preserve"> </w:t>
      </w:r>
      <w:r w:rsidRPr="005975A0">
        <w:rPr>
          <w:rFonts w:asciiTheme="minorHAnsi" w:hAnsiTheme="minorHAnsi" w:cstheme="minorHAnsi"/>
        </w:rPr>
        <w:t>Chem. Thermodynamics</w:t>
      </w:r>
      <w:r w:rsidR="00704BDF" w:rsidRPr="005975A0">
        <w:rPr>
          <w:rFonts w:asciiTheme="minorHAnsi" w:hAnsiTheme="minorHAnsi" w:cstheme="minorHAnsi"/>
        </w:rPr>
        <w:t xml:space="preserve">. J. </w:t>
      </w:r>
      <w:r w:rsidRPr="005975A0">
        <w:rPr>
          <w:rFonts w:asciiTheme="minorHAnsi" w:eastAsiaTheme="minorEastAsia" w:hAnsiTheme="minorHAnsi" w:cstheme="minorHAnsi"/>
        </w:rPr>
        <w:t>56 (2013) 99–105</w:t>
      </w:r>
      <w:r w:rsidR="00704BDF" w:rsidRPr="005975A0">
        <w:rPr>
          <w:rFonts w:asciiTheme="minorHAnsi" w:hAnsiTheme="minorHAnsi" w:cstheme="minorHAnsi"/>
        </w:rPr>
        <w:t>.</w:t>
      </w:r>
    </w:p>
    <w:p w14:paraId="79FA296C" w14:textId="061D02EB" w:rsidR="00E46E35" w:rsidRPr="005975A0" w:rsidRDefault="004E58E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</w:rPr>
      </w:pPr>
      <w:r w:rsidRPr="005975A0">
        <w:rPr>
          <w:rFonts w:asciiTheme="minorHAnsi" w:eastAsia="標楷體" w:hAnsiTheme="minorHAnsi" w:cstheme="minorHAnsi"/>
          <w:lang w:eastAsia="zh-TW"/>
        </w:rPr>
        <w:t>H. Renon, J. M. Prausnitz,</w:t>
      </w:r>
      <w:r w:rsidRPr="005975A0">
        <w:rPr>
          <w:rFonts w:asciiTheme="minorHAnsi" w:eastAsia="標楷體" w:hAnsiTheme="minorHAnsi" w:cstheme="minorHAnsi"/>
        </w:rPr>
        <w:t xml:space="preserve"> AIChE.J.</w:t>
      </w:r>
      <w:r w:rsidRPr="005975A0">
        <w:rPr>
          <w:rFonts w:asciiTheme="minorHAnsi" w:eastAsia="標楷體" w:hAnsiTheme="minorHAnsi" w:cstheme="minorHAnsi"/>
          <w:bCs/>
        </w:rPr>
        <w:t>14</w:t>
      </w:r>
      <w:r w:rsidRPr="005975A0">
        <w:rPr>
          <w:rFonts w:asciiTheme="minorHAnsi" w:eastAsia="標楷體" w:hAnsiTheme="minorHAnsi" w:cstheme="minorHAnsi"/>
        </w:rPr>
        <w:t xml:space="preserve"> (1968)</w:t>
      </w:r>
      <w:r w:rsidR="00916E35" w:rsidRPr="005975A0">
        <w:rPr>
          <w:rFonts w:asciiTheme="minorHAnsi" w:eastAsia="標楷體" w:hAnsiTheme="minorHAnsi" w:cstheme="minorHAnsi"/>
        </w:rPr>
        <w:t xml:space="preserve"> </w:t>
      </w:r>
      <w:r w:rsidRPr="005975A0">
        <w:rPr>
          <w:rFonts w:asciiTheme="minorHAnsi" w:eastAsia="標楷體" w:hAnsiTheme="minorHAnsi" w:cstheme="minorHAnsi"/>
        </w:rPr>
        <w:t>135-144.</w:t>
      </w:r>
    </w:p>
    <w:p w14:paraId="761D2704" w14:textId="2A5862CD" w:rsidR="00704BDF" w:rsidRPr="005975A0" w:rsidRDefault="004E58ED" w:rsidP="0054460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</w:rPr>
      </w:pPr>
      <w:r w:rsidRPr="005975A0">
        <w:rPr>
          <w:rFonts w:asciiTheme="minorHAnsi" w:eastAsia="標楷體" w:hAnsiTheme="minorHAnsi" w:cstheme="minorHAnsi"/>
        </w:rPr>
        <w:t>J. G. Hayden, J.</w:t>
      </w:r>
      <w:r w:rsidR="00916E35" w:rsidRPr="005975A0">
        <w:rPr>
          <w:rFonts w:asciiTheme="minorHAnsi" w:eastAsia="標楷體" w:hAnsiTheme="minorHAnsi" w:cstheme="minorHAnsi"/>
        </w:rPr>
        <w:t xml:space="preserve"> P.</w:t>
      </w:r>
      <w:r w:rsidRPr="005975A0">
        <w:rPr>
          <w:rFonts w:asciiTheme="minorHAnsi" w:eastAsia="標楷體" w:hAnsiTheme="minorHAnsi" w:cstheme="minorHAnsi"/>
        </w:rPr>
        <w:t xml:space="preserve"> </w:t>
      </w:r>
      <w:r w:rsidR="00916E35" w:rsidRPr="005975A0">
        <w:rPr>
          <w:rFonts w:asciiTheme="minorHAnsi" w:eastAsia="標楷體" w:hAnsiTheme="minorHAnsi" w:cstheme="minorHAnsi"/>
        </w:rPr>
        <w:t>O’Connell</w:t>
      </w:r>
      <w:r w:rsidRPr="005975A0">
        <w:rPr>
          <w:rFonts w:asciiTheme="minorHAnsi" w:eastAsia="標楷體" w:hAnsiTheme="minorHAnsi" w:cstheme="minorHAnsi"/>
        </w:rPr>
        <w:t xml:space="preserve">, </w:t>
      </w:r>
      <w:r w:rsidR="00916E35" w:rsidRPr="005975A0">
        <w:rPr>
          <w:rFonts w:asciiTheme="minorHAnsi" w:eastAsia="標楷體" w:hAnsiTheme="minorHAnsi" w:cstheme="minorHAnsi"/>
        </w:rPr>
        <w:t xml:space="preserve">Ind. Eng. Chem. Process Des. Dev. </w:t>
      </w:r>
      <w:r w:rsidR="00916E35" w:rsidRPr="005975A0">
        <w:rPr>
          <w:rFonts w:asciiTheme="minorHAnsi" w:eastAsia="標楷體" w:hAnsiTheme="minorHAnsi" w:cstheme="minorHAnsi"/>
          <w:bCs/>
        </w:rPr>
        <w:t>14</w:t>
      </w:r>
      <w:r w:rsidR="00916E35" w:rsidRPr="005975A0">
        <w:rPr>
          <w:rFonts w:asciiTheme="minorHAnsi" w:eastAsia="標楷體" w:hAnsiTheme="minorHAnsi" w:cstheme="minorHAnsi"/>
        </w:rPr>
        <w:t xml:space="preserve"> (1975) 209-216.</w:t>
      </w:r>
    </w:p>
    <w:sectPr w:rsidR="00704BDF" w:rsidRPr="005975A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C2E1" w14:textId="77777777" w:rsidR="0055618C" w:rsidRDefault="0055618C" w:rsidP="004F5E36">
      <w:r>
        <w:separator/>
      </w:r>
    </w:p>
  </w:endnote>
  <w:endnote w:type="continuationSeparator" w:id="0">
    <w:p w14:paraId="6272A653" w14:textId="77777777" w:rsidR="0055618C" w:rsidRDefault="0055618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A788" w14:textId="77777777" w:rsidR="0055618C" w:rsidRDefault="0055618C" w:rsidP="004F5E36">
      <w:r>
        <w:separator/>
      </w:r>
    </w:p>
  </w:footnote>
  <w:footnote w:type="continuationSeparator" w:id="0">
    <w:p w14:paraId="385263E3" w14:textId="77777777" w:rsidR="0055618C" w:rsidRDefault="0055618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EACC" w14:textId="77777777" w:rsidR="004D1162" w:rsidRDefault="00594E9F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D842C6" wp14:editId="0B867B4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AB127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TW"/>
      </w:rPr>
      <w:drawing>
        <wp:anchor distT="0" distB="0" distL="114300" distR="114300" simplePos="0" relativeHeight="251662336" behindDoc="0" locked="0" layoutInCell="1" allowOverlap="1" wp14:anchorId="41340200" wp14:editId="033D7E1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692E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691BD648" wp14:editId="6BF8676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1ABEBB8" w14:textId="77777777" w:rsidR="00704BDF" w:rsidRDefault="00704BDF">
    <w:pPr>
      <w:pStyle w:val="Header"/>
    </w:pPr>
  </w:p>
  <w:p w14:paraId="7B7EBBCB" w14:textId="77777777" w:rsidR="00704BDF" w:rsidRDefault="00704BDF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35300" wp14:editId="1BB4019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9924543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NzY1MbIwMLG0sDRV0lEKTi0uzszPAykwNKwFAHcMGsktAAAA"/>
  </w:docVars>
  <w:rsids>
    <w:rsidRoot w:val="000E414A"/>
    <w:rsid w:val="000027C0"/>
    <w:rsid w:val="0000645F"/>
    <w:rsid w:val="000117CB"/>
    <w:rsid w:val="00011894"/>
    <w:rsid w:val="0003148D"/>
    <w:rsid w:val="000422EF"/>
    <w:rsid w:val="00042510"/>
    <w:rsid w:val="000438DE"/>
    <w:rsid w:val="00056D95"/>
    <w:rsid w:val="00061B19"/>
    <w:rsid w:val="00062A9A"/>
    <w:rsid w:val="00066A16"/>
    <w:rsid w:val="000839FC"/>
    <w:rsid w:val="00085851"/>
    <w:rsid w:val="000A03B2"/>
    <w:rsid w:val="000B558E"/>
    <w:rsid w:val="000D34BE"/>
    <w:rsid w:val="000D34E9"/>
    <w:rsid w:val="000E013A"/>
    <w:rsid w:val="000E36F1"/>
    <w:rsid w:val="000E3A73"/>
    <w:rsid w:val="000E414A"/>
    <w:rsid w:val="00100334"/>
    <w:rsid w:val="0013121F"/>
    <w:rsid w:val="00134DE4"/>
    <w:rsid w:val="00144420"/>
    <w:rsid w:val="00150E59"/>
    <w:rsid w:val="00184AD6"/>
    <w:rsid w:val="00190AA7"/>
    <w:rsid w:val="001B65C1"/>
    <w:rsid w:val="001C1772"/>
    <w:rsid w:val="001C6334"/>
    <w:rsid w:val="001C684B"/>
    <w:rsid w:val="001C72B4"/>
    <w:rsid w:val="001D53FC"/>
    <w:rsid w:val="001D6F04"/>
    <w:rsid w:val="001E0CA6"/>
    <w:rsid w:val="001F2EC7"/>
    <w:rsid w:val="001F43CE"/>
    <w:rsid w:val="00205BB0"/>
    <w:rsid w:val="002065DB"/>
    <w:rsid w:val="0021464D"/>
    <w:rsid w:val="002447EF"/>
    <w:rsid w:val="00250DCC"/>
    <w:rsid w:val="00251550"/>
    <w:rsid w:val="00253E09"/>
    <w:rsid w:val="00261987"/>
    <w:rsid w:val="0027221A"/>
    <w:rsid w:val="00275B61"/>
    <w:rsid w:val="002B3E3E"/>
    <w:rsid w:val="002D1F12"/>
    <w:rsid w:val="002E2F11"/>
    <w:rsid w:val="002F6AEB"/>
    <w:rsid w:val="003009B7"/>
    <w:rsid w:val="0030174C"/>
    <w:rsid w:val="0030469C"/>
    <w:rsid w:val="00316AE3"/>
    <w:rsid w:val="00327903"/>
    <w:rsid w:val="003723D4"/>
    <w:rsid w:val="00386CE4"/>
    <w:rsid w:val="003901D8"/>
    <w:rsid w:val="003A42F7"/>
    <w:rsid w:val="003A6DE9"/>
    <w:rsid w:val="003A7D1C"/>
    <w:rsid w:val="003C1C7C"/>
    <w:rsid w:val="003C6E01"/>
    <w:rsid w:val="003D0BAF"/>
    <w:rsid w:val="00404543"/>
    <w:rsid w:val="00415EF3"/>
    <w:rsid w:val="00416FD5"/>
    <w:rsid w:val="00440942"/>
    <w:rsid w:val="0046164A"/>
    <w:rsid w:val="00462DCD"/>
    <w:rsid w:val="0049549D"/>
    <w:rsid w:val="00496C9A"/>
    <w:rsid w:val="00496D50"/>
    <w:rsid w:val="004D1162"/>
    <w:rsid w:val="004E193B"/>
    <w:rsid w:val="004E1E89"/>
    <w:rsid w:val="004E4DD6"/>
    <w:rsid w:val="004E58ED"/>
    <w:rsid w:val="004F5E36"/>
    <w:rsid w:val="005119A5"/>
    <w:rsid w:val="005278B7"/>
    <w:rsid w:val="005307FE"/>
    <w:rsid w:val="00530880"/>
    <w:rsid w:val="005346C8"/>
    <w:rsid w:val="0054460D"/>
    <w:rsid w:val="0055618C"/>
    <w:rsid w:val="005600D0"/>
    <w:rsid w:val="00567E0E"/>
    <w:rsid w:val="00584640"/>
    <w:rsid w:val="00594A10"/>
    <w:rsid w:val="00594D2A"/>
    <w:rsid w:val="00594E9F"/>
    <w:rsid w:val="005975A0"/>
    <w:rsid w:val="005B1FC0"/>
    <w:rsid w:val="005B61E6"/>
    <w:rsid w:val="005C66A6"/>
    <w:rsid w:val="005C77E1"/>
    <w:rsid w:val="005D4C63"/>
    <w:rsid w:val="005D6A2F"/>
    <w:rsid w:val="005E1304"/>
    <w:rsid w:val="005E1A82"/>
    <w:rsid w:val="005F0A28"/>
    <w:rsid w:val="005F0E5E"/>
    <w:rsid w:val="005F2BDB"/>
    <w:rsid w:val="005F5563"/>
    <w:rsid w:val="005F77BD"/>
    <w:rsid w:val="00616C2E"/>
    <w:rsid w:val="00620DEE"/>
    <w:rsid w:val="00622D57"/>
    <w:rsid w:val="00623263"/>
    <w:rsid w:val="00625639"/>
    <w:rsid w:val="0064184D"/>
    <w:rsid w:val="00642AD2"/>
    <w:rsid w:val="0064541B"/>
    <w:rsid w:val="00660E3E"/>
    <w:rsid w:val="00662E74"/>
    <w:rsid w:val="006A58D2"/>
    <w:rsid w:val="006C5579"/>
    <w:rsid w:val="006E0925"/>
    <w:rsid w:val="00704BDF"/>
    <w:rsid w:val="0071674F"/>
    <w:rsid w:val="007219F0"/>
    <w:rsid w:val="00727210"/>
    <w:rsid w:val="00736B13"/>
    <w:rsid w:val="007447F3"/>
    <w:rsid w:val="00752A0A"/>
    <w:rsid w:val="007661C8"/>
    <w:rsid w:val="0077037D"/>
    <w:rsid w:val="007A4195"/>
    <w:rsid w:val="007B0347"/>
    <w:rsid w:val="007B7A44"/>
    <w:rsid w:val="007D52CD"/>
    <w:rsid w:val="007E0A2C"/>
    <w:rsid w:val="007E0DA1"/>
    <w:rsid w:val="007F71EF"/>
    <w:rsid w:val="00813288"/>
    <w:rsid w:val="008168FC"/>
    <w:rsid w:val="008479A2"/>
    <w:rsid w:val="00865061"/>
    <w:rsid w:val="00870B4B"/>
    <w:rsid w:val="0087637F"/>
    <w:rsid w:val="008904D4"/>
    <w:rsid w:val="00894E16"/>
    <w:rsid w:val="008A1512"/>
    <w:rsid w:val="008C0B5F"/>
    <w:rsid w:val="008D0BEB"/>
    <w:rsid w:val="008E566E"/>
    <w:rsid w:val="008F0CED"/>
    <w:rsid w:val="00901EB6"/>
    <w:rsid w:val="0090772A"/>
    <w:rsid w:val="00916E35"/>
    <w:rsid w:val="00944A6B"/>
    <w:rsid w:val="009450CE"/>
    <w:rsid w:val="0095164B"/>
    <w:rsid w:val="0096524D"/>
    <w:rsid w:val="00987A29"/>
    <w:rsid w:val="00987C72"/>
    <w:rsid w:val="00996483"/>
    <w:rsid w:val="00996FCD"/>
    <w:rsid w:val="009E788A"/>
    <w:rsid w:val="009F53EC"/>
    <w:rsid w:val="009F67DD"/>
    <w:rsid w:val="00A02AA3"/>
    <w:rsid w:val="00A1763D"/>
    <w:rsid w:val="00A17894"/>
    <w:rsid w:val="00A17CEC"/>
    <w:rsid w:val="00A27EF0"/>
    <w:rsid w:val="00A367FB"/>
    <w:rsid w:val="00A518B8"/>
    <w:rsid w:val="00A54336"/>
    <w:rsid w:val="00A57AEE"/>
    <w:rsid w:val="00A62AD4"/>
    <w:rsid w:val="00A76EFC"/>
    <w:rsid w:val="00A956AC"/>
    <w:rsid w:val="00A9626B"/>
    <w:rsid w:val="00A97F29"/>
    <w:rsid w:val="00AA1BD2"/>
    <w:rsid w:val="00AB0964"/>
    <w:rsid w:val="00AE377D"/>
    <w:rsid w:val="00AE4D4A"/>
    <w:rsid w:val="00AE72C9"/>
    <w:rsid w:val="00AE7F20"/>
    <w:rsid w:val="00B11501"/>
    <w:rsid w:val="00B11FE6"/>
    <w:rsid w:val="00B16D21"/>
    <w:rsid w:val="00B17245"/>
    <w:rsid w:val="00B5065E"/>
    <w:rsid w:val="00B61DBF"/>
    <w:rsid w:val="00B91FA9"/>
    <w:rsid w:val="00B967C3"/>
    <w:rsid w:val="00BB0460"/>
    <w:rsid w:val="00BC30C9"/>
    <w:rsid w:val="00BE3E58"/>
    <w:rsid w:val="00BF22CA"/>
    <w:rsid w:val="00BF4802"/>
    <w:rsid w:val="00C01616"/>
    <w:rsid w:val="00C0162B"/>
    <w:rsid w:val="00C03437"/>
    <w:rsid w:val="00C3304A"/>
    <w:rsid w:val="00C345B1"/>
    <w:rsid w:val="00C40142"/>
    <w:rsid w:val="00C57182"/>
    <w:rsid w:val="00C655FD"/>
    <w:rsid w:val="00C664EE"/>
    <w:rsid w:val="00C76ADF"/>
    <w:rsid w:val="00C821D8"/>
    <w:rsid w:val="00C867B1"/>
    <w:rsid w:val="00C94434"/>
    <w:rsid w:val="00C97920"/>
    <w:rsid w:val="00CA1C95"/>
    <w:rsid w:val="00CA5A9C"/>
    <w:rsid w:val="00CB512A"/>
    <w:rsid w:val="00CB619D"/>
    <w:rsid w:val="00CB6DFD"/>
    <w:rsid w:val="00CD5FE2"/>
    <w:rsid w:val="00CF0813"/>
    <w:rsid w:val="00D02B4C"/>
    <w:rsid w:val="00D0795B"/>
    <w:rsid w:val="00D10D81"/>
    <w:rsid w:val="00D27FC6"/>
    <w:rsid w:val="00D560B2"/>
    <w:rsid w:val="00D613E7"/>
    <w:rsid w:val="00D7766F"/>
    <w:rsid w:val="00D77ABB"/>
    <w:rsid w:val="00D84576"/>
    <w:rsid w:val="00D84AB2"/>
    <w:rsid w:val="00DB6CA8"/>
    <w:rsid w:val="00DD696E"/>
    <w:rsid w:val="00DE0019"/>
    <w:rsid w:val="00DE264A"/>
    <w:rsid w:val="00DE3503"/>
    <w:rsid w:val="00DF3FC9"/>
    <w:rsid w:val="00E041E7"/>
    <w:rsid w:val="00E200E0"/>
    <w:rsid w:val="00E23CA1"/>
    <w:rsid w:val="00E34779"/>
    <w:rsid w:val="00E409A8"/>
    <w:rsid w:val="00E42299"/>
    <w:rsid w:val="00E46E35"/>
    <w:rsid w:val="00E6165C"/>
    <w:rsid w:val="00E7209D"/>
    <w:rsid w:val="00E95A88"/>
    <w:rsid w:val="00EA50E1"/>
    <w:rsid w:val="00EA7172"/>
    <w:rsid w:val="00ED7863"/>
    <w:rsid w:val="00EE0131"/>
    <w:rsid w:val="00F01408"/>
    <w:rsid w:val="00F02202"/>
    <w:rsid w:val="00F1528B"/>
    <w:rsid w:val="00F24F91"/>
    <w:rsid w:val="00F30C64"/>
    <w:rsid w:val="00F7245C"/>
    <w:rsid w:val="00F83718"/>
    <w:rsid w:val="00FB730C"/>
    <w:rsid w:val="00FC2695"/>
    <w:rsid w:val="00FC3E03"/>
    <w:rsid w:val="00FD2538"/>
    <w:rsid w:val="00FE1E4A"/>
    <w:rsid w:val="00FE4227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3594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a">
    <w:name w:val="圖目錄"/>
    <w:basedOn w:val="Caption"/>
    <w:link w:val="a0"/>
    <w:qFormat/>
    <w:rsid w:val="00D77ABB"/>
    <w:pPr>
      <w:widowControl w:val="0"/>
      <w:tabs>
        <w:tab w:val="clear" w:pos="7100"/>
      </w:tabs>
      <w:spacing w:line="360" w:lineRule="auto"/>
      <w:jc w:val="left"/>
    </w:pPr>
    <w:rPr>
      <w:rFonts w:ascii="Times New Roman" w:eastAsia="標楷體" w:hAnsi="Times New Roman"/>
      <w:b w:val="0"/>
      <w:bCs w:val="0"/>
      <w:color w:val="000000" w:themeColor="text1"/>
      <w:kern w:val="2"/>
      <w:sz w:val="28"/>
      <w:szCs w:val="28"/>
      <w:lang w:val="en-US" w:eastAsia="zh-TW"/>
    </w:rPr>
  </w:style>
  <w:style w:type="character" w:customStyle="1" w:styleId="a0">
    <w:name w:val="圖目錄 字元"/>
    <w:basedOn w:val="DefaultParagraphFont"/>
    <w:link w:val="a"/>
    <w:rsid w:val="00D77ABB"/>
    <w:rPr>
      <w:rFonts w:ascii="Times New Roman" w:eastAsia="標楷體" w:hAnsi="Times New Roman" w:cs="Times New Roman"/>
      <w:color w:val="000000" w:themeColor="text1"/>
      <w:kern w:val="2"/>
      <w:sz w:val="28"/>
      <w:szCs w:val="28"/>
      <w:lang w:val="en-US" w:eastAsia="zh-TW"/>
    </w:rPr>
  </w:style>
  <w:style w:type="character" w:styleId="Hyperlink">
    <w:name w:val="Hyperlink"/>
    <w:locked/>
    <w:rsid w:val="00616C2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543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mailto:mjlee@mail.ntust.edu.tw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 w="25400">
              <a:noFill/>
            </a:ln>
            <a:effectLst/>
            <a:sp3d/>
          </c:spPr>
          <c:invertIfNegative val="0"/>
          <c:cat>
            <c:numRef>
              <c:f>Sheet1!$D$44:$D$59</c:f>
              <c:numCache>
                <c:formatCode>General</c:formatCode>
                <c:ptCount val="16"/>
                <c:pt idx="0">
                  <c:v>0.20200000000000001</c:v>
                </c:pt>
                <c:pt idx="1">
                  <c:v>0.18</c:v>
                </c:pt>
                <c:pt idx="2">
                  <c:v>0.152</c:v>
                </c:pt>
                <c:pt idx="3">
                  <c:v>0.14199999999999999</c:v>
                </c:pt>
                <c:pt idx="4">
                  <c:v>0.51700000000000002</c:v>
                </c:pt>
                <c:pt idx="5">
                  <c:v>0.47899999999999998</c:v>
                </c:pt>
                <c:pt idx="6">
                  <c:v>0.39</c:v>
                </c:pt>
                <c:pt idx="7">
                  <c:v>0.35699999999999998</c:v>
                </c:pt>
                <c:pt idx="8">
                  <c:v>1.538</c:v>
                </c:pt>
                <c:pt idx="9">
                  <c:v>1.3560000000000001</c:v>
                </c:pt>
                <c:pt idx="10">
                  <c:v>1.206</c:v>
                </c:pt>
                <c:pt idx="11">
                  <c:v>1.0229999999999999</c:v>
                </c:pt>
                <c:pt idx="12">
                  <c:v>3.6669999999999998</c:v>
                </c:pt>
                <c:pt idx="13">
                  <c:v>3.2789999999999999</c:v>
                </c:pt>
                <c:pt idx="14">
                  <c:v>2.89</c:v>
                </c:pt>
                <c:pt idx="15">
                  <c:v>2.5059999999999998</c:v>
                </c:pt>
              </c:numCache>
            </c:numRef>
          </c:cat>
          <c:val>
            <c:numRef>
              <c:f>Sheet1!$E$44:$E$59</c:f>
              <c:numCache>
                <c:formatCode>General</c:formatCode>
                <c:ptCount val="16"/>
                <c:pt idx="0">
                  <c:v>7.5000000000000002E-7</c:v>
                </c:pt>
                <c:pt idx="1">
                  <c:v>2.3999999999999998E-7</c:v>
                </c:pt>
                <c:pt idx="2">
                  <c:v>-9.6999999999999995E-8</c:v>
                </c:pt>
                <c:pt idx="3">
                  <c:v>0</c:v>
                </c:pt>
                <c:pt idx="4">
                  <c:v>-5.9000000000000003E-10</c:v>
                </c:pt>
                <c:pt idx="5">
                  <c:v>-7.5E-10</c:v>
                </c:pt>
                <c:pt idx="6">
                  <c:v>-9.5000000000000005E-6</c:v>
                </c:pt>
                <c:pt idx="7">
                  <c:v>-1E-3</c:v>
                </c:pt>
                <c:pt idx="8">
                  <c:v>-1.0999999999999999E-10</c:v>
                </c:pt>
                <c:pt idx="9">
                  <c:v>-8.4999999999999996E-10</c:v>
                </c:pt>
                <c:pt idx="10">
                  <c:v>-4.8999999999999997E-7</c:v>
                </c:pt>
                <c:pt idx="11">
                  <c:v>-3.0000000000000001E-5</c:v>
                </c:pt>
                <c:pt idx="12">
                  <c:v>5.9000000000000003E-12</c:v>
                </c:pt>
                <c:pt idx="13">
                  <c:v>-1.8E-10</c:v>
                </c:pt>
                <c:pt idx="14">
                  <c:v>1.3E-6</c:v>
                </c:pt>
                <c:pt idx="15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93-4D09-8F5C-02A7D320C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746656"/>
        <c:axId val="57750464"/>
        <c:axId val="1987527952"/>
      </c:bar3DChart>
      <c:catAx>
        <c:axId val="577466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TW" i="1"/>
                  <a:t>P</a:t>
                </a:r>
                <a:r>
                  <a:rPr lang="en-US" altLang="zh-TW" i="1" baseline="30000"/>
                  <a:t>expt</a:t>
                </a:r>
                <a:r>
                  <a:rPr lang="en-US" altLang="zh-TW" i="1"/>
                  <a:t>(bar)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crossAx val="57750464"/>
        <c:crosses val="autoZero"/>
        <c:auto val="1"/>
        <c:lblAlgn val="ctr"/>
        <c:lblOffset val="100"/>
        <c:noMultiLvlLbl val="0"/>
      </c:catAx>
      <c:valAx>
        <c:axId val="5775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altLang="zh-TW" b="0" i="1">
                    <a:latin typeface="+mn-lt"/>
                    <a:cs typeface="Arial" panose="020B0604020202020204" pitchFamily="34" charset="0"/>
                  </a:rPr>
                  <a:t>Δ</a:t>
                </a:r>
                <a:r>
                  <a:rPr lang="en-US" altLang="zh-TW" b="0" i="1">
                    <a:latin typeface="+mn-lt"/>
                    <a:cs typeface="Arial" panose="020B0604020202020204" pitchFamily="34" charset="0"/>
                  </a:rPr>
                  <a:t>P(bar)</a:t>
                </a:r>
                <a:endParaRPr lang="en-US" altLang="zh-TW" b="0" i="1">
                  <a:latin typeface="+mn-lt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7746656"/>
        <c:crosses val="autoZero"/>
        <c:crossBetween val="between"/>
      </c:valAx>
      <c:serAx>
        <c:axId val="1987527952"/>
        <c:scaling>
          <c:orientation val="minMax"/>
        </c:scaling>
        <c:delete val="1"/>
        <c:axPos val="b"/>
        <c:majorTickMark val="out"/>
        <c:minorTickMark val="none"/>
        <c:tickLblPos val="nextTo"/>
        <c:crossAx val="5775046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694972743791641"/>
          <c:y val="7.4099023240148193E-2"/>
          <c:w val="0.65664001615182721"/>
          <c:h val="0.77824183226675647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 w="25400">
              <a:noFill/>
            </a:ln>
            <a:effectLst/>
            <a:sp3d/>
          </c:spPr>
          <c:invertIfNegative val="0"/>
          <c:cat>
            <c:numRef>
              <c:f>Sheet1!$C$95:$C$110</c:f>
              <c:numCache>
                <c:formatCode>General</c:formatCode>
                <c:ptCount val="16"/>
                <c:pt idx="0">
                  <c:v>0.253</c:v>
                </c:pt>
                <c:pt idx="1">
                  <c:v>0.218</c:v>
                </c:pt>
                <c:pt idx="2">
                  <c:v>0.15</c:v>
                </c:pt>
                <c:pt idx="3">
                  <c:v>0.121</c:v>
                </c:pt>
                <c:pt idx="4">
                  <c:v>0.625</c:v>
                </c:pt>
                <c:pt idx="5">
                  <c:v>0.55700000000000005</c:v>
                </c:pt>
                <c:pt idx="6">
                  <c:v>0.48799999999999999</c:v>
                </c:pt>
                <c:pt idx="7">
                  <c:v>0.374</c:v>
                </c:pt>
                <c:pt idx="8">
                  <c:v>1.6240000000000001</c:v>
                </c:pt>
                <c:pt idx="9">
                  <c:v>1.486</c:v>
                </c:pt>
                <c:pt idx="10">
                  <c:v>1.254</c:v>
                </c:pt>
                <c:pt idx="11">
                  <c:v>1.0589999999999999</c:v>
                </c:pt>
                <c:pt idx="12">
                  <c:v>3.7080000000000002</c:v>
                </c:pt>
                <c:pt idx="13">
                  <c:v>3.43</c:v>
                </c:pt>
                <c:pt idx="14">
                  <c:v>2.9580000000000002</c:v>
                </c:pt>
                <c:pt idx="15">
                  <c:v>2.5419999999999998</c:v>
                </c:pt>
              </c:numCache>
            </c:numRef>
          </c:cat>
          <c:val>
            <c:numRef>
              <c:f>Sheet1!$D$95:$D$110</c:f>
              <c:numCache>
                <c:formatCode>General</c:formatCode>
                <c:ptCount val="16"/>
                <c:pt idx="0">
                  <c:v>-1E-3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-1E-3</c:v>
                </c:pt>
                <c:pt idx="8">
                  <c:v>0</c:v>
                </c:pt>
                <c:pt idx="9">
                  <c:v>6.0000000000000001E-3</c:v>
                </c:pt>
                <c:pt idx="10">
                  <c:v>2E-3</c:v>
                </c:pt>
                <c:pt idx="11">
                  <c:v>0</c:v>
                </c:pt>
                <c:pt idx="12">
                  <c:v>1.4999999999999999E-2</c:v>
                </c:pt>
                <c:pt idx="13">
                  <c:v>-1.0999999999999999E-2</c:v>
                </c:pt>
                <c:pt idx="14">
                  <c:v>-1E-3</c:v>
                </c:pt>
                <c:pt idx="15">
                  <c:v>-3.0000000000000001E-3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C-42C7-8D1D-2C2F76AAE7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755904"/>
        <c:axId val="57744480"/>
        <c:axId val="1987528576"/>
      </c:bar3DChart>
      <c:catAx>
        <c:axId val="577559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altLang="zh-TW" i="1">
                    <a:latin typeface="+mn-lt"/>
                    <a:cs typeface="Arial" panose="020B0604020202020204" pitchFamily="34" charset="0"/>
                  </a:rPr>
                  <a:t>P</a:t>
                </a:r>
                <a:r>
                  <a:rPr lang="en-US" altLang="zh-TW" i="1" baseline="30000">
                    <a:latin typeface="+mn-lt"/>
                    <a:cs typeface="Arial" panose="020B0604020202020204" pitchFamily="34" charset="0"/>
                  </a:rPr>
                  <a:t>expt</a:t>
                </a:r>
                <a:r>
                  <a:rPr lang="en-US" altLang="zh-TW" i="1">
                    <a:latin typeface="+mn-lt"/>
                    <a:cs typeface="Arial" panose="020B0604020202020204" pitchFamily="34" charset="0"/>
                  </a:rPr>
                  <a:t>(bar)</a:t>
                </a:r>
                <a:endParaRPr lang="en-US" altLang="zh-TW" i="1">
                  <a:latin typeface="+mn-lt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crossAx val="57744480"/>
        <c:crosses val="autoZero"/>
        <c:auto val="1"/>
        <c:lblAlgn val="ctr"/>
        <c:lblOffset val="100"/>
        <c:noMultiLvlLbl val="1"/>
      </c:catAx>
      <c:valAx>
        <c:axId val="5774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altLang="zh-TW" i="1" baseline="0">
                    <a:latin typeface="+mn-lt"/>
                    <a:cs typeface="Arial" panose="020B0604020202020204" pitchFamily="34" charset="0"/>
                  </a:rPr>
                  <a:t>ΔP</a:t>
                </a:r>
                <a:r>
                  <a:rPr lang="en-US" altLang="zh-TW" i="1" baseline="0">
                    <a:latin typeface="+mn-lt"/>
                  </a:rPr>
                  <a:t>(bar)</a:t>
                </a:r>
                <a:endParaRPr lang="en-US" altLang="zh-TW" i="1">
                  <a:latin typeface="+mn-lt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zh-TW"/>
          </a:p>
        </c:txPr>
        <c:crossAx val="57755904"/>
        <c:crosses val="autoZero"/>
        <c:crossBetween val="between"/>
      </c:valAx>
      <c:serAx>
        <c:axId val="1987528576"/>
        <c:scaling>
          <c:orientation val="minMax"/>
        </c:scaling>
        <c:delete val="1"/>
        <c:axPos val="b"/>
        <c:majorTickMark val="out"/>
        <c:minorTickMark val="none"/>
        <c:tickLblPos val="nextTo"/>
        <c:crossAx val="5774448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5698-872F-4653-A2A5-429D99D8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Salal</cp:lastModifiedBy>
  <cp:revision>3</cp:revision>
  <cp:lastPrinted>2019-04-23T06:02:00Z</cp:lastPrinted>
  <dcterms:created xsi:type="dcterms:W3CDTF">2019-04-28T08:46:00Z</dcterms:created>
  <dcterms:modified xsi:type="dcterms:W3CDTF">2019-04-28T09:21:00Z</dcterms:modified>
</cp:coreProperties>
</file>