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AF30C1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Influence of fluid dynamics conditions on Pb-hematite nanoparticles mass transfer coefficient in Rushton equipped stirred tank reactor</w:t>
      </w:r>
    </w:p>
    <w:p w:rsidR="00DE0019" w:rsidRPr="00EA421A" w:rsidRDefault="00EA421A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EA421A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Giorgio Vilardi</w:t>
      </w:r>
      <w:r w:rsidR="00704BDF" w:rsidRPr="00EA421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Pr="00EA421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*</w:t>
      </w:r>
      <w:r w:rsidR="00736B13" w:rsidRPr="00EA421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</w:t>
      </w:r>
      <w:r w:rsidRPr="00EA421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 Marco Stoller</w:t>
      </w:r>
      <w:r w:rsidRPr="00EA421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EA421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Nicola Verdone</w:t>
      </w:r>
      <w:r w:rsidRPr="00EA421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EA421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Luca Di Palma</w:t>
      </w:r>
      <w:r w:rsidRPr="00EA421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DE0019" w:rsidRPr="00EA421A">
        <w:rPr>
          <w:rFonts w:eastAsia="SimSun"/>
          <w:color w:val="000000"/>
          <w:lang w:val="it-IT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EA42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Dept. of Chemical Engineering Materials Environment, Sapienza University of Rome, via </w:t>
      </w:r>
      <w:proofErr w:type="spellStart"/>
      <w:r w:rsidR="00EA42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Eudossiana</w:t>
      </w:r>
      <w:proofErr w:type="spellEnd"/>
      <w:r w:rsidR="00EA42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18, Rome, 00184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EA421A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giorgio.vilardi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EA421A">
        <w:rPr>
          <w:rFonts w:asciiTheme="minorHAnsi" w:eastAsia="MS PGothic" w:hAnsiTheme="minorHAnsi"/>
          <w:bCs/>
          <w:i/>
          <w:iCs/>
          <w:sz w:val="20"/>
          <w:lang w:val="en-US"/>
        </w:rPr>
        <w:t>uniroma1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EA421A">
        <w:rPr>
          <w:rFonts w:asciiTheme="minorHAnsi" w:eastAsia="MS PGothic" w:hAnsiTheme="minorHAnsi"/>
          <w:bCs/>
          <w:i/>
          <w:iCs/>
          <w:sz w:val="20"/>
          <w:lang w:val="en-US"/>
        </w:rPr>
        <w:t>it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FA136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CFD model was successfully applied to predict the mass transfer coefficients</w:t>
      </w:r>
    </w:p>
    <w:p w:rsidR="00704BDF" w:rsidRPr="00EC66CC" w:rsidRDefault="00933BA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notable Lead sorption capacity of 38 mg/g has been obtained by nano-hematite</w:t>
      </w:r>
      <w:bookmarkStart w:id="0" w:name="_GoBack"/>
      <w:bookmarkEnd w:id="0"/>
    </w:p>
    <w:p w:rsidR="00FA136B" w:rsidRPr="0008587C" w:rsidRDefault="00FA136B" w:rsidP="00E107C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08587C">
        <w:rPr>
          <w:rFonts w:asciiTheme="minorHAnsi" w:hAnsiTheme="minorHAnsi"/>
        </w:rPr>
        <w:t xml:space="preserve">The coefficients of </w:t>
      </w:r>
      <w:proofErr w:type="spellStart"/>
      <w:r w:rsidRPr="0008587C">
        <w:rPr>
          <w:rFonts w:asciiTheme="minorHAnsi" w:hAnsiTheme="minorHAnsi"/>
        </w:rPr>
        <w:t>Sh</w:t>
      </w:r>
      <w:proofErr w:type="spellEnd"/>
      <w:r w:rsidRPr="0008587C">
        <w:rPr>
          <w:rFonts w:asciiTheme="minorHAnsi" w:hAnsiTheme="minorHAnsi"/>
        </w:rPr>
        <w:t xml:space="preserve"> correlation from predicted and regressed </w:t>
      </w:r>
      <w:proofErr w:type="spellStart"/>
      <w:r w:rsidRPr="0008587C">
        <w:rPr>
          <w:rFonts w:asciiTheme="minorHAnsi" w:hAnsiTheme="minorHAnsi"/>
        </w:rPr>
        <w:t>k</w:t>
      </w:r>
      <w:r w:rsidRPr="0008587C">
        <w:rPr>
          <w:rFonts w:asciiTheme="minorHAnsi" w:hAnsiTheme="minorHAnsi"/>
          <w:vertAlign w:val="subscript"/>
        </w:rPr>
        <w:t>L</w:t>
      </w:r>
      <w:proofErr w:type="spellEnd"/>
      <w:r w:rsidRPr="0008587C">
        <w:rPr>
          <w:rFonts w:asciiTheme="minorHAnsi" w:hAnsiTheme="minorHAnsi"/>
        </w:rPr>
        <w:t xml:space="preserve"> </w:t>
      </w:r>
      <w:proofErr w:type="gramStart"/>
      <w:r w:rsidRPr="0008587C">
        <w:rPr>
          <w:rFonts w:asciiTheme="minorHAnsi" w:hAnsiTheme="minorHAnsi"/>
        </w:rPr>
        <w:t>were in agreement</w:t>
      </w:r>
      <w:proofErr w:type="gramEnd"/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261069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Only recently it has been recognized that various properties of iron (hydro)oxide, such as structure and stability besides the reactivity, might vary as a function of the mean particle’s size [1]. In particular, the structure of hematite, </w:t>
      </w:r>
      <w:r w:rsidRPr="00261069">
        <w:rPr>
          <w:rFonts w:ascii="Symbol" w:eastAsia="MS PGothic" w:hAnsi="Symbol"/>
          <w:color w:val="000000"/>
          <w:sz w:val="22"/>
          <w:szCs w:val="22"/>
          <w:lang w:val="en-US"/>
        </w:rPr>
        <w:t>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-Fe</w:t>
      </w:r>
      <w:r w:rsidRPr="0026106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26106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when it is of maximum particle’s size of 40 nm, becomes similar to that of goethite, </w:t>
      </w:r>
      <w:r w:rsidRPr="00261069">
        <w:rPr>
          <w:rFonts w:ascii="Symbol" w:eastAsia="MS PGothic" w:hAnsi="Symbol"/>
          <w:color w:val="000000"/>
          <w:sz w:val="22"/>
          <w:szCs w:val="22"/>
          <w:lang w:val="en-US"/>
        </w:rPr>
        <w:t>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FeOOH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FA136B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]. It has already been demonstrated that when the hematite nanoparticles mean size is close to 40 nm, the surface characteristics of the minerals are similar to those of g</w:t>
      </w:r>
      <w:r w:rsidR="00FA136B">
        <w:rPr>
          <w:rFonts w:asciiTheme="minorHAnsi" w:eastAsia="MS PGothic" w:hAnsiTheme="minorHAnsi"/>
          <w:color w:val="000000"/>
          <w:sz w:val="22"/>
          <w:szCs w:val="22"/>
          <w:lang w:val="en-US"/>
        </w:rPr>
        <w:t>oethite for approximately 60% [1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These characteristics </w:t>
      </w:r>
      <w:r w:rsidR="00F56C55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suitable in heavy metals separation processes from wastewater streams, by means of sorption phenomenon. In this work, hematite nanoparticles (</w:t>
      </w:r>
      <w:proofErr w:type="spellStart"/>
      <w:r w:rsidR="00F56C55">
        <w:rPr>
          <w:rFonts w:asciiTheme="minorHAnsi" w:eastAsia="MS PGothic" w:hAnsiTheme="minorHAnsi"/>
          <w:color w:val="000000"/>
          <w:sz w:val="22"/>
          <w:szCs w:val="22"/>
          <w:lang w:val="en-US"/>
        </w:rPr>
        <w:t>nHP</w:t>
      </w:r>
      <w:proofErr w:type="spellEnd"/>
      <w:r w:rsidR="00F56C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have been synthetized using a Spinning Disk Reactor, </w:t>
      </w:r>
      <w:r w:rsidR="00FA136B">
        <w:rPr>
          <w:rFonts w:asciiTheme="minorHAnsi" w:eastAsia="MS PGothic" w:hAnsiTheme="minorHAnsi"/>
          <w:color w:val="000000"/>
          <w:sz w:val="22"/>
          <w:szCs w:val="22"/>
          <w:lang w:val="en-US"/>
        </w:rPr>
        <w:t>according to a previous study [2</w:t>
      </w:r>
      <w:r w:rsidR="00F56C55">
        <w:rPr>
          <w:rFonts w:asciiTheme="minorHAnsi" w:eastAsia="MS PGothic" w:hAnsiTheme="minorHAnsi"/>
          <w:color w:val="000000"/>
          <w:sz w:val="22"/>
          <w:szCs w:val="22"/>
          <w:lang w:val="en-US"/>
        </w:rPr>
        <w:t>] and have been employed in a Rushton equipped agitated vessel for the removal of Pb cations in aqueous solution. The kinetics of the process has been evaluated and modelled according to a film-diffusion mass transfer model and the influence on mass transfer coefficient of impeller Reynolds number (</w:t>
      </w:r>
      <w:proofErr w:type="spellStart"/>
      <w:r w:rsidR="00F56C5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</w:t>
      </w:r>
      <w:r w:rsidR="00F56C55" w:rsidRPr="0013083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I</w:t>
      </w:r>
      <w:proofErr w:type="spellEnd"/>
      <w:r w:rsidR="00F56C55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clearance</w:t>
      </w:r>
      <w:r w:rsidR="005D48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(C)</w:t>
      </w:r>
      <w:r w:rsidR="00F56C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evaluated.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93044B" w:rsidRDefault="00F56C5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F56C55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proofErr w:type="spellStart"/>
      <w:r w:rsidRPr="00F56C55">
        <w:rPr>
          <w:rFonts w:asciiTheme="minorHAnsi" w:eastAsia="MS PGothic" w:hAnsiTheme="minorHAnsi"/>
          <w:color w:val="000000"/>
          <w:sz w:val="22"/>
          <w:szCs w:val="22"/>
        </w:rPr>
        <w:t>nHP</w:t>
      </w:r>
      <w:proofErr w:type="spellEnd"/>
      <w:r w:rsidRPr="00F56C55">
        <w:rPr>
          <w:rFonts w:asciiTheme="minorHAnsi" w:eastAsia="MS PGothic" w:hAnsiTheme="minorHAnsi"/>
          <w:color w:val="000000"/>
          <w:sz w:val="22"/>
          <w:szCs w:val="22"/>
        </w:rPr>
        <w:t xml:space="preserve"> were synthetized according to</w:t>
      </w:r>
      <w:r w:rsidR="00FA136B">
        <w:rPr>
          <w:rFonts w:asciiTheme="minorHAnsi" w:eastAsia="MS PGothic" w:hAnsiTheme="minorHAnsi"/>
          <w:color w:val="000000"/>
          <w:sz w:val="22"/>
          <w:szCs w:val="22"/>
        </w:rPr>
        <w:t xml:space="preserve"> a previous work [2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]. The particles were characterized by a unimodal size distribution and a mean size of </w:t>
      </w:r>
      <w:r w:rsidRPr="00F56C55">
        <w:rPr>
          <w:rFonts w:asciiTheme="minorHAnsi" w:eastAsia="MS PGothic" w:hAnsiTheme="minorHAnsi"/>
          <w:color w:val="000000"/>
          <w:sz w:val="22"/>
          <w:szCs w:val="22"/>
        </w:rPr>
        <w:t>46 ± 1.8 nm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and a pH of zero charge of 8.3. The particles were used 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>for the removal of Pb (50 mg/L) at a concentration of 2 g/L (the optimal concentration</w:t>
      </w:r>
      <w:r w:rsidR="00252B21">
        <w:rPr>
          <w:rFonts w:asciiTheme="minorHAnsi" w:eastAsia="MS PGothic" w:hAnsiTheme="minorHAnsi"/>
          <w:color w:val="000000"/>
          <w:sz w:val="22"/>
          <w:szCs w:val="22"/>
        </w:rPr>
        <w:t xml:space="preserve"> and pH were found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 xml:space="preserve"> according to preliminary tests) and a pH higher than the pH of zero charge (pH=9.5</w:t>
      </w:r>
      <w:r w:rsidR="00252B21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 xml:space="preserve"> to maintain the particle’s surface negatively charged and to favour the sorption of </w:t>
      </w:r>
      <w:r w:rsidR="005D48B8">
        <w:rPr>
          <w:rFonts w:asciiTheme="minorHAnsi" w:eastAsia="MS PGothic" w:hAnsiTheme="minorHAnsi"/>
          <w:color w:val="000000"/>
          <w:sz w:val="22"/>
          <w:szCs w:val="22"/>
        </w:rPr>
        <w:t>Pb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 xml:space="preserve">. From equilibrium tests </w:t>
      </w:r>
      <w:r w:rsidR="00252B21"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>25°C</w:t>
      </w:r>
      <w:r w:rsidR="00252B21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 xml:space="preserve"> using Pb solutions (10-100 mg/L) it has been observed that the Langmuir model was the most suitable one (compared with Freundlich and SIPS) to describe the experimental trend</w:t>
      </w:r>
      <w:r w:rsidR="005D48B8">
        <w:rPr>
          <w:rFonts w:asciiTheme="minorHAnsi" w:eastAsia="MS PGothic" w:hAnsiTheme="minorHAnsi"/>
          <w:color w:val="000000"/>
          <w:sz w:val="22"/>
          <w:szCs w:val="22"/>
        </w:rPr>
        <w:t>. T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 xml:space="preserve">he regressed isothermal parameter values were b, equilibrium constant, equal to 0.22 L/mg and </w:t>
      </w:r>
      <w:proofErr w:type="spellStart"/>
      <w:r w:rsidR="0013083E">
        <w:rPr>
          <w:rFonts w:asciiTheme="minorHAnsi" w:eastAsia="MS PGothic" w:hAnsiTheme="minorHAnsi"/>
          <w:color w:val="000000"/>
          <w:sz w:val="22"/>
          <w:szCs w:val="22"/>
        </w:rPr>
        <w:t>q</w:t>
      </w:r>
      <w:r w:rsidR="0013083E" w:rsidRPr="0013083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max</w:t>
      </w:r>
      <w:proofErr w:type="spellEnd"/>
      <w:r w:rsidR="0013083E">
        <w:rPr>
          <w:rFonts w:asciiTheme="minorHAnsi" w:eastAsia="MS PGothic" w:hAnsiTheme="minorHAnsi"/>
          <w:color w:val="000000"/>
          <w:sz w:val="22"/>
          <w:szCs w:val="22"/>
        </w:rPr>
        <w:t>, maxim</w:t>
      </w:r>
      <w:r w:rsidR="00456D04">
        <w:rPr>
          <w:rFonts w:asciiTheme="minorHAnsi" w:eastAsia="MS PGothic" w:hAnsiTheme="minorHAnsi"/>
          <w:color w:val="000000"/>
          <w:sz w:val="22"/>
          <w:szCs w:val="22"/>
        </w:rPr>
        <w:t>um sorption capacity, equal to 3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>8 mg/g (data not showed)</w:t>
      </w:r>
      <w:r w:rsidR="005D48B8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 xml:space="preserve"> The </w:t>
      </w:r>
      <w:proofErr w:type="spellStart"/>
      <w:r w:rsidR="0013083E">
        <w:rPr>
          <w:rFonts w:asciiTheme="minorHAnsi" w:eastAsia="MS PGothic" w:hAnsiTheme="minorHAnsi"/>
          <w:color w:val="000000"/>
          <w:sz w:val="22"/>
          <w:szCs w:val="22"/>
        </w:rPr>
        <w:t>Re</w:t>
      </w:r>
      <w:r w:rsidR="0013083E" w:rsidRPr="0093044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I</w:t>
      </w:r>
      <w:proofErr w:type="spellEnd"/>
      <w:r w:rsidR="0013083E">
        <w:rPr>
          <w:rFonts w:asciiTheme="minorHAnsi" w:eastAsia="MS PGothic" w:hAnsiTheme="minorHAnsi"/>
          <w:color w:val="000000"/>
          <w:sz w:val="22"/>
          <w:szCs w:val="22"/>
        </w:rPr>
        <w:t xml:space="preserve"> was varied in the range 1.4-3.5x10</w:t>
      </w:r>
      <w:r w:rsidR="0013083E" w:rsidRPr="0093044B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4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 xml:space="preserve">, to maintain full turbulent conditions, by varying the </w:t>
      </w:r>
      <w:r w:rsidR="005D48B8">
        <w:rPr>
          <w:rFonts w:asciiTheme="minorHAnsi" w:eastAsia="MS PGothic" w:hAnsiTheme="minorHAnsi"/>
          <w:color w:val="000000"/>
          <w:sz w:val="22"/>
          <w:szCs w:val="22"/>
        </w:rPr>
        <w:t>impeller rotational velocity (50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 xml:space="preserve">0-1250 rpm). </w:t>
      </w:r>
      <w:r w:rsidR="0013083E" w:rsidRPr="0013083E">
        <w:rPr>
          <w:rFonts w:asciiTheme="minorHAnsi" w:eastAsia="MS PGothic" w:hAnsiTheme="minorHAnsi"/>
          <w:color w:val="000000"/>
          <w:sz w:val="22"/>
          <w:szCs w:val="22"/>
        </w:rPr>
        <w:t>The dimension of the tank diameter, T (m), was 0.123 m, whereas the liquid height, H</w:t>
      </w:r>
      <w:r w:rsidR="005D48B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3083E" w:rsidRPr="0013083E">
        <w:rPr>
          <w:rFonts w:asciiTheme="minorHAnsi" w:eastAsia="MS PGothic" w:hAnsiTheme="minorHAnsi"/>
          <w:color w:val="000000"/>
          <w:sz w:val="22"/>
          <w:szCs w:val="22"/>
        </w:rPr>
        <w:t>(m) was fixed equal to T. The impeller diameter, D</w:t>
      </w:r>
      <w:r w:rsidR="0013083E" w:rsidRPr="0013083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i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 xml:space="preserve"> (m), was </w:t>
      </w:r>
      <w:r w:rsidR="0013083E" w:rsidRPr="0013083E">
        <w:rPr>
          <w:rFonts w:asciiTheme="minorHAnsi" w:eastAsia="MS PGothic" w:hAnsiTheme="minorHAnsi"/>
          <w:color w:val="000000"/>
          <w:sz w:val="22"/>
          <w:szCs w:val="22"/>
        </w:rPr>
        <w:t>fixed equal to 0.33T</w:t>
      </w:r>
      <w:r w:rsidR="005D48B8">
        <w:rPr>
          <w:rFonts w:asciiTheme="minorHAnsi" w:eastAsia="MS PGothic" w:hAnsiTheme="minorHAnsi"/>
          <w:color w:val="000000"/>
          <w:sz w:val="22"/>
          <w:szCs w:val="22"/>
        </w:rPr>
        <w:t xml:space="preserve">, whereas C 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>was varied as 0.15T, 0.25T, 0.33T and 0.4T</w:t>
      </w:r>
      <w:r w:rsidR="005D48B8">
        <w:rPr>
          <w:rFonts w:asciiTheme="minorHAnsi" w:eastAsia="MS PGothic" w:hAnsiTheme="minorHAnsi"/>
          <w:color w:val="000000"/>
          <w:sz w:val="22"/>
          <w:szCs w:val="22"/>
        </w:rPr>
        <w:t xml:space="preserve"> (data not showed)</w:t>
      </w:r>
      <w:r w:rsidR="0013083E" w:rsidRPr="0013083E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13083E" w:rsidRPr="0013083E"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The number of baffles was 4 and their dimension was 0.1T. </w:t>
      </w:r>
      <w:r w:rsidR="0093044B" w:rsidRPr="0093044B">
        <w:rPr>
          <w:rFonts w:asciiTheme="minorHAnsi" w:eastAsia="MS PGothic" w:hAnsiTheme="minorHAnsi"/>
          <w:color w:val="000000"/>
          <w:sz w:val="22"/>
          <w:szCs w:val="22"/>
        </w:rPr>
        <w:t xml:space="preserve">The tests were conducted with two identical reactors, and at selected time steps, the same liquid aliquot was withdrawn from the two reactors. The former was used to re-fill the first reactor, to keep its volume constant and to avoid the variation of the hydrodynamic field, whereas the second one was used for the analysis. </w:t>
      </w:r>
      <w:r w:rsidR="0013083E">
        <w:rPr>
          <w:rFonts w:asciiTheme="minorHAnsi" w:eastAsia="MS PGothic" w:hAnsiTheme="minorHAnsi"/>
          <w:color w:val="000000"/>
          <w:sz w:val="22"/>
          <w:szCs w:val="22"/>
        </w:rPr>
        <w:t xml:space="preserve">The residual Pb concentration was measured by a Flame Absorption Spectroscopy instrument (Agilent). </w:t>
      </w:r>
      <w:r w:rsidR="0093044B">
        <w:rPr>
          <w:rFonts w:asciiTheme="minorHAnsi" w:eastAsia="MS PGothic" w:hAnsiTheme="minorHAnsi"/>
          <w:color w:val="000000"/>
          <w:sz w:val="22"/>
          <w:szCs w:val="22"/>
        </w:rPr>
        <w:t>The kinetic experiments were interpreted according to a mass transfer model reported in a previous work, where also the fluid dynamic model (RANS + k-</w:t>
      </w:r>
      <w:r w:rsidR="0093044B" w:rsidRPr="0093044B">
        <w:rPr>
          <w:rFonts w:ascii="Symbol" w:eastAsia="MS PGothic" w:hAnsi="Symbol"/>
          <w:color w:val="000000"/>
          <w:sz w:val="22"/>
          <w:szCs w:val="22"/>
        </w:rPr>
        <w:t></w:t>
      </w:r>
      <w:r w:rsidR="0093044B">
        <w:rPr>
          <w:rFonts w:asciiTheme="minorHAnsi" w:eastAsia="MS PGothic" w:hAnsiTheme="minorHAnsi"/>
          <w:color w:val="000000"/>
          <w:sz w:val="22"/>
          <w:szCs w:val="22"/>
        </w:rPr>
        <w:t xml:space="preserve"> model) of the stirred tank has been described</w:t>
      </w:r>
      <w:r w:rsidR="005D48B8">
        <w:rPr>
          <w:rFonts w:asciiTheme="minorHAnsi" w:eastAsia="MS PGothic" w:hAnsiTheme="minorHAnsi"/>
          <w:color w:val="000000"/>
          <w:sz w:val="22"/>
          <w:szCs w:val="22"/>
        </w:rPr>
        <w:t xml:space="preserve"> [2]</w:t>
      </w:r>
      <w:r w:rsidR="0093044B">
        <w:rPr>
          <w:rFonts w:asciiTheme="minorHAnsi" w:eastAsia="MS PGothic" w:hAnsiTheme="minorHAnsi"/>
          <w:color w:val="000000"/>
          <w:sz w:val="22"/>
          <w:szCs w:val="22"/>
        </w:rPr>
        <w:t xml:space="preserve">. The regressed liquid film mass transfer coefficient, </w:t>
      </w:r>
      <w:proofErr w:type="spellStart"/>
      <w:r w:rsidR="0093044B">
        <w:rPr>
          <w:rFonts w:asciiTheme="minorHAnsi" w:eastAsia="MS PGothic" w:hAnsiTheme="minorHAnsi"/>
          <w:color w:val="000000"/>
          <w:sz w:val="22"/>
          <w:szCs w:val="22"/>
        </w:rPr>
        <w:t>k</w:t>
      </w:r>
      <w:r w:rsidR="0093044B" w:rsidRPr="0093044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L</w:t>
      </w:r>
      <w:proofErr w:type="spellEnd"/>
      <w:r w:rsidR="0093044B">
        <w:rPr>
          <w:rFonts w:asciiTheme="minorHAnsi" w:eastAsia="MS PGothic" w:hAnsiTheme="minorHAnsi"/>
          <w:color w:val="000000"/>
          <w:sz w:val="22"/>
          <w:szCs w:val="22"/>
        </w:rPr>
        <w:t xml:space="preserve"> (m/s), and the simulated ones (obtained from CFD simulations) were used to evaluate the empirical coefficients of the experimental relation between Sherwood, Reynolds and Schmidt numbers, as reported below:</w:t>
      </w:r>
    </w:p>
    <w:p w:rsidR="0093044B" w:rsidRPr="0096476B" w:rsidRDefault="0093044B" w:rsidP="0093044B">
      <w:pPr>
        <w:pStyle w:val="CETBodytext"/>
      </w:pPr>
      <m:oMathPara>
        <m:oMath>
          <m:r>
            <w:rPr>
              <w:rFonts w:ascii="Cambria Math" w:hAnsi="Cambria Math"/>
            </w:rPr>
            <m:t>Sh=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Pb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2+α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c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Sc</m:t>
                  </m:r>
                </m:e>
                <m:sup>
                  <m:r>
                    <w:rPr>
                      <w:rFonts w:ascii="Cambria Math" w:hAnsi="Cambria Math"/>
                    </w:rPr>
                    <m:t>d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                                                                                                                                                              (1)</m:t>
          </m:r>
        </m:oMath>
      </m:oMathPara>
    </w:p>
    <w:p w:rsidR="0093044B" w:rsidRPr="0096476B" w:rsidRDefault="009C3028" w:rsidP="0093044B">
      <w:pPr>
        <w:pStyle w:val="CETBodytex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Re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p>
                  <m:r>
                    <w:rPr>
                      <w:rFonts w:ascii="Cambria Math" w:hAnsi="Cambria Math"/>
                    </w:rPr>
                    <m:t>1/3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4/3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υ</m:t>
              </m:r>
            </m:den>
          </m:f>
          <m:r>
            <w:rPr>
              <w:rFonts w:ascii="Cambria Math" w:hAnsi="Cambria Math"/>
            </w:rPr>
            <m:t xml:space="preserve">                                                                                                                                                                                         (2)</m:t>
          </m:r>
        </m:oMath>
      </m:oMathPara>
    </w:p>
    <w:p w:rsidR="0093044B" w:rsidRDefault="0093044B" w:rsidP="0093044B">
      <w:pPr>
        <w:pStyle w:val="CETBodytext"/>
      </w:pPr>
      <m:oMathPara>
        <m:oMath>
          <m:r>
            <w:rPr>
              <w:rFonts w:ascii="Cambria Math" w:hAnsi="Cambria Math"/>
            </w:rPr>
            <m:t>Sc=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Pb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υ</m:t>
              </m:r>
            </m:den>
          </m:f>
          <m:r>
            <w:rPr>
              <w:rFonts w:ascii="Cambria Math" w:hAnsi="Cambria Math"/>
            </w:rPr>
            <m:t xml:space="preserve">                                                                                                                                                                                                   (3)</m:t>
          </m:r>
        </m:oMath>
      </m:oMathPara>
    </w:p>
    <w:p w:rsidR="0093044B" w:rsidRPr="0093044B" w:rsidRDefault="00F7413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93044B">
        <w:rPr>
          <w:rFonts w:asciiTheme="minorHAnsi" w:eastAsia="MS PGothic" w:hAnsiTheme="minorHAnsi"/>
          <w:color w:val="000000"/>
          <w:sz w:val="22"/>
          <w:szCs w:val="22"/>
        </w:rPr>
        <w:t xml:space="preserve">here </w:t>
      </w:r>
      <w:r w:rsidR="0093044B" w:rsidRPr="00F7413F">
        <w:rPr>
          <w:rFonts w:ascii="Symbol" w:eastAsia="MS PGothic" w:hAnsi="Symbol"/>
          <w:color w:val="000000"/>
          <w:sz w:val="22"/>
          <w:szCs w:val="22"/>
        </w:rPr>
        <w:t></w:t>
      </w:r>
      <w:r w:rsidR="0093044B">
        <w:rPr>
          <w:rFonts w:asciiTheme="minorHAnsi" w:eastAsia="MS PGothic" w:hAnsiTheme="minorHAnsi"/>
          <w:color w:val="000000"/>
          <w:sz w:val="22"/>
          <w:szCs w:val="22"/>
        </w:rPr>
        <w:t xml:space="preserve"> (W/kg) is the specific power per unit of mass dispersed in the vessel, </w:t>
      </w:r>
      <w:proofErr w:type="spellStart"/>
      <w:r w:rsidR="0093044B">
        <w:rPr>
          <w:rFonts w:asciiTheme="minorHAnsi" w:eastAsia="MS PGothic" w:hAnsiTheme="minorHAnsi"/>
          <w:color w:val="000000"/>
          <w:sz w:val="22"/>
          <w:szCs w:val="22"/>
        </w:rPr>
        <w:t>D</w:t>
      </w:r>
      <w:r w:rsidR="0093044B" w:rsidRPr="00F7413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Pb</w:t>
      </w:r>
      <w:proofErr w:type="spellEnd"/>
      <w:r w:rsidR="0093044B">
        <w:rPr>
          <w:rFonts w:asciiTheme="minorHAnsi" w:eastAsia="MS PGothic" w:hAnsiTheme="minorHAnsi"/>
          <w:color w:val="000000"/>
          <w:sz w:val="22"/>
          <w:szCs w:val="22"/>
        </w:rPr>
        <w:t xml:space="preserve"> (m</w:t>
      </w:r>
      <w:r w:rsidR="0093044B" w:rsidRPr="00F7413F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2</w:t>
      </w:r>
      <w:r w:rsidR="0093044B">
        <w:rPr>
          <w:rFonts w:asciiTheme="minorHAnsi" w:eastAsia="MS PGothic" w:hAnsiTheme="minorHAnsi"/>
          <w:color w:val="000000"/>
          <w:sz w:val="22"/>
          <w:szCs w:val="22"/>
        </w:rPr>
        <w:t xml:space="preserve">/s) is the Pb bulk diffusion coefficient and </w:t>
      </w:r>
      <w:r w:rsidRPr="00F7413F">
        <w:rPr>
          <w:rFonts w:ascii="Symbol" w:eastAsia="MS PGothic" w:hAnsi="Symbol"/>
          <w:color w:val="000000"/>
          <w:sz w:val="22"/>
          <w:szCs w:val="22"/>
        </w:rPr>
        <w:t>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(m</w:t>
      </w:r>
      <w:r w:rsidRPr="00F7413F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>/s) is the kinematic viscosity of the solution.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252B2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DF70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 of impeller rotational velocity, i.e. </w:t>
      </w:r>
      <w:proofErr w:type="spellStart"/>
      <w:r w:rsidR="00DF70ED">
        <w:rPr>
          <w:rFonts w:asciiTheme="minorHAnsi" w:eastAsia="MS PGothic" w:hAnsiTheme="minorHAnsi"/>
          <w:color w:val="000000"/>
          <w:sz w:val="22"/>
          <w:szCs w:val="22"/>
          <w:lang w:val="en-US"/>
        </w:rPr>
        <w:t>Re</w:t>
      </w:r>
      <w:r w:rsidR="00DF70ED" w:rsidRPr="00DF70E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I</w:t>
      </w:r>
      <w:proofErr w:type="spellEnd"/>
      <w:r w:rsidR="00DF70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turbulence, favored the mass transfer phenomenon and led to a reduction of required residence time in the agitated vessel to reach the asymptote</w:t>
      </w:r>
      <w:r w:rsidR="00DF70ED">
        <w:rPr>
          <w:rFonts w:asciiTheme="minorHAnsi" w:eastAsia="MS PGothic" w:hAnsiTheme="minorHAnsi"/>
          <w:color w:val="000000"/>
          <w:sz w:val="22"/>
          <w:szCs w:val="22"/>
        </w:rPr>
        <w:t xml:space="preserve"> (Figure 1a)</w:t>
      </w:r>
      <w:r w:rsidR="0008587C">
        <w:rPr>
          <w:rFonts w:asciiTheme="minorHAnsi" w:eastAsia="MS PGothic" w:hAnsiTheme="minorHAnsi"/>
          <w:color w:val="000000"/>
          <w:sz w:val="22"/>
          <w:szCs w:val="22"/>
        </w:rPr>
        <w:t xml:space="preserve">. The empirical correlation among </w:t>
      </w:r>
      <w:proofErr w:type="spellStart"/>
      <w:r w:rsidR="0008587C">
        <w:rPr>
          <w:rFonts w:asciiTheme="minorHAnsi" w:eastAsia="MS PGothic" w:hAnsiTheme="minorHAnsi"/>
          <w:color w:val="000000"/>
          <w:sz w:val="22"/>
          <w:szCs w:val="22"/>
        </w:rPr>
        <w:t>Sh</w:t>
      </w:r>
      <w:proofErr w:type="spellEnd"/>
      <w:r w:rsidR="0008587C">
        <w:rPr>
          <w:rFonts w:asciiTheme="minorHAnsi" w:eastAsia="MS PGothic" w:hAnsiTheme="minorHAnsi"/>
          <w:color w:val="000000"/>
          <w:sz w:val="22"/>
          <w:szCs w:val="22"/>
        </w:rPr>
        <w:t xml:space="preserve">, Re and Sc numbers was employed as model to fit both predicted and regressed </w:t>
      </w:r>
      <w:proofErr w:type="spellStart"/>
      <w:r w:rsidR="0008587C">
        <w:rPr>
          <w:rFonts w:asciiTheme="minorHAnsi" w:eastAsia="MS PGothic" w:hAnsiTheme="minorHAnsi"/>
          <w:color w:val="000000"/>
          <w:sz w:val="22"/>
          <w:szCs w:val="22"/>
        </w:rPr>
        <w:t>k</w:t>
      </w:r>
      <w:r w:rsidR="0008587C" w:rsidRPr="0008587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L</w:t>
      </w:r>
      <w:proofErr w:type="spellEnd"/>
      <w:r w:rsidR="0008587C">
        <w:rPr>
          <w:rFonts w:asciiTheme="minorHAnsi" w:eastAsia="MS PGothic" w:hAnsiTheme="minorHAnsi"/>
          <w:color w:val="000000"/>
          <w:sz w:val="22"/>
          <w:szCs w:val="22"/>
        </w:rPr>
        <w:t xml:space="preserve"> values and the obtained empirical coefficients (</w:t>
      </w:r>
      <w:r w:rsidR="0008587C" w:rsidRPr="0008587C">
        <w:rPr>
          <w:rFonts w:ascii="Symbol" w:eastAsia="MS PGothic" w:hAnsi="Symbol"/>
          <w:color w:val="000000"/>
          <w:sz w:val="22"/>
          <w:szCs w:val="22"/>
        </w:rPr>
        <w:t></w:t>
      </w:r>
      <w:r w:rsidR="0008587C">
        <w:rPr>
          <w:rFonts w:asciiTheme="minorHAnsi" w:eastAsia="MS PGothic" w:hAnsiTheme="minorHAnsi"/>
          <w:color w:val="000000"/>
          <w:sz w:val="22"/>
          <w:szCs w:val="22"/>
        </w:rPr>
        <w:t xml:space="preserve">, c and d) were quite similar, considering the accordance among the </w:t>
      </w:r>
      <w:proofErr w:type="spellStart"/>
      <w:r w:rsidR="0008587C">
        <w:rPr>
          <w:rFonts w:asciiTheme="minorHAnsi" w:eastAsia="MS PGothic" w:hAnsiTheme="minorHAnsi"/>
          <w:color w:val="000000"/>
          <w:sz w:val="22"/>
          <w:szCs w:val="22"/>
        </w:rPr>
        <w:t>k</w:t>
      </w:r>
      <w:r w:rsidR="0008587C" w:rsidRPr="0008587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L</w:t>
      </w:r>
      <w:proofErr w:type="spellEnd"/>
      <w:r w:rsidR="0008587C">
        <w:rPr>
          <w:rFonts w:asciiTheme="minorHAnsi" w:eastAsia="MS PGothic" w:hAnsiTheme="minorHAnsi"/>
          <w:color w:val="000000"/>
          <w:sz w:val="22"/>
          <w:szCs w:val="22"/>
        </w:rPr>
        <w:t xml:space="preserve"> values (Figure 1b)</w:t>
      </w:r>
    </w:p>
    <w:p w:rsidR="00704BDF" w:rsidRPr="00DE0019" w:rsidRDefault="001E09DC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it-IT" w:eastAsia="it-IT"/>
        </w:rPr>
        <w:drawing>
          <wp:inline distT="0" distB="0" distL="0" distR="0">
            <wp:extent cx="2740101" cy="1420495"/>
            <wp:effectExtent l="0" t="0" r="317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tur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406" cy="143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87C">
        <w:rPr>
          <w:rFonts w:asciiTheme="minorHAnsi" w:eastAsia="MS PGothic" w:hAnsiTheme="minorHAnsi"/>
          <w:noProof/>
          <w:color w:val="000000"/>
          <w:lang w:val="it-IT" w:eastAsia="it-IT"/>
        </w:rPr>
        <w:drawing>
          <wp:inline distT="0" distB="0" distL="0" distR="0">
            <wp:extent cx="2819400" cy="1440842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ttur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477" cy="1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DF70ED">
        <w:rPr>
          <w:rFonts w:asciiTheme="minorHAnsi" w:eastAsia="MS PGothic" w:hAnsiTheme="minorHAnsi"/>
          <w:color w:val="000000"/>
          <w:szCs w:val="18"/>
          <w:lang w:val="en-US"/>
        </w:rPr>
        <w:t xml:space="preserve">Pb sorption kinetics at different impeller rotational velocities (a) and </w:t>
      </w:r>
      <w:proofErr w:type="spellStart"/>
      <w:r w:rsidR="00DF70ED">
        <w:rPr>
          <w:rFonts w:asciiTheme="minorHAnsi" w:eastAsia="MS PGothic" w:hAnsiTheme="minorHAnsi"/>
          <w:color w:val="000000"/>
          <w:szCs w:val="18"/>
          <w:lang w:val="en-US"/>
        </w:rPr>
        <w:t>Sh</w:t>
      </w:r>
      <w:proofErr w:type="spellEnd"/>
      <w:r w:rsidR="00DF70ED">
        <w:rPr>
          <w:rFonts w:asciiTheme="minorHAnsi" w:eastAsia="MS PGothic" w:hAnsiTheme="minorHAnsi"/>
          <w:color w:val="000000"/>
          <w:szCs w:val="18"/>
          <w:lang w:val="en-US"/>
        </w:rPr>
        <w:t xml:space="preserve"> correlation obtained from CFD predicted and regressed </w:t>
      </w:r>
      <w:proofErr w:type="spellStart"/>
      <w:r w:rsidR="00DF70ED">
        <w:rPr>
          <w:rFonts w:asciiTheme="minorHAnsi" w:eastAsia="MS PGothic" w:hAnsiTheme="minorHAnsi"/>
          <w:color w:val="000000"/>
          <w:szCs w:val="18"/>
          <w:lang w:val="en-US"/>
        </w:rPr>
        <w:t>k</w:t>
      </w:r>
      <w:r w:rsidR="00DF70ED" w:rsidRPr="00DF70ED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L</w:t>
      </w:r>
      <w:proofErr w:type="spellEnd"/>
      <w:r w:rsidR="00DF70ED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proofErr w:type="gramStart"/>
      <w:r w:rsidR="00DF70ED">
        <w:rPr>
          <w:rFonts w:asciiTheme="minorHAnsi" w:eastAsia="MS PGothic" w:hAnsiTheme="minorHAnsi"/>
          <w:color w:val="000000"/>
          <w:szCs w:val="18"/>
          <w:lang w:val="en-US"/>
        </w:rPr>
        <w:t>values.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proofErr w:type="gramEnd"/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FA136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Pr="00FA136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L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from CFD simulations were close to that obtained from data regression, as well as the empirical coefficients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Sh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correlation with Re and Sc numbers.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nanohematite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particles were able to sorb a considerable amount of Pb cations in alkaline environment and the process may be intensified by an accurate selection of impeller rotational velocity and reactor geometry.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FA136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704BDF" w:rsidRPr="008D0BEB" w:rsidRDefault="00252B21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933BA3">
        <w:rPr>
          <w:rFonts w:asciiTheme="minorHAnsi" w:hAnsiTheme="minorHAnsi"/>
          <w:color w:val="000000"/>
          <w:lang w:val="fr-FR"/>
        </w:rPr>
        <w:t xml:space="preserve">L. E. Barton, K. E. Grant, T. </w:t>
      </w:r>
      <w:proofErr w:type="spellStart"/>
      <w:r w:rsidRPr="00933BA3">
        <w:rPr>
          <w:rFonts w:asciiTheme="minorHAnsi" w:hAnsiTheme="minorHAnsi"/>
          <w:color w:val="000000"/>
          <w:lang w:val="fr-FR"/>
        </w:rPr>
        <w:t>Kosel</w:t>
      </w:r>
      <w:proofErr w:type="spellEnd"/>
      <w:r w:rsidRPr="00933BA3">
        <w:rPr>
          <w:rFonts w:asciiTheme="minorHAnsi" w:hAnsiTheme="minorHAnsi"/>
          <w:color w:val="000000"/>
          <w:lang w:val="fr-FR"/>
        </w:rPr>
        <w:t xml:space="preserve">, A. N. </w:t>
      </w:r>
      <w:proofErr w:type="spellStart"/>
      <w:r w:rsidRPr="00933BA3">
        <w:rPr>
          <w:rFonts w:asciiTheme="minorHAnsi" w:hAnsiTheme="minorHAnsi"/>
          <w:color w:val="000000"/>
          <w:lang w:val="fr-FR"/>
        </w:rPr>
        <w:t>Quicksall</w:t>
      </w:r>
      <w:proofErr w:type="spellEnd"/>
      <w:r w:rsidRPr="00933BA3">
        <w:rPr>
          <w:rFonts w:asciiTheme="minorHAnsi" w:hAnsiTheme="minorHAnsi"/>
          <w:color w:val="000000"/>
          <w:lang w:val="fr-FR"/>
        </w:rPr>
        <w:t xml:space="preserve">, P. A. Maurice, Env. </w:t>
      </w:r>
      <w:proofErr w:type="spellStart"/>
      <w:r w:rsidRPr="00933BA3">
        <w:rPr>
          <w:rFonts w:asciiTheme="minorHAnsi" w:hAnsiTheme="minorHAnsi"/>
          <w:color w:val="000000"/>
          <w:lang w:val="fr-FR"/>
        </w:rPr>
        <w:t>Sci</w:t>
      </w:r>
      <w:proofErr w:type="spellEnd"/>
      <w:r w:rsidRPr="00933BA3">
        <w:rPr>
          <w:rFonts w:asciiTheme="minorHAnsi" w:hAnsiTheme="minorHAnsi"/>
          <w:color w:val="000000"/>
          <w:lang w:val="fr-FR"/>
        </w:rPr>
        <w:t xml:space="preserve">. </w:t>
      </w:r>
      <w:r w:rsidRPr="00252B21">
        <w:rPr>
          <w:rFonts w:asciiTheme="minorHAnsi" w:hAnsiTheme="minorHAnsi"/>
          <w:color w:val="000000"/>
        </w:rPr>
        <w:t>Tech. 45 (2011)</w:t>
      </w:r>
      <w:r w:rsidRPr="0008587C">
        <w:rPr>
          <w:rFonts w:asciiTheme="minorHAnsi" w:hAnsiTheme="minorHAnsi"/>
          <w:color w:val="000000"/>
        </w:rPr>
        <w:t xml:space="preserve"> 3231-3237.</w:t>
      </w:r>
    </w:p>
    <w:p w:rsidR="00704BDF" w:rsidRPr="00252B21" w:rsidRDefault="00252B21" w:rsidP="0008587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lang w:val="it-IT"/>
        </w:rPr>
      </w:pPr>
      <w:r w:rsidRPr="00252B21">
        <w:rPr>
          <w:rFonts w:asciiTheme="minorHAnsi" w:hAnsiTheme="minorHAnsi"/>
          <w:color w:val="000000"/>
          <w:lang w:val="it-IT"/>
        </w:rPr>
        <w:t xml:space="preserve"> G. Vilardi, M. </w:t>
      </w:r>
      <w:proofErr w:type="spellStart"/>
      <w:r w:rsidRPr="00252B21">
        <w:rPr>
          <w:rFonts w:asciiTheme="minorHAnsi" w:hAnsiTheme="minorHAnsi"/>
          <w:color w:val="000000"/>
          <w:lang w:val="it-IT"/>
        </w:rPr>
        <w:t>Stoller</w:t>
      </w:r>
      <w:proofErr w:type="spellEnd"/>
      <w:r w:rsidRPr="00252B21">
        <w:rPr>
          <w:rFonts w:asciiTheme="minorHAnsi" w:hAnsiTheme="minorHAnsi"/>
          <w:color w:val="000000"/>
          <w:lang w:val="it-IT"/>
        </w:rPr>
        <w:t xml:space="preserve">, L. Di Palma, N. </w:t>
      </w:r>
      <w:r>
        <w:rPr>
          <w:rFonts w:asciiTheme="minorHAnsi" w:hAnsiTheme="minorHAnsi"/>
          <w:color w:val="000000"/>
          <w:lang w:val="it-IT"/>
        </w:rPr>
        <w:t xml:space="preserve">Verdone, </w:t>
      </w:r>
      <w:proofErr w:type="spellStart"/>
      <w:r>
        <w:rPr>
          <w:rFonts w:asciiTheme="minorHAnsi" w:hAnsiTheme="minorHAnsi"/>
          <w:color w:val="000000"/>
          <w:lang w:val="it-IT"/>
        </w:rPr>
        <w:t>Chem</w:t>
      </w:r>
      <w:proofErr w:type="spellEnd"/>
      <w:r>
        <w:rPr>
          <w:rFonts w:asciiTheme="minorHAnsi" w:hAnsiTheme="minorHAnsi"/>
          <w:color w:val="000000"/>
          <w:lang w:val="it-IT"/>
        </w:rPr>
        <w:t xml:space="preserve">. </w:t>
      </w:r>
      <w:proofErr w:type="spellStart"/>
      <w:r>
        <w:rPr>
          <w:rFonts w:asciiTheme="minorHAnsi" w:hAnsiTheme="minorHAnsi"/>
          <w:color w:val="000000"/>
          <w:lang w:val="it-IT"/>
        </w:rPr>
        <w:t>Eng</w:t>
      </w:r>
      <w:proofErr w:type="spellEnd"/>
      <w:r>
        <w:rPr>
          <w:rFonts w:asciiTheme="minorHAnsi" w:hAnsiTheme="minorHAnsi"/>
          <w:color w:val="000000"/>
          <w:lang w:val="it-IT"/>
        </w:rPr>
        <w:t>. Trans. 74 (2019) 101-106.</w:t>
      </w:r>
    </w:p>
    <w:sectPr w:rsidR="00704BDF" w:rsidRPr="00252B2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28" w:rsidRDefault="009C3028" w:rsidP="004F5E36">
      <w:r>
        <w:separator/>
      </w:r>
    </w:p>
  </w:endnote>
  <w:endnote w:type="continuationSeparator" w:id="0">
    <w:p w:rsidR="009C3028" w:rsidRDefault="009C302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28" w:rsidRDefault="009C3028" w:rsidP="004F5E36">
      <w:r>
        <w:separator/>
      </w:r>
    </w:p>
  </w:footnote>
  <w:footnote w:type="continuationSeparator" w:id="0">
    <w:p w:rsidR="009C3028" w:rsidRDefault="009C302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8587C"/>
    <w:rsid w:val="000A03B2"/>
    <w:rsid w:val="000D34BE"/>
    <w:rsid w:val="000E36F1"/>
    <w:rsid w:val="000E3A73"/>
    <w:rsid w:val="000E414A"/>
    <w:rsid w:val="0013083E"/>
    <w:rsid w:val="0013121F"/>
    <w:rsid w:val="00134DE4"/>
    <w:rsid w:val="00150E59"/>
    <w:rsid w:val="00184AD6"/>
    <w:rsid w:val="001B65C1"/>
    <w:rsid w:val="001C684B"/>
    <w:rsid w:val="001D53FC"/>
    <w:rsid w:val="001E09DC"/>
    <w:rsid w:val="001F2EC7"/>
    <w:rsid w:val="002065DB"/>
    <w:rsid w:val="002447EF"/>
    <w:rsid w:val="00251550"/>
    <w:rsid w:val="00252B21"/>
    <w:rsid w:val="00261069"/>
    <w:rsid w:val="0027221A"/>
    <w:rsid w:val="00275B61"/>
    <w:rsid w:val="002D1F12"/>
    <w:rsid w:val="003009B7"/>
    <w:rsid w:val="0030469C"/>
    <w:rsid w:val="003723D4"/>
    <w:rsid w:val="003A7D1C"/>
    <w:rsid w:val="00456D04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48B8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3044B"/>
    <w:rsid w:val="00933BA3"/>
    <w:rsid w:val="009450CE"/>
    <w:rsid w:val="0095164B"/>
    <w:rsid w:val="009728A5"/>
    <w:rsid w:val="00992F29"/>
    <w:rsid w:val="00996483"/>
    <w:rsid w:val="009C3028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AF30C1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379D"/>
    <w:rsid w:val="00C867B1"/>
    <w:rsid w:val="00C94434"/>
    <w:rsid w:val="00CA1C95"/>
    <w:rsid w:val="00CA5A9C"/>
    <w:rsid w:val="00CD5C90"/>
    <w:rsid w:val="00CD5FE2"/>
    <w:rsid w:val="00D02B4C"/>
    <w:rsid w:val="00D84576"/>
    <w:rsid w:val="00DE0019"/>
    <w:rsid w:val="00DE264A"/>
    <w:rsid w:val="00DF70ED"/>
    <w:rsid w:val="00E041E7"/>
    <w:rsid w:val="00E23CA1"/>
    <w:rsid w:val="00E409A8"/>
    <w:rsid w:val="00E7209D"/>
    <w:rsid w:val="00EA421A"/>
    <w:rsid w:val="00EA50E1"/>
    <w:rsid w:val="00EE0131"/>
    <w:rsid w:val="00F30C64"/>
    <w:rsid w:val="00F56C55"/>
    <w:rsid w:val="00F7413F"/>
    <w:rsid w:val="00FA136B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DF78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4B58-BF34-4786-B399-152C65F1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Giorgio Vilardi</cp:lastModifiedBy>
  <cp:revision>2</cp:revision>
  <cp:lastPrinted>2015-05-12T18:31:00Z</cp:lastPrinted>
  <dcterms:created xsi:type="dcterms:W3CDTF">2019-05-31T11:19:00Z</dcterms:created>
  <dcterms:modified xsi:type="dcterms:W3CDTF">2019-05-31T11:19:00Z</dcterms:modified>
</cp:coreProperties>
</file>