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1FC47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27D83AB6" w14:textId="3DE09003" w:rsidR="00704BDF" w:rsidRPr="00DE0019" w:rsidRDefault="00313A8D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313A8D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Scenedesmus </w:t>
      </w:r>
      <w:r w:rsidR="00BF4E8F" w:rsidRPr="00313A8D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Obliquus</w:t>
      </w:r>
      <w:r w:rsidR="00BF4E8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Growth in Semi-Batch Microphotobioreactor u</w:t>
      </w:r>
      <w:bookmarkStart w:id="0" w:name="_GoBack"/>
      <w:bookmarkEnd w:id="0"/>
      <w:r w:rsidR="00BF4E8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nder Non-Limiting </w:t>
      </w:r>
      <w:r w:rsidR="006F223A">
        <w:rPr>
          <w:rFonts w:asciiTheme="minorHAnsi" w:eastAsia="MS PGothic" w:hAnsiTheme="minorHAnsi"/>
          <w:b/>
          <w:bCs/>
          <w:sz w:val="28"/>
          <w:szCs w:val="28"/>
          <w:lang w:val="en-US"/>
        </w:rPr>
        <w:t>CO</w:t>
      </w:r>
      <w:r w:rsidR="006F223A" w:rsidRPr="006F223A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="006F223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BF4E8F">
        <w:rPr>
          <w:rFonts w:asciiTheme="minorHAnsi" w:eastAsia="MS PGothic" w:hAnsiTheme="minorHAnsi"/>
          <w:b/>
          <w:bCs/>
          <w:sz w:val="28"/>
          <w:szCs w:val="28"/>
          <w:lang w:val="en-US"/>
        </w:rPr>
        <w:t>Supply</w:t>
      </w:r>
    </w:p>
    <w:p w14:paraId="2D5128F7" w14:textId="77777777" w:rsidR="00DE0019" w:rsidRPr="00313A8D" w:rsidRDefault="00313A8D" w:rsidP="00704BDF">
      <w:pPr>
        <w:snapToGrid w:val="0"/>
        <w:spacing w:after="120"/>
        <w:jc w:val="center"/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it-IT" w:eastAsia="zh-CN"/>
        </w:rPr>
      </w:pPr>
      <w:r w:rsidRPr="00313A8D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it-IT" w:eastAsia="zh-CN"/>
        </w:rPr>
        <w:t>Christopher Castaldello</w:t>
      </w:r>
      <w:r w:rsidR="00704BDF" w:rsidRPr="00313A8D">
        <w:rPr>
          <w:rFonts w:asciiTheme="minorHAnsi" w:eastAsia="SimSun" w:hAnsiTheme="minorHAnsi" w:cs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38601F">
        <w:rPr>
          <w:rFonts w:asciiTheme="minorHAnsi" w:eastAsia="SimSun" w:hAnsiTheme="minorHAnsi" w:cstheme="minorHAnsi"/>
          <w:color w:val="000000"/>
          <w:sz w:val="24"/>
          <w:szCs w:val="24"/>
          <w:u w:val="single"/>
          <w:vertAlign w:val="superscript"/>
          <w:lang w:val="it-IT" w:eastAsia="zh-CN"/>
        </w:rPr>
        <w:t>,2</w:t>
      </w:r>
      <w:r w:rsidR="00736B13" w:rsidRPr="00313A8D">
        <w:rPr>
          <w:rFonts w:asciiTheme="minorHAnsi" w:eastAsia="SimSun" w:hAnsiTheme="minorHAnsi" w:cstheme="minorHAnsi"/>
          <w:color w:val="000000"/>
          <w:sz w:val="24"/>
          <w:szCs w:val="24"/>
          <w:lang w:val="it-IT" w:eastAsia="zh-CN"/>
        </w:rPr>
        <w:t xml:space="preserve">, </w:t>
      </w:r>
      <w:r w:rsidRPr="00313A8D">
        <w:rPr>
          <w:rFonts w:asciiTheme="minorHAnsi" w:eastAsia="SimSun" w:hAnsiTheme="minorHAnsi" w:cstheme="minorHAnsi"/>
          <w:color w:val="000000"/>
          <w:sz w:val="24"/>
          <w:szCs w:val="24"/>
          <w:lang w:val="it-IT" w:eastAsia="zh-CN"/>
        </w:rPr>
        <w:t>Eleonora Sforza</w:t>
      </w:r>
      <w:r w:rsidR="00704BDF" w:rsidRPr="00313A8D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it-IT" w:eastAsia="zh-CN"/>
        </w:rPr>
        <w:t>2</w:t>
      </w:r>
      <w:r w:rsidRPr="00313A8D">
        <w:rPr>
          <w:rFonts w:asciiTheme="minorHAnsi" w:eastAsia="SimSun" w:hAnsiTheme="minorHAnsi" w:cstheme="minorHAnsi"/>
          <w:color w:val="000000"/>
          <w:sz w:val="24"/>
          <w:szCs w:val="24"/>
          <w:lang w:val="it-IT" w:eastAsia="zh-CN"/>
        </w:rPr>
        <w:t>, Fabrizio Bezzo</w:t>
      </w:r>
      <w:r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89389C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it-IT" w:eastAsia="zh-CN"/>
        </w:rPr>
        <w:t>,*</w:t>
      </w:r>
    </w:p>
    <w:p w14:paraId="1D9D6533" w14:textId="77777777" w:rsidR="003F5F42" w:rsidRDefault="00704BDF" w:rsidP="003F5F42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00C9C" w:rsidRPr="00F00C9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CAPE-Lab -- Computer-Aided P</w:t>
      </w:r>
      <w:r w:rsidR="00F00C9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rocess Engineering Laboratory, </w:t>
      </w:r>
      <w:r w:rsidR="00F00C9C" w:rsidRPr="00F00C9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Industrial Engineering</w:t>
      </w:r>
      <w:r w:rsidR="000217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DII, University of Padova, via </w:t>
      </w:r>
      <w:r w:rsidR="00F00C9C" w:rsidRPr="00F00C9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Marzolo</w:t>
      </w:r>
      <w:r w:rsidR="000217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00C9C" w:rsidRPr="00F00C9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9, 35131 Padova, Italy</w:t>
      </w:r>
    </w:p>
    <w:p w14:paraId="3A40045C" w14:textId="77777777" w:rsidR="00704BDF" w:rsidRPr="00F00C9C" w:rsidRDefault="00704BDF" w:rsidP="003F5F42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="00F00C9C" w:rsidRPr="00F00C9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PARLab -- Pa</w:t>
      </w:r>
      <w:r w:rsidR="00F00C9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dua Algae Research Laboratory, </w:t>
      </w:r>
      <w:r w:rsidR="00F00C9C" w:rsidRPr="00F00C9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Industrial Engineering DII, University of Padova, Via Marzolo 9, 35131 Padova, Italy</w:t>
      </w:r>
    </w:p>
    <w:p w14:paraId="44F4050E" w14:textId="77777777" w:rsidR="00704BDF" w:rsidRPr="00DE0019" w:rsidRDefault="00704BDF" w:rsidP="003F5F42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313A8D">
        <w:rPr>
          <w:rFonts w:asciiTheme="minorHAnsi" w:eastAsia="MS PGothic" w:hAnsiTheme="minorHAnsi"/>
          <w:bCs/>
          <w:i/>
          <w:iCs/>
          <w:sz w:val="20"/>
          <w:lang w:val="en-US"/>
        </w:rPr>
        <w:t>fabrizio.bezzo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313A8D">
        <w:rPr>
          <w:rFonts w:asciiTheme="minorHAnsi" w:eastAsia="MS PGothic" w:hAnsiTheme="minorHAnsi"/>
          <w:bCs/>
          <w:i/>
          <w:iCs/>
          <w:sz w:val="20"/>
          <w:lang w:val="en-US"/>
        </w:rPr>
        <w:t>unipd.it</w:t>
      </w:r>
    </w:p>
    <w:p w14:paraId="6072B670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BCDC40D" w14:textId="77777777" w:rsidR="00EA5366" w:rsidRPr="00EA5366" w:rsidRDefault="00991896" w:rsidP="00EA5366">
      <w:pPr>
        <w:pStyle w:val="Paragrafoelenco"/>
        <w:numPr>
          <w:ilvl w:val="0"/>
          <w:numId w:val="16"/>
        </w:numPr>
        <w:rPr>
          <w:rFonts w:asciiTheme="minorHAnsi" w:hAnsiTheme="minorHAnsi"/>
          <w:color w:val="000000" w:themeColor="text1"/>
          <w:sz w:val="20"/>
          <w:lang w:val="en-US"/>
        </w:rPr>
      </w:pPr>
      <w:r w:rsidRPr="00991896">
        <w:rPr>
          <w:rFonts w:asciiTheme="minorHAnsi" w:hAnsiTheme="minorHAnsi"/>
          <w:color w:val="000000" w:themeColor="text1"/>
          <w:sz w:val="20"/>
          <w:lang w:val="en-US"/>
        </w:rPr>
        <w:t xml:space="preserve">Microalgae </w:t>
      </w:r>
      <w:r>
        <w:rPr>
          <w:rFonts w:asciiTheme="minorHAnsi" w:hAnsiTheme="minorHAnsi"/>
          <w:color w:val="000000" w:themeColor="text1"/>
          <w:sz w:val="20"/>
          <w:lang w:val="en-US"/>
        </w:rPr>
        <w:t>g</w:t>
      </w:r>
      <w:r w:rsidR="00EA5366" w:rsidRPr="00EA5366">
        <w:rPr>
          <w:rFonts w:asciiTheme="minorHAnsi" w:hAnsiTheme="minorHAnsi"/>
          <w:color w:val="000000" w:themeColor="text1"/>
          <w:sz w:val="20"/>
          <w:lang w:val="en-US"/>
        </w:rPr>
        <w:t>rowth monitoring</w:t>
      </w:r>
      <w:r>
        <w:rPr>
          <w:rFonts w:asciiTheme="minorHAnsi" w:hAnsiTheme="minorHAnsi"/>
          <w:color w:val="000000" w:themeColor="text1"/>
          <w:sz w:val="20"/>
          <w:lang w:val="en-US"/>
        </w:rPr>
        <w:t xml:space="preserve"> assessed with</w:t>
      </w:r>
      <w:r w:rsidR="00EA5366" w:rsidRPr="00EA5366">
        <w:rPr>
          <w:rFonts w:asciiTheme="minorHAnsi" w:hAnsiTheme="minorHAnsi"/>
          <w:color w:val="000000" w:themeColor="text1"/>
          <w:sz w:val="20"/>
          <w:lang w:val="en-US"/>
        </w:rPr>
        <w:t xml:space="preserve"> fluorescence measurements.</w:t>
      </w:r>
    </w:p>
    <w:p w14:paraId="0FE6E6A4" w14:textId="77777777" w:rsidR="00704BDF" w:rsidRPr="00EA5366" w:rsidRDefault="00EA5366" w:rsidP="00704BDF">
      <w:pPr>
        <w:pStyle w:val="AbstractBody"/>
        <w:numPr>
          <w:ilvl w:val="0"/>
          <w:numId w:val="16"/>
        </w:numPr>
        <w:rPr>
          <w:rFonts w:asciiTheme="minorHAnsi" w:hAnsiTheme="minorHAnsi"/>
          <w:color w:val="000000" w:themeColor="text1"/>
        </w:rPr>
      </w:pPr>
      <w:r w:rsidRPr="00EA5366">
        <w:rPr>
          <w:rFonts w:asciiTheme="minorHAnsi" w:hAnsiTheme="minorHAnsi"/>
          <w:color w:val="000000" w:themeColor="text1"/>
        </w:rPr>
        <w:t>Semi-batch microphotobioreactor for non-limiting nutrients condition</w:t>
      </w:r>
      <w:r w:rsidR="00704BDF" w:rsidRPr="00EA5366">
        <w:rPr>
          <w:rFonts w:asciiTheme="minorHAnsi" w:hAnsiTheme="minorHAnsi"/>
          <w:color w:val="000000" w:themeColor="text1"/>
        </w:rPr>
        <w:t xml:space="preserve">. </w:t>
      </w:r>
    </w:p>
    <w:p w14:paraId="282AD2BC" w14:textId="77777777" w:rsidR="000003EF" w:rsidRPr="000003EF" w:rsidRDefault="000003EF" w:rsidP="00EA5366">
      <w:pPr>
        <w:pStyle w:val="AbstractBody"/>
        <w:numPr>
          <w:ilvl w:val="0"/>
          <w:numId w:val="16"/>
        </w:numPr>
        <w:rPr>
          <w:rFonts w:eastAsia="SimSun"/>
          <w:bCs/>
          <w:i/>
          <w:iCs/>
          <w:color w:val="0000FF"/>
          <w:lang w:eastAsia="zh-CN"/>
        </w:rPr>
      </w:pPr>
      <w:r>
        <w:rPr>
          <w:rFonts w:asciiTheme="minorHAnsi" w:hAnsiTheme="minorHAnsi"/>
          <w:color w:val="000000" w:themeColor="text1"/>
        </w:rPr>
        <w:t xml:space="preserve">The system is effective in </w:t>
      </w:r>
      <w:r w:rsidR="00991896">
        <w:rPr>
          <w:rFonts w:asciiTheme="minorHAnsi" w:hAnsiTheme="minorHAnsi"/>
          <w:color w:val="000000" w:themeColor="text1"/>
        </w:rPr>
        <w:t>CO</w:t>
      </w:r>
      <w:r w:rsidR="00991896" w:rsidRPr="00991896">
        <w:rPr>
          <w:rFonts w:asciiTheme="minorHAnsi" w:hAnsiTheme="minorHAnsi"/>
          <w:color w:val="000000" w:themeColor="text1"/>
          <w:vertAlign w:val="subscript"/>
        </w:rPr>
        <w:t>2</w:t>
      </w:r>
      <w:r w:rsidR="001A7AD1">
        <w:rPr>
          <w:rFonts w:asciiTheme="minorHAnsi" w:hAnsiTheme="minorHAnsi"/>
          <w:color w:val="000000" w:themeColor="text1"/>
          <w:vertAlign w:val="subscript"/>
        </w:rPr>
        <w:t xml:space="preserve"> </w:t>
      </w:r>
      <w:r w:rsidR="001A7AD1">
        <w:rPr>
          <w:rFonts w:asciiTheme="minorHAnsi" w:hAnsiTheme="minorHAnsi"/>
          <w:color w:val="000000" w:themeColor="text1"/>
        </w:rPr>
        <w:t>supply</w:t>
      </w:r>
      <w:r w:rsidR="00991896">
        <w:rPr>
          <w:rFonts w:asciiTheme="minorHAnsi" w:hAnsiTheme="minorHAnsi"/>
          <w:color w:val="000000" w:themeColor="text1"/>
        </w:rPr>
        <w:t>.</w:t>
      </w:r>
    </w:p>
    <w:p w14:paraId="0DE32FC5" w14:textId="77777777" w:rsidR="00704BDF" w:rsidRPr="00EA5366" w:rsidRDefault="000003EF" w:rsidP="00EA5366">
      <w:pPr>
        <w:pStyle w:val="AbstractBody"/>
        <w:numPr>
          <w:ilvl w:val="0"/>
          <w:numId w:val="16"/>
        </w:numPr>
        <w:rPr>
          <w:rFonts w:eastAsia="SimSun"/>
          <w:bCs/>
          <w:i/>
          <w:iCs/>
          <w:color w:val="0000FF"/>
          <w:lang w:eastAsia="zh-CN"/>
        </w:rPr>
      </w:pPr>
      <w:r>
        <w:rPr>
          <w:rFonts w:asciiTheme="minorHAnsi" w:hAnsiTheme="minorHAnsi"/>
          <w:color w:val="000000" w:themeColor="text1"/>
        </w:rPr>
        <w:t xml:space="preserve">It </w:t>
      </w:r>
      <w:r w:rsidR="00991896">
        <w:rPr>
          <w:rFonts w:asciiTheme="minorHAnsi" w:hAnsiTheme="minorHAnsi"/>
          <w:color w:val="000000" w:themeColor="text1"/>
        </w:rPr>
        <w:t xml:space="preserve">will be </w:t>
      </w:r>
      <w:r>
        <w:rPr>
          <w:rFonts w:asciiTheme="minorHAnsi" w:hAnsiTheme="minorHAnsi"/>
          <w:color w:val="000000" w:themeColor="text1"/>
        </w:rPr>
        <w:t xml:space="preserve">possible to assess different </w:t>
      </w:r>
      <w:r w:rsidR="00991896">
        <w:rPr>
          <w:rFonts w:asciiTheme="minorHAnsi" w:hAnsiTheme="minorHAnsi"/>
          <w:color w:val="000000" w:themeColor="text1"/>
        </w:rPr>
        <w:t xml:space="preserve">light </w:t>
      </w:r>
      <w:r>
        <w:rPr>
          <w:rFonts w:asciiTheme="minorHAnsi" w:hAnsiTheme="minorHAnsi"/>
          <w:color w:val="000000" w:themeColor="text1"/>
        </w:rPr>
        <w:t>conditions simultaneously.</w:t>
      </w:r>
    </w:p>
    <w:p w14:paraId="5FAC5841" w14:textId="77777777" w:rsidR="00EA5366" w:rsidRPr="00A15B93" w:rsidRDefault="00EA5366" w:rsidP="00EA5366">
      <w:pPr>
        <w:pStyle w:val="AbstractBody"/>
        <w:ind w:left="0"/>
        <w:rPr>
          <w:rFonts w:eastAsia="SimSun"/>
          <w:bCs/>
          <w:i/>
          <w:iCs/>
          <w:color w:val="0000FF"/>
          <w:lang w:eastAsia="zh-CN"/>
        </w:rPr>
      </w:pPr>
    </w:p>
    <w:p w14:paraId="71C29E96" w14:textId="77777777" w:rsidR="00704BDF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24ACCB0" w14:textId="77777777" w:rsidR="00B47CBE" w:rsidRDefault="00691B27" w:rsidP="006709FD">
      <w:pPr>
        <w:snapToGrid w:val="0"/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Microalgae are </w:t>
      </w:r>
      <w:r w:rsidR="00776863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nowadays widely used as a source for different chemicals and products of interest. However, the industrial optimization</w:t>
      </w:r>
      <w:r w:rsidR="00676079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of biomass production</w:t>
      </w:r>
      <w:r w:rsidR="00776863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676079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is hard to achieve since many factors contribute to the</w:t>
      </w:r>
      <w:r w:rsidR="00C6062B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ir</w:t>
      </w:r>
      <w:r w:rsidR="00676079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growth, such as nutrients availability and light intensity and many experiments </w:t>
      </w:r>
      <w:r w:rsidR="00C6062B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are needed </w:t>
      </w:r>
      <w:r w:rsidR="00676079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to characterize their impact. A microscale platform would strongly</w:t>
      </w:r>
      <w:r w:rsidR="00FE3C9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aid with this purpose, allowing the simplification and the parallelization of the</w:t>
      </w:r>
      <w:r w:rsidR="006D2539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reactors</w:t>
      </w:r>
      <w:r w:rsidR="00C6062B" w:rsidRPr="00C6062B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 w:eastAsia="ko-KR"/>
        </w:rPr>
        <w:t xml:space="preserve"> </w:t>
      </w:r>
      <w:r w:rsidR="00CE28D3" w:rsidRPr="00C6062B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 w:eastAsia="ko-KR"/>
        </w:rPr>
        <w:t>[</w:t>
      </w:r>
      <w:r w:rsidR="00FE03BC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 w:eastAsia="ko-KR"/>
        </w:rPr>
        <w:t>1</w:t>
      </w:r>
      <w:r w:rsidR="00CE28D3" w:rsidRPr="00C6062B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 w:eastAsia="ko-KR"/>
        </w:rPr>
        <w:t>]</w:t>
      </w:r>
      <w:r w:rsidR="00C6062B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.</w:t>
      </w:r>
    </w:p>
    <w:p w14:paraId="1A9B60DE" w14:textId="77777777" w:rsidR="00790C4A" w:rsidRDefault="00832231" w:rsidP="006709FD">
      <w:pPr>
        <w:snapToGrid w:val="0"/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One of the main challenge in </w:t>
      </w:r>
      <w:r w:rsidR="00FE3C9C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micro-photobioreactor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(mPBR) technologies is linked to CO2 supply, as it is the main nutrient required for photosynthesis and, even if the mPBR materials are somewhat permeable with gases, the CO</w:t>
      </w:r>
      <w:r w:rsidRPr="00405F90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 w:eastAsia="ko-KR"/>
        </w:rPr>
        <w:t>2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concentration in air is far to be non</w:t>
      </w:r>
      <w:r w:rsidR="00405F90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-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limiting for microalgal growth. Accordingly</w:t>
      </w:r>
      <w:r w:rsidR="00DE020E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, there is the need to provide CO</w:t>
      </w:r>
      <w:r w:rsidR="00DE020E" w:rsidRPr="00DE020E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 w:eastAsia="ko-KR"/>
        </w:rPr>
        <w:t>2</w:t>
      </w:r>
      <w:r w:rsidR="00790C4A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directly into the solution, through an absorption step in a sodium carbonate enriched </w:t>
      </w:r>
      <w:r w:rsidR="00404980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medium</w:t>
      </w:r>
      <w:r w:rsidR="00404980" w:rsidRPr="003B0384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 w:eastAsia="ko-KR"/>
        </w:rPr>
        <w:t xml:space="preserve"> [</w:t>
      </w:r>
      <w:r w:rsidR="003624D0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 w:eastAsia="ko-KR"/>
        </w:rPr>
        <w:t>2</w:t>
      </w:r>
      <w:r w:rsidR="00790C4A" w:rsidRPr="003B0384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 w:eastAsia="ko-KR"/>
        </w:rPr>
        <w:t>]</w:t>
      </w:r>
      <w:r w:rsidR="003B0384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.</w:t>
      </w:r>
    </w:p>
    <w:p w14:paraId="55DFF1D3" w14:textId="77777777" w:rsidR="001C267C" w:rsidRDefault="008E341F" w:rsidP="006709FD">
      <w:pPr>
        <w:snapToGrid w:val="0"/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In this </w:t>
      </w:r>
      <w:r w:rsidR="0083223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work, a new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device</w:t>
      </w:r>
      <w:r w:rsidR="0083223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with non</w:t>
      </w:r>
      <w:r w:rsidR="00405F90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-</w:t>
      </w:r>
      <w:r w:rsidR="0083223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limiting CO</w:t>
      </w:r>
      <w:r w:rsidR="00832231" w:rsidRPr="00405F90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 w:eastAsia="ko-KR"/>
        </w:rPr>
        <w:t>2</w:t>
      </w:r>
      <w:r w:rsidR="0083223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supply was proposed. Here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Pr="001035F5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 w:eastAsia="ko-KR"/>
        </w:rPr>
        <w:t>Scenedesmus obliquus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was cultivated </w:t>
      </w:r>
      <w:r w:rsidR="001035F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a</w:t>
      </w:r>
      <w:r w:rsidR="0083223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t</w:t>
      </w:r>
      <w:r w:rsidR="001035F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constant light intensity </w:t>
      </w:r>
      <w:r w:rsidR="0083223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by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monitoring</w:t>
      </w:r>
      <w:r w:rsidR="0083223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growth through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in vivo chlorophyll fluorescence</w:t>
      </w:r>
      <w:r w:rsidR="0083223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404980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measurements</w:t>
      </w:r>
      <w:r w:rsidR="00404980" w:rsidRPr="007373C5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 w:eastAsia="ko-KR"/>
        </w:rPr>
        <w:t xml:space="preserve"> [</w:t>
      </w:r>
      <w:r w:rsidR="003624D0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 w:eastAsia="ko-KR"/>
        </w:rPr>
        <w:t>3</w:t>
      </w:r>
      <w:r w:rsidRPr="007373C5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 w:eastAsia="ko-KR"/>
        </w:rPr>
        <w:t>]</w:t>
      </w:r>
      <w:r w:rsidR="00832231" w:rsidRPr="007373C5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 w:eastAsia="ko-KR"/>
        </w:rPr>
        <w:t xml:space="preserve"> </w:t>
      </w:r>
      <w:r w:rsidR="0083223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with the aim to assess the efficiency of CO</w:t>
      </w:r>
      <w:r w:rsidR="00832231" w:rsidRPr="00405F90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 w:eastAsia="ko-KR"/>
        </w:rPr>
        <w:t>2</w:t>
      </w:r>
      <w:r w:rsidR="0083223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supply.</w:t>
      </w:r>
    </w:p>
    <w:p w14:paraId="0B4D08F1" w14:textId="77777777" w:rsidR="008E341F" w:rsidRDefault="00790C4A" w:rsidP="008E341F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</w:p>
    <w:p w14:paraId="255CBE80" w14:textId="77777777" w:rsidR="00EF0F6E" w:rsidRDefault="00704BDF" w:rsidP="0013677A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7204E9C5" w14:textId="77777777" w:rsidR="00712EFD" w:rsidRPr="00FE03BC" w:rsidRDefault="00FE03BC" w:rsidP="00C6249C">
      <w:pPr>
        <w:snapToGrid w:val="0"/>
        <w:spacing w:after="120" w:line="240" w:lineRule="atLeast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devi</w:t>
      </w:r>
      <w:r w:rsidR="00405F90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 is made in p</w:t>
      </w:r>
      <w:r w:rsidR="00980BB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olydimethylsi</w:t>
      </w:r>
      <w:r w:rsidR="001C267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loxane (PDMS) </w:t>
      </w:r>
      <w:r w:rsidR="00405F9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which </w:t>
      </w:r>
      <w:r w:rsidR="001C267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is a polymer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with</w:t>
      </w:r>
      <w:r w:rsidR="001C267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high</w:t>
      </w:r>
      <w:r w:rsidR="00980BB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compatibility with biological application</w:t>
      </w:r>
      <w:r w:rsidR="001C267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</w:t>
      </w:r>
      <w:r w:rsidR="00405F9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nd</w:t>
      </w:r>
      <w:r w:rsidR="00FB1BF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is </w:t>
      </w:r>
      <w:r w:rsidR="00980BB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transparen</w:t>
      </w:r>
      <w:r w:rsidR="00FB1BF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</w:t>
      </w:r>
      <w:r w:rsidR="00980BB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to light</w:t>
      </w:r>
      <w:r w:rsidR="007373C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="00461A9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device has been designed to allow up to three different channel, each channel ha</w:t>
      </w:r>
      <w:r w:rsidR="00F76B6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461A9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8 independent wells (non</w:t>
      </w:r>
      <w:r w:rsidR="00405F9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-</w:t>
      </w:r>
      <w:r w:rsidR="00461A9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mixed photobioreactors)</w:t>
      </w:r>
      <w:r w:rsidR="00F0293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="00F76B6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69005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 CFD simulation has been performed in order</w:t>
      </w:r>
      <w:r w:rsidR="000B171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to ensure</w:t>
      </w:r>
      <w:r w:rsidR="0069005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homogeneous fluid patte</w:t>
      </w:r>
      <w:r w:rsidR="007373C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rn at the entrance of each well.</w:t>
      </w:r>
      <w:r w:rsidR="0069005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7373C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69005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ince here velocity is almost zero, </w:t>
      </w:r>
      <w:r w:rsidR="00F76B6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nutrients enter </w:t>
      </w:r>
      <w:r w:rsidR="008A107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continuously </w:t>
      </w:r>
      <w:r w:rsidR="007373C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via molecular diffusion only, </w:t>
      </w:r>
      <w:r w:rsidR="0069005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avoiding limiting conditions</w:t>
      </w:r>
      <w:r w:rsidR="00F76B6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 This device allow up to 24 parallel experiments.</w:t>
      </w:r>
      <w:r w:rsidR="00712EF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 syringe pump is needed to guara</w:t>
      </w:r>
      <w:r w:rsidR="007373C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ntee low and constant flowrates of fresh medium.</w:t>
      </w:r>
    </w:p>
    <w:p w14:paraId="41893063" w14:textId="77777777" w:rsidR="00FE03BC" w:rsidRDefault="007373C5" w:rsidP="00C6249C">
      <w:pPr>
        <w:snapToGrid w:val="0"/>
        <w:spacing w:after="120" w:line="240" w:lineRule="atLeas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 efficiently absorb</w:t>
      </w:r>
      <w:r w:rsidR="00A120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</w:t>
      </w:r>
      <w:r w:rsidR="00A12056" w:rsidRPr="0073777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120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liquid phase, the equilibrium of carbonate was </w:t>
      </w:r>
      <w:r w:rsidR="00404980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exploited</w:t>
      </w:r>
      <w:r w:rsidR="00404980" w:rsidRPr="007373C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[</w:t>
      </w:r>
      <w:r w:rsidR="003624D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="00D03EF1" w:rsidRPr="007373C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120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D03E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sensitivity analysis </w:t>
      </w:r>
      <w:r w:rsidR="007F077D">
        <w:rPr>
          <w:rFonts w:asciiTheme="minorHAnsi" w:eastAsia="MS PGothic" w:hAnsiTheme="minorHAnsi"/>
          <w:color w:val="000000"/>
          <w:sz w:val="22"/>
          <w:szCs w:val="22"/>
          <w:lang w:val="en-US"/>
        </w:rPr>
        <w:t>(performed on Aspen Plus using ELECNRT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 activity coefficient model), was carried out </w:t>
      </w:r>
      <w:r w:rsidR="007923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select the carbonate concentration needed in order to obtain a suitable pH value in </w:t>
      </w:r>
      <w:r w:rsidR="00792387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a liquid which is bubbled whit</w:t>
      </w:r>
      <w:r w:rsidR="007F07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100% CO</w:t>
      </w:r>
      <w:r w:rsidR="007F077D" w:rsidRPr="0073777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923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F07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</w:t>
      </w:r>
      <w:r w:rsidR="0073777F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means that by slightly</w:t>
      </w:r>
      <w:r w:rsidR="00E714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3777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increasing</w:t>
      </w:r>
      <w:r w:rsidR="00E714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</w:t>
      </w:r>
      <w:r w:rsidR="00076B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buffered solution, is possible to shift equilibrium</w:t>
      </w:r>
      <w:r w:rsidR="00E714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increase carbon capture.</w:t>
      </w:r>
      <w:r w:rsidR="007923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C36D1">
        <w:rPr>
          <w:rFonts w:asciiTheme="minorHAnsi" w:eastAsia="MS PGothic" w:hAnsiTheme="minorHAnsi"/>
          <w:color w:val="000000"/>
          <w:sz w:val="22"/>
          <w:szCs w:val="22"/>
          <w:lang w:val="en-US"/>
        </w:rPr>
        <w:t>Enriched m</w:t>
      </w:r>
      <w:r w:rsidR="00E826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edium </w:t>
      </w:r>
      <w:r w:rsidR="004E34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loaded into 50 mL syringe that allow </w:t>
      </w:r>
      <w:r w:rsidR="00792387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run 5-days long experiments.</w:t>
      </w:r>
    </w:p>
    <w:p w14:paraId="47122FB0" w14:textId="77777777" w:rsidR="00D42952" w:rsidRPr="00D42952" w:rsidRDefault="0013677A" w:rsidP="00C6249C">
      <w:pPr>
        <w:snapToGrid w:val="0"/>
        <w:spacing w:after="120" w:line="22" w:lineRule="atLeas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</w:t>
      </w:r>
      <w:r w:rsidR="0078301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obliquus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pre-cultured in </w:t>
      </w:r>
      <w:r w:rsidR="00B47CBE">
        <w:rPr>
          <w:rFonts w:asciiTheme="minorHAnsi" w:eastAsia="MS PGothic" w:hAnsiTheme="minorHAnsi"/>
          <w:color w:val="000000"/>
          <w:sz w:val="22"/>
          <w:szCs w:val="22"/>
          <w:lang w:val="en-US"/>
        </w:rPr>
        <w:t>agitated flask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illumination of 40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µ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mol photons m</w:t>
      </w:r>
      <w:r w:rsidRPr="0013677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13677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at 24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±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1 °C</w:t>
      </w:r>
      <w:r w:rsidR="002A60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BG11 medium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cells were then collected in the middle of exponential phase. </w:t>
      </w:r>
      <w:r w:rsidR="00EF0F6E">
        <w:rPr>
          <w:rFonts w:asciiTheme="minorHAnsi" w:eastAsia="MS PGothic" w:hAnsiTheme="minorHAnsi"/>
          <w:color w:val="000000"/>
          <w:sz w:val="22"/>
          <w:szCs w:val="22"/>
          <w:lang w:val="en-US"/>
        </w:rPr>
        <w:t>A correlation line</w:t>
      </w:r>
      <w:r w:rsidR="002609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biomass concentration and F</w:t>
      </w:r>
      <w:r w:rsidR="002609EF" w:rsidRPr="002609E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0</w:t>
      </w:r>
      <w:r w:rsidR="00EF0F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been </w:t>
      </w:r>
      <w:r w:rsidR="00792387">
        <w:rPr>
          <w:rFonts w:asciiTheme="minorHAnsi" w:eastAsia="MS PGothic" w:hAnsiTheme="minorHAnsi"/>
          <w:color w:val="000000"/>
          <w:sz w:val="22"/>
          <w:szCs w:val="22"/>
          <w:lang w:val="en-US"/>
        </w:rPr>
        <w:t>set.</w:t>
      </w:r>
      <w:r w:rsidR="00C819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Measure</w:t>
      </w:r>
      <w:r w:rsidR="003903D8">
        <w:rPr>
          <w:rFonts w:asciiTheme="minorHAnsi" w:eastAsia="MS PGothic" w:hAnsiTheme="minorHAnsi"/>
          <w:color w:val="000000"/>
          <w:sz w:val="22"/>
          <w:szCs w:val="22"/>
          <w:lang w:val="en-US"/>
        </w:rPr>
        <w:t>ments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</w:t>
      </w:r>
      <w:r w:rsidR="002609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performed</w:t>
      </w:r>
      <w:r w:rsidR="00076B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</w:t>
      </w:r>
      <w:r w:rsidR="002609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Open FluorCam FC800 (Photon System Instruments, Czech Republic). </w:t>
      </w:r>
      <w:r w:rsidR="00D429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Microalgae growth has been carried out at ambient temperature with a constant </w:t>
      </w:r>
      <w:r w:rsidR="007923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incident </w:t>
      </w:r>
      <w:r w:rsidR="00D429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light of 40 </w:t>
      </w:r>
      <w:r w:rsidR="00D4295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µ</w:t>
      </w:r>
      <w:r w:rsidR="00D42952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 photons m</w:t>
      </w:r>
      <w:r w:rsidR="00D42952" w:rsidRPr="0013677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-2</w:t>
      </w:r>
      <w:r w:rsidR="00D4295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42952" w:rsidRPr="0013677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7822D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12E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92387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712E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rowth </w:t>
      </w:r>
      <w:r w:rsidR="00792387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rate was obtained as the slope</w:t>
      </w:r>
      <w:r w:rsidR="00712E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logarithmic variation of the concentration over time.</w:t>
      </w:r>
    </w:p>
    <w:p w14:paraId="1FBC5818" w14:textId="77777777" w:rsidR="00E055A7" w:rsidRPr="00E055A7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  <w:r w:rsidR="00E055A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 </w:t>
      </w:r>
    </w:p>
    <w:p w14:paraId="178C4C70" w14:textId="77777777" w:rsidR="00690057" w:rsidRDefault="00054C10" w:rsidP="00640B4E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a </w:t>
      </w:r>
      <w:r w:rsidR="000C36D1">
        <w:rPr>
          <w:rFonts w:asciiTheme="minorHAnsi" w:eastAsia="MS PGothic" w:hAnsiTheme="minorHAnsi"/>
          <w:color w:val="000000"/>
          <w:sz w:val="22"/>
          <w:szCs w:val="22"/>
          <w:lang w:val="en-US"/>
        </w:rPr>
        <w:t>2.5 g L</w:t>
      </w:r>
      <w:r w:rsidR="000C36D1" w:rsidRPr="000C36D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0C36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carbonate-enriched BG11, m</w:t>
      </w:r>
      <w:r w:rsidR="00E055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icroalgae growth has been evaluated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two cases, with and without CO</w:t>
      </w:r>
      <w:r w:rsidRPr="00054C1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40C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Figure 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0CAF">
        <w:rPr>
          <w:rFonts w:asciiTheme="minorHAnsi" w:eastAsia="MS PGothic" w:hAnsiTheme="minorHAnsi"/>
          <w:color w:val="000000"/>
          <w:sz w:val="22"/>
          <w:szCs w:val="22"/>
          <w:lang w:val="en-US"/>
        </w:rPr>
        <w:t>(left)</w:t>
      </w:r>
      <w:r w:rsidR="00A11E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corresponding growth rates, calculated </w:t>
      </w:r>
      <w:r w:rsidR="005F253B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</w:t>
      </w:r>
      <w:r w:rsidR="00F959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eight</w:t>
      </w:r>
      <w:r w:rsidR="005F253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wells replicates each,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5F253B">
        <w:rPr>
          <w:rFonts w:asciiTheme="minorHAnsi" w:eastAsia="MS PGothic" w:hAnsiTheme="minorHAnsi"/>
          <w:color w:val="000000"/>
          <w:sz w:val="22"/>
          <w:szCs w:val="22"/>
          <w:lang w:val="en-US"/>
        </w:rPr>
        <w:t>ead</w:t>
      </w:r>
      <w:r w:rsidR="00A11E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F253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a </w:t>
      </w:r>
      <w:r w:rsidR="00A11E9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µ=0.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14</w:t>
      </w:r>
      <w:r w:rsidR="00A11E9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±0.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12</w:t>
      </w:r>
      <w:r w:rsidR="00A11E9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day</w:t>
      </w:r>
      <w:r w:rsidR="00A11E9B" w:rsidRPr="00A11E9B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/>
        </w:rPr>
        <w:t>-1</w:t>
      </w:r>
      <w:r w:rsidR="00F9592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without CO</w:t>
      </w:r>
      <w:r w:rsidR="00F95926" w:rsidRPr="00F95926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="00F9592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and </w:t>
      </w:r>
      <w:r w:rsidR="005F253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µ=0.53±0.03 day</w:t>
      </w:r>
      <w:r w:rsidR="005F253B" w:rsidRPr="00A11E9B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/>
        </w:rPr>
        <w:t>-1</w:t>
      </w:r>
      <w:r w:rsidR="00F9592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in the opposite case.</w:t>
      </w:r>
      <w:r w:rsidR="005F253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These results</w:t>
      </w:r>
      <w:r w:rsidR="0069005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are statistically different by</w:t>
      </w:r>
      <w:r w:rsidR="005F253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1-way ANOVA and a Tukey-Kramer significant difference criterion</w:t>
      </w:r>
      <w:r w:rsidR="0069005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since p-value&lt;0.05. </w:t>
      </w:r>
      <w:r w:rsidR="00F9592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In the latter case, </w:t>
      </w:r>
      <w:r w:rsidR="005B3E0C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µ </w:t>
      </w:r>
      <w:r w:rsidR="00F9592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is comparable to traditional cultures where no CO</w:t>
      </w:r>
      <w:r w:rsidR="00F95926" w:rsidRPr="003624D0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="00F9592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limitation is </w:t>
      </w:r>
      <w:r w:rsidR="00D33283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observed</w:t>
      </w:r>
      <w:r w:rsidR="00D33283" w:rsidRPr="00077C7D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/>
        </w:rPr>
        <w:t xml:space="preserve"> [</w:t>
      </w:r>
      <w:r w:rsidR="007373C5" w:rsidRPr="00077C7D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/>
        </w:rPr>
        <w:t>4</w:t>
      </w:r>
      <w:r w:rsidR="005B3E0C" w:rsidRPr="00077C7D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/>
        </w:rPr>
        <w:t>]</w:t>
      </w:r>
      <w:r w:rsidR="00F9592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</w:p>
    <w:p w14:paraId="7C5D359B" w14:textId="77777777" w:rsidR="00BE6DFD" w:rsidRDefault="005F40D9" w:rsidP="00AF40E3">
      <w:pPr>
        <w:snapToGrid w:val="0"/>
        <w:spacing w:after="120"/>
        <w:jc w:val="center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5F40D9">
        <w:rPr>
          <w:rFonts w:eastAsia="MS PGothic"/>
          <w:noProof/>
          <w:lang w:val="it-IT" w:eastAsia="it-IT"/>
        </w:rPr>
        <w:drawing>
          <wp:inline distT="0" distB="0" distL="0" distR="0" wp14:anchorId="0F5A5C30" wp14:editId="188F4813">
            <wp:extent cx="4543425" cy="22764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E821B" w14:textId="77777777" w:rsidR="007316F7" w:rsidRPr="00E055A7" w:rsidRDefault="00AF40E3" w:rsidP="00C831E0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707D66">
        <w:rPr>
          <w:rFonts w:asciiTheme="minorHAnsi" w:eastAsia="MS PGothic" w:hAnsiTheme="minorHAnsi" w:cstheme="minorHAnsi"/>
          <w:b/>
          <w:color w:val="000000"/>
          <w:szCs w:val="18"/>
          <w:lang w:val="en-US"/>
        </w:rPr>
        <w:t>Figure 1</w:t>
      </w:r>
      <w:r w:rsidR="00707D66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. </w:t>
      </w:r>
      <w:r w:rsidR="00707D66" w:rsidRPr="00EB1B9F">
        <w:rPr>
          <w:rFonts w:asciiTheme="minorHAnsi" w:eastAsia="MS PGothic" w:hAnsiTheme="minorHAnsi" w:cstheme="minorHAnsi"/>
          <w:i/>
          <w:color w:val="000000"/>
          <w:szCs w:val="18"/>
          <w:lang w:val="en-US"/>
        </w:rPr>
        <w:t>S</w:t>
      </w:r>
      <w:r w:rsidR="00EB1B9F" w:rsidRPr="00EB1B9F">
        <w:rPr>
          <w:rFonts w:asciiTheme="minorHAnsi" w:eastAsia="MS PGothic" w:hAnsiTheme="minorHAnsi" w:cstheme="minorHAnsi"/>
          <w:i/>
          <w:color w:val="000000"/>
          <w:szCs w:val="18"/>
          <w:lang w:val="en-US"/>
        </w:rPr>
        <w:t xml:space="preserve">. </w:t>
      </w:r>
      <w:r w:rsidR="00707D66" w:rsidRPr="00EB1B9F">
        <w:rPr>
          <w:rFonts w:asciiTheme="minorHAnsi" w:eastAsia="MS PGothic" w:hAnsiTheme="minorHAnsi" w:cstheme="minorHAnsi"/>
          <w:i/>
          <w:color w:val="000000"/>
          <w:szCs w:val="18"/>
          <w:lang w:val="en-US"/>
        </w:rPr>
        <w:t>obliquus</w:t>
      </w:r>
      <w:r w:rsidR="00707D66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 growth in </w:t>
      </w:r>
      <w:r w:rsidR="00AC0833">
        <w:rPr>
          <w:rFonts w:asciiTheme="minorHAnsi" w:eastAsia="MS PGothic" w:hAnsiTheme="minorHAnsi" w:cstheme="minorHAnsi"/>
          <w:color w:val="000000"/>
          <w:szCs w:val="18"/>
          <w:lang w:val="en-US"/>
        </w:rPr>
        <w:t>mPBR</w:t>
      </w:r>
      <w:r w:rsidR="00E177B2">
        <w:rPr>
          <w:rFonts w:asciiTheme="minorHAnsi" w:eastAsia="MS PGothic" w:hAnsiTheme="minorHAnsi" w:cstheme="minorHAnsi"/>
          <w:color w:val="000000"/>
          <w:szCs w:val="18"/>
          <w:lang w:val="en-US"/>
        </w:rPr>
        <w:t>, the lines represent the trend of the exponential phase</w:t>
      </w:r>
      <w:r w:rsidR="00707D66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 (left). </w:t>
      </w:r>
      <w:r w:rsidR="00707D66" w:rsidRPr="00D139A0">
        <w:rPr>
          <w:rFonts w:asciiTheme="minorHAnsi" w:eastAsia="MS PGothic" w:hAnsiTheme="minorHAnsi" w:cstheme="minorHAnsi"/>
          <w:i/>
          <w:color w:val="000000"/>
          <w:szCs w:val="18"/>
          <w:lang w:val="en-US"/>
        </w:rPr>
        <w:t>S</w:t>
      </w:r>
      <w:r w:rsidR="00D139A0" w:rsidRPr="00D139A0">
        <w:rPr>
          <w:rFonts w:asciiTheme="minorHAnsi" w:eastAsia="MS PGothic" w:hAnsiTheme="minorHAnsi" w:cstheme="minorHAnsi"/>
          <w:i/>
          <w:color w:val="000000"/>
          <w:szCs w:val="18"/>
          <w:lang w:val="en-US"/>
        </w:rPr>
        <w:t>.</w:t>
      </w:r>
      <w:r w:rsidR="00D139A0">
        <w:rPr>
          <w:rFonts w:asciiTheme="minorHAnsi" w:eastAsia="MS PGothic" w:hAnsiTheme="minorHAnsi" w:cstheme="minorHAnsi"/>
          <w:i/>
          <w:color w:val="000000"/>
          <w:szCs w:val="18"/>
          <w:lang w:val="en-US"/>
        </w:rPr>
        <w:t xml:space="preserve"> </w:t>
      </w:r>
      <w:r w:rsidR="00707D66" w:rsidRPr="00D139A0">
        <w:rPr>
          <w:rFonts w:asciiTheme="minorHAnsi" w:eastAsia="MS PGothic" w:hAnsiTheme="minorHAnsi" w:cstheme="minorHAnsi"/>
          <w:i/>
          <w:color w:val="000000"/>
          <w:szCs w:val="18"/>
          <w:lang w:val="en-US"/>
        </w:rPr>
        <w:t>obliquus</w:t>
      </w:r>
      <w:r w:rsidR="00707D66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 growth rate comparisons (right).</w:t>
      </w:r>
    </w:p>
    <w:p w14:paraId="593216F4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1A783FA" w14:textId="77777777" w:rsidR="00704BDF" w:rsidRPr="008D0BEB" w:rsidRDefault="005D733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new method to </w:t>
      </w:r>
      <w:r w:rsidR="00357FB2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supply CO</w:t>
      </w:r>
      <w:r w:rsidR="00357FB2" w:rsidRPr="00D3328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57F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332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efficiently </w:t>
      </w:r>
      <w:r w:rsidR="00357F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mPBR for photosynthetic organisms was proposed. </w:t>
      </w:r>
      <w:r w:rsidR="00992D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Microalga </w:t>
      </w:r>
      <w:r w:rsidR="00357FB2" w:rsidRPr="00992D7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S. obliquus</w:t>
      </w:r>
      <w:r w:rsidR="00357F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cult</w:t>
      </w:r>
      <w:r w:rsidR="00D33283">
        <w:rPr>
          <w:rFonts w:asciiTheme="minorHAnsi" w:eastAsia="MS PGothic" w:hAnsiTheme="minorHAnsi"/>
          <w:color w:val="000000"/>
          <w:sz w:val="22"/>
          <w:szCs w:val="22"/>
          <w:lang w:val="en-US"/>
        </w:rPr>
        <w:t>ivated in this device showed a</w:t>
      </w:r>
      <w:r w:rsidR="000E20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increased </w:t>
      </w:r>
      <w:r w:rsidR="00357F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growth rate of </w:t>
      </w:r>
      <w:r w:rsidR="00F73E01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 than three times</w:t>
      </w:r>
      <w:r w:rsidR="00357F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respect to air diffusion condition. As the carbon is not limiting, this mPBR can be used in future to assess the effect of other variables such as light intensity.</w:t>
      </w:r>
    </w:p>
    <w:p w14:paraId="427EF8E5" w14:textId="77777777" w:rsidR="00704BDF" w:rsidRPr="008D0BEB" w:rsidRDefault="002D78FC" w:rsidP="009A64B7">
      <w:pPr>
        <w:snapToGrid w:val="0"/>
        <w:spacing w:before="240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1C1F3266" w14:textId="77777777" w:rsidR="00FE03BC" w:rsidRDefault="00CE28D3" w:rsidP="00FE03B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val="it-IT" w:eastAsia="zh-CN"/>
        </w:rPr>
      </w:pPr>
      <w:r w:rsidRPr="00CE28D3">
        <w:rPr>
          <w:rFonts w:asciiTheme="minorHAnsi" w:hAnsiTheme="minorHAnsi"/>
          <w:color w:val="000000"/>
          <w:lang w:val="it-IT"/>
        </w:rPr>
        <w:t xml:space="preserve">H. S. </w:t>
      </w:r>
      <w:r w:rsidR="00AE0123">
        <w:rPr>
          <w:rFonts w:asciiTheme="minorHAnsi" w:hAnsiTheme="minorHAnsi"/>
          <w:color w:val="000000"/>
          <w:lang w:val="it-IT"/>
        </w:rPr>
        <w:t>Kim</w:t>
      </w:r>
      <w:r>
        <w:rPr>
          <w:rFonts w:asciiTheme="minorHAnsi" w:hAnsiTheme="minorHAnsi"/>
          <w:color w:val="000000"/>
          <w:lang w:val="it-IT"/>
        </w:rPr>
        <w:t>, T. P</w:t>
      </w:r>
      <w:r w:rsidR="00FE03BC">
        <w:rPr>
          <w:rFonts w:asciiTheme="minorHAnsi" w:hAnsiTheme="minorHAnsi"/>
          <w:color w:val="000000"/>
          <w:lang w:val="it-IT"/>
        </w:rPr>
        <w:t>.</w:t>
      </w:r>
      <w:r>
        <w:rPr>
          <w:rFonts w:asciiTheme="minorHAnsi" w:hAnsiTheme="minorHAnsi"/>
          <w:color w:val="000000"/>
          <w:lang w:val="it-IT"/>
        </w:rPr>
        <w:t xml:space="preserve"> De</w:t>
      </w:r>
      <w:r w:rsidRPr="00CE28D3">
        <w:rPr>
          <w:rFonts w:asciiTheme="minorHAnsi" w:hAnsiTheme="minorHAnsi"/>
          <w:color w:val="000000"/>
          <w:lang w:val="it-IT"/>
        </w:rPr>
        <w:t>vare</w:t>
      </w:r>
      <w:r>
        <w:rPr>
          <w:rFonts w:asciiTheme="minorHAnsi" w:hAnsiTheme="minorHAnsi"/>
          <w:color w:val="000000"/>
          <w:lang w:val="it-IT"/>
        </w:rPr>
        <w:t>nn</w:t>
      </w:r>
      <w:r w:rsidRPr="00CE28D3">
        <w:rPr>
          <w:rFonts w:asciiTheme="minorHAnsi" w:hAnsiTheme="minorHAnsi"/>
          <w:color w:val="000000"/>
          <w:lang w:val="it-IT"/>
        </w:rPr>
        <w:t>e</w:t>
      </w:r>
      <w:r>
        <w:rPr>
          <w:rFonts w:asciiTheme="minorHAnsi" w:hAnsiTheme="minorHAnsi"/>
          <w:color w:val="000000"/>
          <w:lang w:val="it-IT"/>
        </w:rPr>
        <w:t>, A. Han, Algal Res. 9 (2018) 149-161</w:t>
      </w:r>
    </w:p>
    <w:p w14:paraId="73DD3849" w14:textId="77777777" w:rsidR="00FE03BC" w:rsidRPr="009A64B7" w:rsidRDefault="00FE03BC" w:rsidP="00FE03BC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it-IT"/>
        </w:rPr>
      </w:pPr>
      <w:r w:rsidRPr="00776863">
        <w:rPr>
          <w:rFonts w:asciiTheme="minorHAnsi" w:hAnsiTheme="minorHAnsi"/>
          <w:color w:val="000000"/>
          <w:lang w:val="it-IT"/>
        </w:rPr>
        <w:t xml:space="preserve">B. Gris, E. Sforza, L. Vecchiato, A. Bertucco, Ind. Eng. </w:t>
      </w:r>
      <w:r w:rsidRPr="009A64B7">
        <w:rPr>
          <w:rFonts w:asciiTheme="minorHAnsi" w:hAnsiTheme="minorHAnsi"/>
          <w:color w:val="000000"/>
          <w:lang w:val="it-IT"/>
        </w:rPr>
        <w:t>Chem. Res. 53 (2014) 16678-16688.</w:t>
      </w:r>
    </w:p>
    <w:p w14:paraId="08C5426E" w14:textId="77777777" w:rsidR="00FE03BC" w:rsidRPr="00FE03BC" w:rsidRDefault="00FE03BC" w:rsidP="00FE03BC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it-IT"/>
        </w:rPr>
      </w:pPr>
      <w:r w:rsidRPr="00597AE2">
        <w:rPr>
          <w:rFonts w:asciiTheme="minorHAnsi" w:hAnsiTheme="minorHAnsi"/>
          <w:color w:val="000000"/>
          <w:lang w:val="it-IT"/>
        </w:rPr>
        <w:t>G. Perin, E. Cimetta, F. Monetti, T. Morosinotto, F. Bezzo.</w:t>
      </w:r>
      <w:r>
        <w:rPr>
          <w:rFonts w:asciiTheme="minorHAnsi" w:hAnsiTheme="minorHAnsi"/>
          <w:color w:val="000000"/>
          <w:lang w:val="it-IT"/>
        </w:rPr>
        <w:t xml:space="preserve"> </w:t>
      </w:r>
      <w:r w:rsidRPr="00597AE2">
        <w:rPr>
          <w:rFonts w:asciiTheme="minorHAnsi" w:hAnsiTheme="minorHAnsi"/>
          <w:color w:val="000000"/>
          <w:lang w:val="it-IT"/>
        </w:rPr>
        <w:t>Algal Res. 19 (2016)</w:t>
      </w:r>
      <w:r>
        <w:rPr>
          <w:rFonts w:asciiTheme="minorHAnsi" w:hAnsiTheme="minorHAnsi"/>
          <w:color w:val="000000"/>
          <w:lang w:val="it-IT"/>
        </w:rPr>
        <w:t xml:space="preserve"> 69-76.</w:t>
      </w:r>
    </w:p>
    <w:p w14:paraId="12923DD2" w14:textId="77777777" w:rsidR="00EF353E" w:rsidRPr="00EF353E" w:rsidRDefault="00EF353E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val="it-IT" w:eastAsia="zh-CN"/>
        </w:rPr>
      </w:pPr>
      <w:r w:rsidRPr="00EF353E">
        <w:rPr>
          <w:rFonts w:asciiTheme="minorHAnsi" w:hAnsiTheme="minorHAnsi"/>
          <w:color w:val="000000"/>
          <w:lang w:val="it-IT"/>
        </w:rPr>
        <w:t xml:space="preserve">B. Gris, T. Morosinotto, G. Giacometti, A. </w:t>
      </w:r>
      <w:r>
        <w:rPr>
          <w:rFonts w:asciiTheme="minorHAnsi" w:hAnsiTheme="minorHAnsi"/>
          <w:color w:val="000000"/>
          <w:lang w:val="it-IT"/>
        </w:rPr>
        <w:t>Bertucco, E. Sforza, Appl. Biochem. Biotech. 172.5 (2014) 2377-2389.</w:t>
      </w:r>
    </w:p>
    <w:sectPr w:rsidR="00EF353E" w:rsidRPr="00EF353E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1C04B" w14:textId="77777777" w:rsidR="00CF3C74" w:rsidRDefault="00CF3C74" w:rsidP="004F5E36">
      <w:r>
        <w:separator/>
      </w:r>
    </w:p>
  </w:endnote>
  <w:endnote w:type="continuationSeparator" w:id="0">
    <w:p w14:paraId="2EFE51AF" w14:textId="77777777" w:rsidR="00CF3C74" w:rsidRDefault="00CF3C7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EF05B" w14:textId="77777777" w:rsidR="00CF3C74" w:rsidRDefault="00CF3C74" w:rsidP="004F5E36">
      <w:r>
        <w:separator/>
      </w:r>
    </w:p>
  </w:footnote>
  <w:footnote w:type="continuationSeparator" w:id="0">
    <w:p w14:paraId="1F9979A5" w14:textId="77777777" w:rsidR="00CF3C74" w:rsidRDefault="00CF3C7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25E35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C088B1" wp14:editId="7948C5AA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77D40304" wp14:editId="1B849ED3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C07E3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9CDCD8F" wp14:editId="7753B6A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5F5773B8" w14:textId="77777777" w:rsidR="00704BDF" w:rsidRDefault="00704BDF">
    <w:pPr>
      <w:pStyle w:val="Intestazione"/>
    </w:pPr>
  </w:p>
  <w:p w14:paraId="38FF407F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93C883" wp14:editId="7D80364F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A6381F3E"/>
    <w:lvl w:ilvl="0" w:tplc="EEF49D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03EF"/>
    <w:rsid w:val="000027C0"/>
    <w:rsid w:val="000117CB"/>
    <w:rsid w:val="000136BE"/>
    <w:rsid w:val="0002175D"/>
    <w:rsid w:val="0003148D"/>
    <w:rsid w:val="000361C3"/>
    <w:rsid w:val="000548F4"/>
    <w:rsid w:val="00054C10"/>
    <w:rsid w:val="000607BE"/>
    <w:rsid w:val="00062A9A"/>
    <w:rsid w:val="00076B86"/>
    <w:rsid w:val="00077C7D"/>
    <w:rsid w:val="000A03B2"/>
    <w:rsid w:val="000B1715"/>
    <w:rsid w:val="000B1F2D"/>
    <w:rsid w:val="000C36D1"/>
    <w:rsid w:val="000D34BE"/>
    <w:rsid w:val="000E205E"/>
    <w:rsid w:val="000E36F1"/>
    <w:rsid w:val="000E3A73"/>
    <w:rsid w:val="000E414A"/>
    <w:rsid w:val="001035F5"/>
    <w:rsid w:val="0012488E"/>
    <w:rsid w:val="0013121F"/>
    <w:rsid w:val="00134DE4"/>
    <w:rsid w:val="0013677A"/>
    <w:rsid w:val="00150E59"/>
    <w:rsid w:val="00184AD6"/>
    <w:rsid w:val="001913CE"/>
    <w:rsid w:val="001A7AD1"/>
    <w:rsid w:val="001B65C1"/>
    <w:rsid w:val="001C2643"/>
    <w:rsid w:val="001C267C"/>
    <w:rsid w:val="001C684B"/>
    <w:rsid w:val="001D53FC"/>
    <w:rsid w:val="001F2EC7"/>
    <w:rsid w:val="00201720"/>
    <w:rsid w:val="002065DB"/>
    <w:rsid w:val="0022123C"/>
    <w:rsid w:val="002447EF"/>
    <w:rsid w:val="00251550"/>
    <w:rsid w:val="002609EF"/>
    <w:rsid w:val="0027221A"/>
    <w:rsid w:val="00275B61"/>
    <w:rsid w:val="00284639"/>
    <w:rsid w:val="00286E37"/>
    <w:rsid w:val="002A6093"/>
    <w:rsid w:val="002B44B0"/>
    <w:rsid w:val="002D1F12"/>
    <w:rsid w:val="002D440D"/>
    <w:rsid w:val="002D78FC"/>
    <w:rsid w:val="003009B7"/>
    <w:rsid w:val="0030469C"/>
    <w:rsid w:val="00313A8D"/>
    <w:rsid w:val="00357FB2"/>
    <w:rsid w:val="003624D0"/>
    <w:rsid w:val="003723D4"/>
    <w:rsid w:val="0038538F"/>
    <w:rsid w:val="0038601F"/>
    <w:rsid w:val="003903D8"/>
    <w:rsid w:val="003A7D1C"/>
    <w:rsid w:val="003B0384"/>
    <w:rsid w:val="003C2BA9"/>
    <w:rsid w:val="003F10F8"/>
    <w:rsid w:val="003F5F42"/>
    <w:rsid w:val="00404980"/>
    <w:rsid w:val="00405F90"/>
    <w:rsid w:val="0046164A"/>
    <w:rsid w:val="00461A9A"/>
    <w:rsid w:val="00462DCD"/>
    <w:rsid w:val="00486CE0"/>
    <w:rsid w:val="004D1162"/>
    <w:rsid w:val="004E348B"/>
    <w:rsid w:val="004E4DD6"/>
    <w:rsid w:val="004F563B"/>
    <w:rsid w:val="004F5E36"/>
    <w:rsid w:val="005119A5"/>
    <w:rsid w:val="005278B7"/>
    <w:rsid w:val="005346C8"/>
    <w:rsid w:val="005602A3"/>
    <w:rsid w:val="005759F7"/>
    <w:rsid w:val="00594E9F"/>
    <w:rsid w:val="00597AE2"/>
    <w:rsid w:val="005B3E0C"/>
    <w:rsid w:val="005B61E6"/>
    <w:rsid w:val="005C77E1"/>
    <w:rsid w:val="005D6A2F"/>
    <w:rsid w:val="005D7338"/>
    <w:rsid w:val="005E1A82"/>
    <w:rsid w:val="005F0A28"/>
    <w:rsid w:val="005F0E5E"/>
    <w:rsid w:val="005F2461"/>
    <w:rsid w:val="005F253B"/>
    <w:rsid w:val="005F40D9"/>
    <w:rsid w:val="00620DEE"/>
    <w:rsid w:val="006215EF"/>
    <w:rsid w:val="00625639"/>
    <w:rsid w:val="006366F8"/>
    <w:rsid w:val="00640B4E"/>
    <w:rsid w:val="0064184D"/>
    <w:rsid w:val="00660E3E"/>
    <w:rsid w:val="00662E74"/>
    <w:rsid w:val="006709FD"/>
    <w:rsid w:val="00676079"/>
    <w:rsid w:val="00686FBB"/>
    <w:rsid w:val="00690057"/>
    <w:rsid w:val="00691B27"/>
    <w:rsid w:val="006A5004"/>
    <w:rsid w:val="006A5DFD"/>
    <w:rsid w:val="006B01AC"/>
    <w:rsid w:val="006C5579"/>
    <w:rsid w:val="006D2539"/>
    <w:rsid w:val="006F223A"/>
    <w:rsid w:val="00704BDF"/>
    <w:rsid w:val="00707D66"/>
    <w:rsid w:val="00712EFD"/>
    <w:rsid w:val="007316F7"/>
    <w:rsid w:val="00736B13"/>
    <w:rsid w:val="007373C5"/>
    <w:rsid w:val="0073777F"/>
    <w:rsid w:val="007447F3"/>
    <w:rsid w:val="0075773D"/>
    <w:rsid w:val="007661C8"/>
    <w:rsid w:val="00776863"/>
    <w:rsid w:val="007822DF"/>
    <w:rsid w:val="0078301C"/>
    <w:rsid w:val="00790C4A"/>
    <w:rsid w:val="00792387"/>
    <w:rsid w:val="007C0DD5"/>
    <w:rsid w:val="007D52CD"/>
    <w:rsid w:val="007F077D"/>
    <w:rsid w:val="00813288"/>
    <w:rsid w:val="008168FC"/>
    <w:rsid w:val="00832231"/>
    <w:rsid w:val="008479A2"/>
    <w:rsid w:val="0087637F"/>
    <w:rsid w:val="0089389C"/>
    <w:rsid w:val="008A1072"/>
    <w:rsid w:val="008A1512"/>
    <w:rsid w:val="008A54B3"/>
    <w:rsid w:val="008D0BEB"/>
    <w:rsid w:val="008D7DEA"/>
    <w:rsid w:val="008E341F"/>
    <w:rsid w:val="008E566E"/>
    <w:rsid w:val="00901EB6"/>
    <w:rsid w:val="009450CE"/>
    <w:rsid w:val="0095164B"/>
    <w:rsid w:val="00980BBE"/>
    <w:rsid w:val="00991896"/>
    <w:rsid w:val="00992D72"/>
    <w:rsid w:val="00996483"/>
    <w:rsid w:val="009A64B7"/>
    <w:rsid w:val="009E2893"/>
    <w:rsid w:val="009E788A"/>
    <w:rsid w:val="00A11E9B"/>
    <w:rsid w:val="00A12056"/>
    <w:rsid w:val="00A1763D"/>
    <w:rsid w:val="00A17CEC"/>
    <w:rsid w:val="00A27EF0"/>
    <w:rsid w:val="00A76EFC"/>
    <w:rsid w:val="00A80370"/>
    <w:rsid w:val="00A97F29"/>
    <w:rsid w:val="00AB0964"/>
    <w:rsid w:val="00AC0833"/>
    <w:rsid w:val="00AE0123"/>
    <w:rsid w:val="00AE377D"/>
    <w:rsid w:val="00AF40E3"/>
    <w:rsid w:val="00B40CAF"/>
    <w:rsid w:val="00B47CBE"/>
    <w:rsid w:val="00B61DBF"/>
    <w:rsid w:val="00B915B2"/>
    <w:rsid w:val="00BC30C9"/>
    <w:rsid w:val="00BE3E58"/>
    <w:rsid w:val="00BE6DFD"/>
    <w:rsid w:val="00BF10F4"/>
    <w:rsid w:val="00BF4E8F"/>
    <w:rsid w:val="00C01616"/>
    <w:rsid w:val="00C0162B"/>
    <w:rsid w:val="00C06ABF"/>
    <w:rsid w:val="00C345B1"/>
    <w:rsid w:val="00C40142"/>
    <w:rsid w:val="00C57182"/>
    <w:rsid w:val="00C6062B"/>
    <w:rsid w:val="00C6249C"/>
    <w:rsid w:val="00C655FD"/>
    <w:rsid w:val="00C819EF"/>
    <w:rsid w:val="00C831E0"/>
    <w:rsid w:val="00C94434"/>
    <w:rsid w:val="00CA1C95"/>
    <w:rsid w:val="00CA5A9C"/>
    <w:rsid w:val="00CB6DB6"/>
    <w:rsid w:val="00CC3F4B"/>
    <w:rsid w:val="00CD5FE2"/>
    <w:rsid w:val="00CE28D3"/>
    <w:rsid w:val="00CF3C74"/>
    <w:rsid w:val="00D02B4C"/>
    <w:rsid w:val="00D03EF1"/>
    <w:rsid w:val="00D139A0"/>
    <w:rsid w:val="00D33283"/>
    <w:rsid w:val="00D42952"/>
    <w:rsid w:val="00D61A6D"/>
    <w:rsid w:val="00D84576"/>
    <w:rsid w:val="00DC25B2"/>
    <w:rsid w:val="00DE0019"/>
    <w:rsid w:val="00DE020E"/>
    <w:rsid w:val="00DE264A"/>
    <w:rsid w:val="00E041E7"/>
    <w:rsid w:val="00E055A7"/>
    <w:rsid w:val="00E177B2"/>
    <w:rsid w:val="00E23CA1"/>
    <w:rsid w:val="00E409A8"/>
    <w:rsid w:val="00E47211"/>
    <w:rsid w:val="00E53742"/>
    <w:rsid w:val="00E714E1"/>
    <w:rsid w:val="00E7209D"/>
    <w:rsid w:val="00E826EE"/>
    <w:rsid w:val="00EA50E1"/>
    <w:rsid w:val="00EA5366"/>
    <w:rsid w:val="00EB1B9F"/>
    <w:rsid w:val="00EC7671"/>
    <w:rsid w:val="00EE0131"/>
    <w:rsid w:val="00EF0F6E"/>
    <w:rsid w:val="00EF353E"/>
    <w:rsid w:val="00F00C9C"/>
    <w:rsid w:val="00F02930"/>
    <w:rsid w:val="00F30C64"/>
    <w:rsid w:val="00F409F0"/>
    <w:rsid w:val="00F57AC7"/>
    <w:rsid w:val="00F71AEA"/>
    <w:rsid w:val="00F73E01"/>
    <w:rsid w:val="00F76B6E"/>
    <w:rsid w:val="00F80C21"/>
    <w:rsid w:val="00F95926"/>
    <w:rsid w:val="00FB1BF3"/>
    <w:rsid w:val="00FB730C"/>
    <w:rsid w:val="00FC2695"/>
    <w:rsid w:val="00FC3E03"/>
    <w:rsid w:val="00FE03BC"/>
    <w:rsid w:val="00FE3C9C"/>
    <w:rsid w:val="00FE6A2D"/>
    <w:rsid w:val="00FF281D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AD0D7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D42952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EA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266D-DB33-4CE4-A66C-990DE734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113</cp:revision>
  <cp:lastPrinted>2015-05-12T18:31:00Z</cp:lastPrinted>
  <dcterms:created xsi:type="dcterms:W3CDTF">2018-05-26T08:50:00Z</dcterms:created>
  <dcterms:modified xsi:type="dcterms:W3CDTF">2019-08-21T11:06:00Z</dcterms:modified>
</cp:coreProperties>
</file>