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D379C"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250B49BE" w14:textId="51A1B0A0" w:rsidR="00B547B7" w:rsidRPr="00685E5A" w:rsidRDefault="00B547B7" w:rsidP="00B547B7">
      <w:pPr>
        <w:pStyle w:val="absauthors"/>
        <w:spacing w:line="276" w:lineRule="auto"/>
        <w:rPr>
          <w:rFonts w:asciiTheme="minorHAnsi" w:hAnsiTheme="minorHAnsi" w:cstheme="minorHAnsi"/>
          <w:b/>
          <w:bCs/>
          <w:i w:val="0"/>
          <w:iCs w:val="0"/>
          <w:sz w:val="28"/>
          <w:szCs w:val="28"/>
        </w:rPr>
      </w:pPr>
      <w:r w:rsidRPr="00685E5A">
        <w:rPr>
          <w:rFonts w:asciiTheme="minorHAnsi" w:hAnsiTheme="minorHAnsi" w:cstheme="minorHAnsi"/>
          <w:b/>
          <w:bCs/>
          <w:i w:val="0"/>
          <w:iCs w:val="0"/>
          <w:sz w:val="28"/>
          <w:szCs w:val="28"/>
        </w:rPr>
        <w:t>PC</w:t>
      </w:r>
      <w:r w:rsidR="00BB21F9" w:rsidRPr="00685E5A">
        <w:rPr>
          <w:rFonts w:asciiTheme="minorHAnsi" w:hAnsiTheme="minorHAnsi" w:cstheme="minorHAnsi"/>
          <w:b/>
          <w:bCs/>
          <w:i w:val="0"/>
          <w:iCs w:val="0"/>
          <w:sz w:val="28"/>
          <w:szCs w:val="28"/>
        </w:rPr>
        <w:t>-</w:t>
      </w:r>
      <w:r w:rsidRPr="00685E5A">
        <w:rPr>
          <w:rFonts w:asciiTheme="minorHAnsi" w:hAnsiTheme="minorHAnsi" w:cstheme="minorHAnsi"/>
          <w:b/>
          <w:bCs/>
          <w:i w:val="0"/>
          <w:iCs w:val="0"/>
          <w:sz w:val="28"/>
          <w:szCs w:val="28"/>
        </w:rPr>
        <w:t xml:space="preserve">SAFT </w:t>
      </w:r>
      <w:r w:rsidR="00BB21F9" w:rsidRPr="00685E5A">
        <w:rPr>
          <w:rFonts w:asciiTheme="minorHAnsi" w:hAnsiTheme="minorHAnsi" w:cstheme="minorHAnsi"/>
          <w:b/>
          <w:bCs/>
          <w:i w:val="0"/>
          <w:iCs w:val="0"/>
          <w:sz w:val="28"/>
          <w:szCs w:val="28"/>
        </w:rPr>
        <w:t xml:space="preserve">Prediction </w:t>
      </w:r>
      <w:r w:rsidR="00BB21F9">
        <w:rPr>
          <w:rFonts w:asciiTheme="minorHAnsi" w:hAnsiTheme="minorHAnsi" w:cstheme="minorHAnsi"/>
          <w:b/>
          <w:bCs/>
          <w:i w:val="0"/>
          <w:iCs w:val="0"/>
          <w:sz w:val="28"/>
          <w:szCs w:val="28"/>
        </w:rPr>
        <w:t>o</w:t>
      </w:r>
      <w:r w:rsidR="00BB21F9" w:rsidRPr="00685E5A">
        <w:rPr>
          <w:rFonts w:asciiTheme="minorHAnsi" w:hAnsiTheme="minorHAnsi" w:cstheme="minorHAnsi"/>
          <w:b/>
          <w:bCs/>
          <w:i w:val="0"/>
          <w:iCs w:val="0"/>
          <w:sz w:val="28"/>
          <w:szCs w:val="28"/>
        </w:rPr>
        <w:t xml:space="preserve">f Amino-Acid Solubility </w:t>
      </w:r>
      <w:r w:rsidR="00BB21F9">
        <w:rPr>
          <w:rFonts w:asciiTheme="minorHAnsi" w:hAnsiTheme="minorHAnsi" w:cstheme="minorHAnsi"/>
          <w:b/>
          <w:bCs/>
          <w:i w:val="0"/>
          <w:iCs w:val="0"/>
          <w:sz w:val="28"/>
          <w:szCs w:val="28"/>
        </w:rPr>
        <w:t>w</w:t>
      </w:r>
      <w:r w:rsidR="00BB21F9" w:rsidRPr="00685E5A">
        <w:rPr>
          <w:rFonts w:asciiTheme="minorHAnsi" w:hAnsiTheme="minorHAnsi" w:cstheme="minorHAnsi"/>
          <w:b/>
          <w:bCs/>
          <w:i w:val="0"/>
          <w:iCs w:val="0"/>
          <w:sz w:val="28"/>
          <w:szCs w:val="28"/>
        </w:rPr>
        <w:t>ith New Experimental Melting Properties</w:t>
      </w:r>
      <w:r w:rsidR="00BB21F9">
        <w:rPr>
          <w:rFonts w:asciiTheme="minorHAnsi" w:hAnsiTheme="minorHAnsi" w:cstheme="minorHAnsi"/>
          <w:b/>
          <w:bCs/>
          <w:i w:val="0"/>
          <w:iCs w:val="0"/>
          <w:sz w:val="28"/>
          <w:szCs w:val="28"/>
        </w:rPr>
        <w:t>.</w:t>
      </w:r>
      <w:bookmarkStart w:id="0" w:name="_GoBack"/>
      <w:bookmarkEnd w:id="0"/>
      <w:r w:rsidR="00BB21F9" w:rsidRPr="00685E5A">
        <w:rPr>
          <w:rFonts w:asciiTheme="minorHAnsi" w:hAnsiTheme="minorHAnsi" w:cstheme="minorHAnsi"/>
          <w:b/>
          <w:bCs/>
          <w:i w:val="0"/>
          <w:iCs w:val="0"/>
          <w:sz w:val="28"/>
          <w:szCs w:val="28"/>
        </w:rPr>
        <w:t xml:space="preserve"> </w:t>
      </w:r>
    </w:p>
    <w:p w14:paraId="3D18D16B" w14:textId="77777777" w:rsidR="00B547B7" w:rsidRPr="00685E5A" w:rsidRDefault="00B547B7" w:rsidP="00B547B7">
      <w:pPr>
        <w:pStyle w:val="absauthors"/>
        <w:spacing w:line="360" w:lineRule="auto"/>
        <w:rPr>
          <w:rFonts w:asciiTheme="minorHAnsi" w:hAnsiTheme="minorHAnsi" w:cstheme="minorHAnsi"/>
          <w:i w:val="0"/>
          <w:szCs w:val="22"/>
        </w:rPr>
      </w:pPr>
      <w:r w:rsidRPr="00685E5A">
        <w:rPr>
          <w:rFonts w:asciiTheme="minorHAnsi" w:hAnsiTheme="minorHAnsi" w:cstheme="minorHAnsi"/>
          <w:i w:val="0"/>
          <w:szCs w:val="22"/>
          <w:u w:val="single"/>
        </w:rPr>
        <w:t>Hoang Tam Do</w:t>
      </w:r>
      <w:r w:rsidRPr="00685E5A">
        <w:rPr>
          <w:rFonts w:asciiTheme="minorHAnsi" w:hAnsiTheme="minorHAnsi" w:cstheme="minorHAnsi"/>
          <w:i w:val="0"/>
          <w:szCs w:val="22"/>
        </w:rPr>
        <w:t xml:space="preserve"> </w:t>
      </w:r>
      <w:r w:rsidRPr="00685E5A">
        <w:rPr>
          <w:rFonts w:asciiTheme="minorHAnsi" w:hAnsiTheme="minorHAnsi" w:cstheme="minorHAnsi"/>
          <w:i w:val="0"/>
          <w:szCs w:val="22"/>
          <w:vertAlign w:val="superscript"/>
        </w:rPr>
        <w:t>1</w:t>
      </w:r>
      <w:r w:rsidRPr="00685E5A">
        <w:rPr>
          <w:rFonts w:asciiTheme="minorHAnsi" w:hAnsiTheme="minorHAnsi" w:cstheme="minorHAnsi"/>
          <w:i w:val="0"/>
          <w:szCs w:val="22"/>
        </w:rPr>
        <w:t>, Yeong Zen Chua</w:t>
      </w:r>
      <w:r w:rsidRPr="00685E5A">
        <w:rPr>
          <w:rFonts w:asciiTheme="minorHAnsi" w:hAnsiTheme="minorHAnsi" w:cstheme="minorHAnsi"/>
          <w:i w:val="0"/>
          <w:szCs w:val="22"/>
          <w:vertAlign w:val="superscript"/>
        </w:rPr>
        <w:t>2</w:t>
      </w:r>
      <w:r w:rsidRPr="00685E5A">
        <w:rPr>
          <w:rFonts w:asciiTheme="minorHAnsi" w:hAnsiTheme="minorHAnsi" w:cstheme="minorHAnsi"/>
          <w:i w:val="0"/>
          <w:szCs w:val="22"/>
        </w:rPr>
        <w:t>, Christoph Schick</w:t>
      </w:r>
      <w:r w:rsidRPr="00685E5A">
        <w:rPr>
          <w:rFonts w:asciiTheme="minorHAnsi" w:hAnsiTheme="minorHAnsi" w:cstheme="minorHAnsi"/>
          <w:i w:val="0"/>
          <w:szCs w:val="22"/>
          <w:vertAlign w:val="superscript"/>
        </w:rPr>
        <w:t>2</w:t>
      </w:r>
      <w:r w:rsidRPr="00685E5A">
        <w:rPr>
          <w:rFonts w:asciiTheme="minorHAnsi" w:hAnsiTheme="minorHAnsi" w:cstheme="minorHAnsi"/>
          <w:i w:val="0"/>
          <w:szCs w:val="22"/>
        </w:rPr>
        <w:t>, Dzmitry Zaitsau</w:t>
      </w:r>
      <w:r w:rsidRPr="00685E5A">
        <w:rPr>
          <w:rFonts w:asciiTheme="minorHAnsi" w:hAnsiTheme="minorHAnsi" w:cstheme="minorHAnsi"/>
          <w:i w:val="0"/>
          <w:szCs w:val="22"/>
          <w:vertAlign w:val="superscript"/>
        </w:rPr>
        <w:t>2</w:t>
      </w:r>
      <w:r w:rsidRPr="00685E5A">
        <w:rPr>
          <w:rFonts w:asciiTheme="minorHAnsi" w:hAnsiTheme="minorHAnsi" w:cstheme="minorHAnsi"/>
          <w:i w:val="0"/>
          <w:szCs w:val="22"/>
        </w:rPr>
        <w:t>, Christoph Held</w:t>
      </w:r>
      <w:r w:rsidRPr="00685E5A">
        <w:rPr>
          <w:rFonts w:asciiTheme="minorHAnsi" w:hAnsiTheme="minorHAnsi" w:cstheme="minorHAnsi"/>
          <w:i w:val="0"/>
          <w:szCs w:val="22"/>
          <w:vertAlign w:val="superscript"/>
        </w:rPr>
        <w:t>1*</w:t>
      </w:r>
    </w:p>
    <w:p w14:paraId="7C26D613" w14:textId="77777777" w:rsidR="00284E44" w:rsidRDefault="00B547B7" w:rsidP="00B547B7">
      <w:pPr>
        <w:jc w:val="center"/>
        <w:rPr>
          <w:rFonts w:asciiTheme="minorHAnsi" w:hAnsiTheme="minorHAnsi" w:cstheme="minorHAnsi"/>
          <w:i/>
        </w:rPr>
      </w:pPr>
      <w:r w:rsidRPr="00284E44">
        <w:rPr>
          <w:rFonts w:asciiTheme="minorHAnsi" w:hAnsiTheme="minorHAnsi" w:cstheme="minorHAnsi"/>
          <w:i/>
          <w:vertAlign w:val="superscript"/>
        </w:rPr>
        <w:t>1</w:t>
      </w:r>
      <w:r w:rsidRPr="00284E44">
        <w:rPr>
          <w:rFonts w:asciiTheme="minorHAnsi" w:hAnsiTheme="minorHAnsi" w:cstheme="minorHAnsi"/>
          <w:i/>
        </w:rPr>
        <w:t>Laboratory of Thermodynamics, Department of Biochemical and Chemical Engineering, TU Dortmund University,</w:t>
      </w:r>
    </w:p>
    <w:p w14:paraId="78EF9FCB" w14:textId="77777777" w:rsidR="00B547B7" w:rsidRPr="00284E44" w:rsidRDefault="00B547B7" w:rsidP="00B547B7">
      <w:pPr>
        <w:jc w:val="center"/>
        <w:rPr>
          <w:rFonts w:asciiTheme="minorHAnsi" w:hAnsiTheme="minorHAnsi" w:cstheme="minorHAnsi"/>
          <w:i/>
          <w:lang w:val="de-DE"/>
        </w:rPr>
      </w:pPr>
      <w:r w:rsidRPr="00284E44">
        <w:rPr>
          <w:rFonts w:asciiTheme="minorHAnsi" w:hAnsiTheme="minorHAnsi" w:cstheme="minorHAnsi"/>
          <w:i/>
          <w:lang w:val="de-DE"/>
        </w:rPr>
        <w:t xml:space="preserve"> Emil-Figge Str. 70, 44227 Dortmund, Germany</w:t>
      </w:r>
    </w:p>
    <w:p w14:paraId="1BD2298E" w14:textId="77777777" w:rsidR="00B547B7" w:rsidRPr="00284E44" w:rsidRDefault="00B547B7" w:rsidP="00B547B7">
      <w:pPr>
        <w:jc w:val="center"/>
        <w:rPr>
          <w:lang w:val="de-DE"/>
        </w:rPr>
      </w:pPr>
    </w:p>
    <w:p w14:paraId="6890FB55" w14:textId="77777777" w:rsidR="00B547B7" w:rsidRDefault="00B547B7" w:rsidP="00B547B7">
      <w:pPr>
        <w:autoSpaceDE w:val="0"/>
        <w:autoSpaceDN w:val="0"/>
        <w:adjustRightInd w:val="0"/>
        <w:jc w:val="center"/>
        <w:rPr>
          <w:rFonts w:asciiTheme="minorHAnsi" w:hAnsiTheme="minorHAnsi" w:cs="AdvOTce71c481.I"/>
          <w:i/>
        </w:rPr>
      </w:pPr>
      <w:r w:rsidRPr="00685E5A">
        <w:rPr>
          <w:i/>
          <w:vertAlign w:val="superscript"/>
          <w:lang w:val="pt-PT"/>
        </w:rPr>
        <w:t xml:space="preserve">2 </w:t>
      </w:r>
      <w:r w:rsidRPr="00685E5A">
        <w:rPr>
          <w:rFonts w:asciiTheme="minorHAnsi" w:hAnsiTheme="minorHAnsi" w:cs="AdvOTce71c481.I"/>
          <w:i/>
        </w:rPr>
        <w:t>Institute of Physics, University of Rostock, Competence Centre CALOR, Faculty of Interdisciplinary Research, University of Rostock, Albert-Einstein-Str. 25, 18051 Rostock, Germany</w:t>
      </w:r>
    </w:p>
    <w:p w14:paraId="1D06E86A" w14:textId="77777777" w:rsidR="00685E5A" w:rsidRPr="00685E5A" w:rsidRDefault="00685E5A" w:rsidP="00B547B7">
      <w:pPr>
        <w:autoSpaceDE w:val="0"/>
        <w:autoSpaceDN w:val="0"/>
        <w:adjustRightInd w:val="0"/>
        <w:jc w:val="center"/>
        <w:rPr>
          <w:rFonts w:asciiTheme="minorHAnsi" w:hAnsiTheme="minorHAnsi" w:cs="AdvOTce71c481.I"/>
          <w:i/>
        </w:rPr>
      </w:pPr>
    </w:p>
    <w:p w14:paraId="2D0ED9A4" w14:textId="77777777" w:rsidR="00B547B7" w:rsidRPr="00685E5A" w:rsidRDefault="00B547B7" w:rsidP="00B547B7">
      <w:pPr>
        <w:snapToGrid w:val="0"/>
        <w:jc w:val="center"/>
        <w:rPr>
          <w:rFonts w:asciiTheme="minorHAnsi" w:eastAsia="MS PGothic" w:hAnsiTheme="minorHAnsi"/>
          <w:bCs/>
          <w:i/>
          <w:iCs/>
          <w:sz w:val="20"/>
          <w:lang w:val="en-US"/>
        </w:rPr>
      </w:pPr>
      <w:r w:rsidRPr="00685E5A">
        <w:rPr>
          <w:rFonts w:asciiTheme="minorHAnsi" w:eastAsia="MS PGothic" w:hAnsiTheme="minorHAnsi"/>
          <w:bCs/>
          <w:i/>
          <w:iCs/>
          <w:color w:val="000000"/>
          <w:sz w:val="20"/>
          <w:lang w:val="en-US"/>
        </w:rPr>
        <w:t>*Christoph Held</w:t>
      </w:r>
      <w:r w:rsidRPr="00685E5A">
        <w:rPr>
          <w:rFonts w:asciiTheme="minorHAnsi" w:eastAsia="MS PGothic" w:hAnsiTheme="minorHAnsi"/>
          <w:bCs/>
          <w:i/>
          <w:iCs/>
          <w:sz w:val="20"/>
          <w:lang w:val="en-US" w:eastAsia="ko-KR"/>
        </w:rPr>
        <w:t>:</w:t>
      </w:r>
      <w:r w:rsidR="00A60E99">
        <w:rPr>
          <w:rFonts w:asciiTheme="minorHAnsi" w:eastAsia="MS PGothic" w:hAnsiTheme="minorHAnsi"/>
          <w:bCs/>
          <w:i/>
          <w:iCs/>
          <w:sz w:val="20"/>
          <w:lang w:val="en-US"/>
        </w:rPr>
        <w:t xml:space="preserve"> </w:t>
      </w:r>
      <w:hyperlink r:id="rId10" w:history="1">
        <w:r w:rsidR="00A60E99" w:rsidRPr="003163A3">
          <w:rPr>
            <w:rStyle w:val="Collegamentoipertestuale"/>
            <w:rFonts w:asciiTheme="minorHAnsi" w:eastAsia="MS PGothic" w:hAnsiTheme="minorHAnsi"/>
            <w:bCs/>
            <w:i/>
            <w:iCs/>
            <w:sz w:val="20"/>
            <w:lang w:val="en-US"/>
          </w:rPr>
          <w:t>christoph.held@tu-dortmund.de</w:t>
        </w:r>
      </w:hyperlink>
      <w:r w:rsidR="00A60E99">
        <w:rPr>
          <w:rFonts w:asciiTheme="minorHAnsi" w:eastAsia="MS PGothic" w:hAnsiTheme="minorHAnsi"/>
          <w:bCs/>
          <w:i/>
          <w:iCs/>
          <w:sz w:val="20"/>
          <w:lang w:val="en-US"/>
        </w:rPr>
        <w:t xml:space="preserve"> </w:t>
      </w:r>
    </w:p>
    <w:p w14:paraId="2DC025B9" w14:textId="77777777" w:rsidR="00B547B7" w:rsidRPr="00EC66CC" w:rsidRDefault="00B547B7" w:rsidP="00B547B7">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3F73E613" w14:textId="77777777" w:rsidR="00B547B7" w:rsidRPr="000B351F" w:rsidRDefault="00B547B7" w:rsidP="00B547B7">
      <w:pPr>
        <w:pStyle w:val="AbstractBody"/>
        <w:numPr>
          <w:ilvl w:val="0"/>
          <w:numId w:val="16"/>
        </w:numPr>
        <w:rPr>
          <w:rFonts w:asciiTheme="minorHAnsi" w:hAnsiTheme="minorHAnsi"/>
          <w:b/>
        </w:rPr>
      </w:pPr>
      <w:r w:rsidRPr="000B351F">
        <w:rPr>
          <w:rFonts w:asciiTheme="minorHAnsi" w:hAnsiTheme="minorHAnsi"/>
          <w:b/>
        </w:rPr>
        <w:t>New experimental melting properties of amino acids</w:t>
      </w:r>
    </w:p>
    <w:p w14:paraId="5C4E45C3" w14:textId="77777777" w:rsidR="00B547B7" w:rsidRPr="000B351F" w:rsidRDefault="00B547B7" w:rsidP="00B547B7">
      <w:pPr>
        <w:pStyle w:val="AbstractBody"/>
        <w:numPr>
          <w:ilvl w:val="0"/>
          <w:numId w:val="16"/>
        </w:numPr>
        <w:rPr>
          <w:rFonts w:asciiTheme="minorHAnsi" w:hAnsiTheme="minorHAnsi"/>
          <w:b/>
        </w:rPr>
      </w:pPr>
      <w:r w:rsidRPr="000B351F">
        <w:rPr>
          <w:rFonts w:asciiTheme="minorHAnsi" w:hAnsiTheme="minorHAnsi"/>
          <w:b/>
        </w:rPr>
        <w:t>Prediction of aqueous solubility of amino acids with PC-SAFT</w:t>
      </w:r>
    </w:p>
    <w:p w14:paraId="41D72208" w14:textId="77777777" w:rsidR="00B547B7" w:rsidRPr="000B351F" w:rsidRDefault="00B547B7" w:rsidP="00B547B7">
      <w:pPr>
        <w:pStyle w:val="AbstractBody"/>
        <w:numPr>
          <w:ilvl w:val="0"/>
          <w:numId w:val="16"/>
        </w:numPr>
        <w:rPr>
          <w:rFonts w:asciiTheme="minorHAnsi" w:hAnsiTheme="minorHAnsi"/>
          <w:b/>
        </w:rPr>
      </w:pPr>
      <w:r w:rsidRPr="000B351F">
        <w:rPr>
          <w:rFonts w:asciiTheme="minorHAnsi" w:hAnsiTheme="minorHAnsi"/>
          <w:b/>
        </w:rPr>
        <w:t>Transfer of the method to peptides</w:t>
      </w:r>
    </w:p>
    <w:p w14:paraId="75415EBA" w14:textId="77777777" w:rsidR="00B547B7" w:rsidRDefault="00B547B7" w:rsidP="00B547B7">
      <w:pPr>
        <w:snapToGrid w:val="0"/>
        <w:spacing w:line="360" w:lineRule="auto"/>
        <w:rPr>
          <w:rFonts w:asciiTheme="minorHAnsi" w:eastAsia="MS PGothic" w:hAnsiTheme="minorHAnsi"/>
          <w:b/>
          <w:bCs/>
          <w:color w:val="000000"/>
          <w:sz w:val="22"/>
          <w:szCs w:val="22"/>
          <w:lang w:val="en-US"/>
        </w:rPr>
      </w:pPr>
    </w:p>
    <w:p w14:paraId="67DBECE5" w14:textId="77777777" w:rsidR="00B547B7" w:rsidRPr="008D0BEB" w:rsidRDefault="00B547B7" w:rsidP="00B547B7">
      <w:pPr>
        <w:snapToGrid w:val="0"/>
        <w:spacing w:line="36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7B1BF99C" w14:textId="77777777" w:rsidR="00B547B7" w:rsidRDefault="00B547B7" w:rsidP="00B547B7">
      <w:pPr>
        <w:spacing w:line="276" w:lineRule="auto"/>
      </w:pPr>
      <w:r w:rsidRPr="007A7FAE">
        <w:rPr>
          <w:rFonts w:asciiTheme="minorHAnsi" w:hAnsiTheme="minorHAnsi" w:cstheme="minorHAnsi"/>
          <w:sz w:val="22"/>
        </w:rPr>
        <w:t>The solubility of amino acids plays an essential role for the production and purification of amino acids, especially for crystallization processes.  The solubility affects product yield and purity as well as the choice of solvent for the process. Further, several (bio)chemical operations are processed at homogenous conditions, i.e. amino-acid precipitation has to be avoided; this also requires solubility data. The experimental measurement of solubility is time-consuming and expensive considering the nearly uncountable different conditions in biological solutions (pH-value, temperature, type and concentration of co-solutes and co-solvents). Therefore, the prediction of solubility using thermodynamic models is desired, which however requires activity coefficients and the melting properties of the considered solute. However, measuring the enthalpy of fusion and the melting temperature of biomolecules such as amino acids is usually not possible using conventional differential scanning calorimetry due to decomposition of the solid during the</w:t>
      </w:r>
      <w:r w:rsidRPr="007A7FAE">
        <w:rPr>
          <w:sz w:val="22"/>
        </w:rPr>
        <w:t xml:space="preserve"> </w:t>
      </w:r>
      <w:r w:rsidRPr="007A7FAE">
        <w:rPr>
          <w:rFonts w:asciiTheme="minorHAnsi" w:hAnsiTheme="minorHAnsi" w:cstheme="minorHAnsi"/>
          <w:sz w:val="22"/>
        </w:rPr>
        <w:t>measurement.</w:t>
      </w:r>
      <w:r w:rsidRPr="007A7FAE">
        <w:rPr>
          <w:sz w:val="22"/>
        </w:rPr>
        <w:t xml:space="preserve"> </w:t>
      </w:r>
    </w:p>
    <w:p w14:paraId="7B43CF81" w14:textId="77777777" w:rsidR="00B547B7" w:rsidRPr="009F301C" w:rsidRDefault="00B547B7" w:rsidP="00B547B7">
      <w:pPr>
        <w:snapToGrid w:val="0"/>
        <w:spacing w:before="240" w:line="36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14:paraId="737C6F30" w14:textId="77777777" w:rsidR="00B547B7" w:rsidRPr="007A7FAE" w:rsidRDefault="00B547B7" w:rsidP="00B547B7">
      <w:pPr>
        <w:spacing w:line="276" w:lineRule="auto"/>
        <w:rPr>
          <w:rFonts w:asciiTheme="minorHAnsi" w:hAnsiTheme="minorHAnsi" w:cstheme="minorHAnsi"/>
          <w:sz w:val="22"/>
        </w:rPr>
      </w:pPr>
      <w:r w:rsidRPr="007A7FAE">
        <w:rPr>
          <w:rFonts w:asciiTheme="minorHAnsi" w:hAnsiTheme="minorHAnsi" w:cstheme="minorHAnsi"/>
          <w:sz w:val="22"/>
        </w:rPr>
        <w:t xml:space="preserve">Application of fast scanning calorimetry (FSC) overcomes the problem of decomposition, and FSC was used in this work to measure the melting properties. The measurements were performed under an inert atmosphere of nitrogen with a sample mass less than 100 ng. </w:t>
      </w:r>
      <w:r w:rsidRPr="007A7FAE">
        <w:rPr>
          <w:rFonts w:asciiTheme="minorHAnsi" w:hAnsiTheme="minorHAnsi" w:cstheme="minorHAnsi"/>
          <w:sz w:val="22"/>
        </w:rPr>
        <w:fldChar w:fldCharType="begin"/>
      </w:r>
      <w:r w:rsidRPr="007A7FAE">
        <w:rPr>
          <w:rFonts w:asciiTheme="minorHAnsi" w:hAnsiTheme="minorHAnsi" w:cstheme="minorHAnsi"/>
          <w:sz w:val="22"/>
        </w:rPr>
        <w:instrText xml:space="preserve"> REF _Ref534632476 \h  \* MERGEFORMAT </w:instrText>
      </w:r>
      <w:r w:rsidRPr="007A7FAE">
        <w:rPr>
          <w:rFonts w:asciiTheme="minorHAnsi" w:hAnsiTheme="minorHAnsi" w:cstheme="minorHAnsi"/>
          <w:sz w:val="22"/>
        </w:rPr>
      </w:r>
      <w:r w:rsidRPr="007A7FAE">
        <w:rPr>
          <w:rFonts w:asciiTheme="minorHAnsi" w:hAnsiTheme="minorHAnsi" w:cstheme="minorHAnsi"/>
          <w:sz w:val="22"/>
        </w:rPr>
        <w:fldChar w:fldCharType="separate"/>
      </w:r>
      <w:r w:rsidRPr="007A7FAE">
        <w:rPr>
          <w:rFonts w:asciiTheme="minorHAnsi" w:hAnsiTheme="minorHAnsi" w:cstheme="minorHAnsi"/>
          <w:sz w:val="22"/>
        </w:rPr>
        <w:t>Fig</w:t>
      </w:r>
      <w:r w:rsidR="00D66EE5">
        <w:rPr>
          <w:rFonts w:asciiTheme="minorHAnsi" w:hAnsiTheme="minorHAnsi" w:cstheme="minorHAnsi"/>
          <w:sz w:val="22"/>
        </w:rPr>
        <w:t>ure</w:t>
      </w:r>
      <w:r w:rsidRPr="007A7FAE">
        <w:rPr>
          <w:rFonts w:asciiTheme="minorHAnsi" w:hAnsiTheme="minorHAnsi" w:cstheme="minorHAnsi"/>
          <w:sz w:val="22"/>
        </w:rPr>
        <w:t xml:space="preserve"> </w:t>
      </w:r>
      <w:r w:rsidRPr="007A7FAE">
        <w:rPr>
          <w:rFonts w:asciiTheme="minorHAnsi" w:hAnsiTheme="minorHAnsi" w:cstheme="minorHAnsi"/>
          <w:noProof/>
          <w:sz w:val="22"/>
        </w:rPr>
        <w:t>1</w:t>
      </w:r>
      <w:r w:rsidRPr="007A7FAE">
        <w:rPr>
          <w:rFonts w:asciiTheme="minorHAnsi" w:hAnsiTheme="minorHAnsi" w:cstheme="minorHAnsi"/>
          <w:sz w:val="22"/>
        </w:rPr>
        <w:fldChar w:fldCharType="end"/>
      </w:r>
      <w:r w:rsidRPr="007A7FAE">
        <w:rPr>
          <w:rFonts w:asciiTheme="minorHAnsi" w:hAnsiTheme="minorHAnsi" w:cstheme="minorHAnsi"/>
          <w:sz w:val="22"/>
        </w:rPr>
        <w:t xml:space="preserve"> shows the temperature-time profile used in this study. </w:t>
      </w:r>
    </w:p>
    <w:p w14:paraId="07C270DD" w14:textId="77777777" w:rsidR="00B547B7" w:rsidRPr="007A7FAE" w:rsidRDefault="00B547B7" w:rsidP="00B547B7">
      <w:pPr>
        <w:spacing w:line="276" w:lineRule="auto"/>
        <w:rPr>
          <w:rFonts w:asciiTheme="minorHAnsi" w:hAnsiTheme="minorHAnsi" w:cstheme="minorHAnsi"/>
          <w:b/>
          <w:sz w:val="22"/>
        </w:rPr>
      </w:pPr>
      <w:r w:rsidRPr="007A7FAE">
        <w:rPr>
          <w:rFonts w:asciiTheme="minorHAnsi" w:hAnsiTheme="minorHAnsi" w:cstheme="minorHAnsi"/>
          <w:sz w:val="22"/>
        </w:rPr>
        <w:t>The profile is divided into three measurements stages. (i) Sample mass determination (#1-#4), (ii) sample melting and quenching (#5-#7) and (iii) reheating of supercooled sample (#8-#11). In this work the enthalpy of fusion and melting temperature were measured for a series of amino acids.</w:t>
      </w:r>
    </w:p>
    <w:p w14:paraId="49707B77" w14:textId="77777777" w:rsidR="00132E00" w:rsidRDefault="00685E5A" w:rsidP="00685E5A">
      <w:pPr>
        <w:snapToGrid w:val="0"/>
        <w:spacing w:before="240" w:line="360" w:lineRule="auto"/>
        <w:rPr>
          <w:rFonts w:asciiTheme="minorHAnsi" w:eastAsia="MS PGothic" w:hAnsiTheme="minorHAnsi"/>
          <w:b/>
          <w:bCs/>
          <w:color w:val="000000"/>
          <w:sz w:val="22"/>
          <w:szCs w:val="22"/>
          <w:lang w:val="en-US"/>
        </w:rPr>
      </w:pPr>
      <w:r w:rsidRPr="00A60E99">
        <w:rPr>
          <w:rFonts w:asciiTheme="minorHAnsi" w:hAnsiTheme="minorHAnsi" w:cstheme="minorHAnsi"/>
          <w:noProof/>
          <w:lang w:val="de-DE" w:eastAsia="de-DE"/>
        </w:rPr>
        <w:lastRenderedPageBreak/>
        <w:drawing>
          <wp:anchor distT="0" distB="0" distL="114300" distR="114300" simplePos="0" relativeHeight="251660288" behindDoc="0" locked="0" layoutInCell="1" allowOverlap="1" wp14:anchorId="26BD2935" wp14:editId="41E29E2F">
            <wp:simplePos x="0" y="0"/>
            <wp:positionH relativeFrom="column">
              <wp:posOffset>2910840</wp:posOffset>
            </wp:positionH>
            <wp:positionV relativeFrom="paragraph">
              <wp:posOffset>7620</wp:posOffset>
            </wp:positionV>
            <wp:extent cx="2762885" cy="2085975"/>
            <wp:effectExtent l="0" t="0" r="0" b="9525"/>
            <wp:wrapSquare wrapText="bothSides"/>
            <wp:docPr id="3" name="Grafik 3" descr="L:\user\Do\1 Promotion\Veröffentlichungen\Origin\180122 solubility_temperature, glycine, L-alan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L:\user\Do\1 Promotion\Veröffentlichungen\Origin\180122 solubility_temperature, glycine, L-alanine.png"/>
                    <pic:cNvPicPr>
                      <a:picLocks noChangeAspect="1"/>
                    </pic:cNvPicPr>
                  </pic:nvPicPr>
                  <pic:blipFill rotWithShape="1">
                    <a:blip r:embed="rId11" cstate="print">
                      <a:extLst>
                        <a:ext uri="{28A0092B-C50C-407E-A947-70E740481C1C}">
                          <a14:useLocalDpi xmlns:a14="http://schemas.microsoft.com/office/drawing/2010/main" val="0"/>
                        </a:ext>
                      </a:extLst>
                    </a:blip>
                    <a:srcRect l="7243" t="7932" r="11182" b="8610"/>
                    <a:stretch/>
                  </pic:blipFill>
                  <pic:spPr bwMode="auto">
                    <a:xfrm>
                      <a:off x="0" y="0"/>
                      <a:ext cx="276288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62336" behindDoc="0" locked="0" layoutInCell="1" allowOverlap="1" wp14:anchorId="2DDB594D" wp14:editId="52FDABD9">
                <wp:simplePos x="0" y="0"/>
                <wp:positionH relativeFrom="column">
                  <wp:posOffset>3180080</wp:posOffset>
                </wp:positionH>
                <wp:positionV relativeFrom="paragraph">
                  <wp:posOffset>2096770</wp:posOffset>
                </wp:positionV>
                <wp:extent cx="2457450" cy="581025"/>
                <wp:effectExtent l="0" t="0" r="0" b="9525"/>
                <wp:wrapSquare wrapText="bothSides"/>
                <wp:docPr id="5" name="Textfeld 5"/>
                <wp:cNvGraphicFramePr/>
                <a:graphic xmlns:a="http://schemas.openxmlformats.org/drawingml/2006/main">
                  <a:graphicData uri="http://schemas.microsoft.com/office/word/2010/wordprocessingShape">
                    <wps:wsp>
                      <wps:cNvSpPr txBox="1"/>
                      <wps:spPr>
                        <a:xfrm>
                          <a:off x="0" y="0"/>
                          <a:ext cx="2457450" cy="581025"/>
                        </a:xfrm>
                        <a:prstGeom prst="rect">
                          <a:avLst/>
                        </a:prstGeom>
                        <a:solidFill>
                          <a:prstClr val="white"/>
                        </a:solidFill>
                        <a:ln>
                          <a:noFill/>
                        </a:ln>
                        <a:effectLst/>
                      </wps:spPr>
                      <wps:txbx>
                        <w:txbxContent>
                          <w:p w14:paraId="3DAD3F4F" w14:textId="77777777" w:rsidR="00B547B7" w:rsidRPr="000B351F" w:rsidRDefault="00B547B7" w:rsidP="00B547B7">
                            <w:pPr>
                              <w:pStyle w:val="Didascalia"/>
                              <w:rPr>
                                <w:rFonts w:asciiTheme="minorHAnsi" w:hAnsiTheme="minorHAnsi" w:cstheme="minorHAnsi"/>
                                <w:b w:val="0"/>
                                <w:noProof/>
                                <w:color w:val="auto"/>
                              </w:rPr>
                            </w:pPr>
                            <w:bookmarkStart w:id="1" w:name="_Ref534632518"/>
                            <w:r w:rsidRPr="000B351F">
                              <w:rPr>
                                <w:rFonts w:asciiTheme="minorHAnsi" w:hAnsiTheme="minorHAnsi" w:cstheme="minorHAnsi"/>
                                <w:b w:val="0"/>
                                <w:color w:val="auto"/>
                              </w:rPr>
                              <w:t xml:space="preserve">Figure </w:t>
                            </w:r>
                            <w:r w:rsidRPr="000B351F">
                              <w:rPr>
                                <w:rFonts w:asciiTheme="minorHAnsi" w:hAnsiTheme="minorHAnsi" w:cstheme="minorHAnsi"/>
                                <w:b w:val="0"/>
                                <w:color w:val="auto"/>
                              </w:rPr>
                              <w:fldChar w:fldCharType="begin"/>
                            </w:r>
                            <w:r w:rsidRPr="000B351F">
                              <w:rPr>
                                <w:rFonts w:asciiTheme="minorHAnsi" w:hAnsiTheme="minorHAnsi" w:cstheme="minorHAnsi"/>
                                <w:b w:val="0"/>
                                <w:color w:val="auto"/>
                              </w:rPr>
                              <w:instrText xml:space="preserve"> SEQ Abbildung \* ARABIC </w:instrText>
                            </w:r>
                            <w:r w:rsidRPr="000B351F">
                              <w:rPr>
                                <w:rFonts w:asciiTheme="minorHAnsi" w:hAnsiTheme="minorHAnsi" w:cstheme="minorHAnsi"/>
                                <w:b w:val="0"/>
                                <w:color w:val="auto"/>
                              </w:rPr>
                              <w:fldChar w:fldCharType="separate"/>
                            </w:r>
                            <w:r w:rsidRPr="000B351F">
                              <w:rPr>
                                <w:rFonts w:asciiTheme="minorHAnsi" w:hAnsiTheme="minorHAnsi" w:cstheme="minorHAnsi"/>
                                <w:b w:val="0"/>
                                <w:noProof/>
                                <w:color w:val="auto"/>
                              </w:rPr>
                              <w:t>2</w:t>
                            </w:r>
                            <w:r w:rsidRPr="000B351F">
                              <w:rPr>
                                <w:rFonts w:asciiTheme="minorHAnsi" w:hAnsiTheme="minorHAnsi" w:cstheme="minorHAnsi"/>
                                <w:b w:val="0"/>
                                <w:color w:val="auto"/>
                              </w:rPr>
                              <w:fldChar w:fldCharType="end"/>
                            </w:r>
                            <w:bookmarkEnd w:id="1"/>
                            <w:r w:rsidRPr="000B351F">
                              <w:rPr>
                                <w:rFonts w:asciiTheme="minorHAnsi" w:hAnsiTheme="minorHAnsi" w:cstheme="minorHAnsi"/>
                                <w:b w:val="0"/>
                                <w:color w:val="auto"/>
                              </w:rPr>
                              <w:t xml:space="preserve"> Glycine and L-alanine solubility in water as molality vs. temperature. Symbols represent experimental data (circles</w:t>
                            </w:r>
                            <w:r w:rsidRPr="000B351F">
                              <w:rPr>
                                <w:rFonts w:asciiTheme="minorHAnsi" w:hAnsiTheme="minorHAnsi" w:cstheme="minorHAnsi"/>
                                <w:b w:val="0"/>
                                <w:color w:val="auto"/>
                                <w:vertAlign w:val="superscript"/>
                              </w:rPr>
                              <w:t>[3]</w:t>
                            </w:r>
                            <w:r w:rsidRPr="000B351F">
                              <w:rPr>
                                <w:rFonts w:asciiTheme="minorHAnsi" w:hAnsiTheme="minorHAnsi" w:cstheme="minorHAnsi"/>
                                <w:b w:val="0"/>
                                <w:color w:val="auto"/>
                              </w:rPr>
                              <w:t>, triangle</w:t>
                            </w:r>
                            <w:r w:rsidRPr="000B351F">
                              <w:rPr>
                                <w:rFonts w:asciiTheme="minorHAnsi" w:hAnsiTheme="minorHAnsi" w:cstheme="minorHAnsi"/>
                                <w:b w:val="0"/>
                                <w:color w:val="auto"/>
                                <w:vertAlign w:val="superscript"/>
                              </w:rPr>
                              <w:t>[4]</w:t>
                            </w:r>
                            <w:r w:rsidRPr="000B351F">
                              <w:rPr>
                                <w:rFonts w:asciiTheme="minorHAnsi" w:hAnsiTheme="minorHAnsi" w:cstheme="minorHAnsi"/>
                                <w:b w:val="0"/>
                                <w:color w:val="auto"/>
                              </w:rPr>
                              <w:t>,</w:t>
                            </w:r>
                            <w:r w:rsidRPr="000B351F">
                              <w:rPr>
                                <w:rFonts w:asciiTheme="minorHAnsi" w:hAnsiTheme="minorHAnsi" w:cstheme="minorHAnsi"/>
                                <w:b w:val="0"/>
                                <w:color w:val="auto"/>
                                <w:vertAlign w:val="superscript"/>
                              </w:rPr>
                              <w:t xml:space="preserve"> </w:t>
                            </w:r>
                            <w:r w:rsidRPr="000B351F">
                              <w:rPr>
                                <w:rFonts w:asciiTheme="minorHAnsi" w:hAnsiTheme="minorHAnsi" w:cstheme="minorHAnsi"/>
                                <w:b w:val="0"/>
                                <w:color w:val="auto"/>
                              </w:rPr>
                              <w:t>squares</w:t>
                            </w:r>
                            <w:r w:rsidRPr="000B351F">
                              <w:rPr>
                                <w:rFonts w:asciiTheme="minorHAnsi" w:hAnsiTheme="minorHAnsi" w:cstheme="minorHAnsi"/>
                                <w:b w:val="0"/>
                                <w:color w:val="auto"/>
                                <w:vertAlign w:val="superscript"/>
                              </w:rPr>
                              <w:t>[5]</w:t>
                            </w:r>
                            <w:r w:rsidRPr="000B351F">
                              <w:rPr>
                                <w:rFonts w:asciiTheme="minorHAnsi" w:hAnsiTheme="minorHAnsi" w:cstheme="minorHAnsi"/>
                                <w:b w:val="0"/>
                                <w:color w:val="auto"/>
                              </w:rPr>
                              <w:t>). Lines represent PC-SAFT predictions.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B594D" id="_x0000_t202" coordsize="21600,21600" o:spt="202" path="m,l,21600r21600,l21600,xe">
                <v:stroke joinstyle="miter"/>
                <v:path gradientshapeok="t" o:connecttype="rect"/>
              </v:shapetype>
              <v:shape id="Textfeld 5" o:spid="_x0000_s1026" type="#_x0000_t202" style="position:absolute;left:0;text-align:left;margin-left:250.4pt;margin-top:165.1pt;width:193.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" stroked="f">
                <v:textbox inset="0,0,0,0">
                  <w:txbxContent>
                    <w:p w14:paraId="3DAD3F4F" w14:textId="77777777" w:rsidR="00B547B7" w:rsidRPr="000B351F" w:rsidRDefault="00B547B7" w:rsidP="00B547B7">
                      <w:pPr>
                        <w:pStyle w:val="Didascalia"/>
                        <w:rPr>
                          <w:rFonts w:asciiTheme="minorHAnsi" w:hAnsiTheme="minorHAnsi" w:cstheme="minorHAnsi"/>
                          <w:b w:val="0"/>
                          <w:noProof/>
                          <w:color w:val="auto"/>
                        </w:rPr>
                      </w:pPr>
                      <w:bookmarkStart w:id="2" w:name="_Ref534632518"/>
                      <w:r w:rsidRPr="000B351F">
                        <w:rPr>
                          <w:rFonts w:asciiTheme="minorHAnsi" w:hAnsiTheme="minorHAnsi" w:cstheme="minorHAnsi"/>
                          <w:b w:val="0"/>
                          <w:color w:val="auto"/>
                        </w:rPr>
                        <w:t xml:space="preserve">Figure </w:t>
                      </w:r>
                      <w:r w:rsidRPr="000B351F">
                        <w:rPr>
                          <w:rFonts w:asciiTheme="minorHAnsi" w:hAnsiTheme="minorHAnsi" w:cstheme="minorHAnsi"/>
                          <w:b w:val="0"/>
                          <w:color w:val="auto"/>
                        </w:rPr>
                        <w:fldChar w:fldCharType="begin"/>
                      </w:r>
                      <w:r w:rsidRPr="000B351F">
                        <w:rPr>
                          <w:rFonts w:asciiTheme="minorHAnsi" w:hAnsiTheme="minorHAnsi" w:cstheme="minorHAnsi"/>
                          <w:b w:val="0"/>
                          <w:color w:val="auto"/>
                        </w:rPr>
                        <w:instrText xml:space="preserve"> SEQ Abbildung \* ARABIC </w:instrText>
                      </w:r>
                      <w:r w:rsidRPr="000B351F">
                        <w:rPr>
                          <w:rFonts w:asciiTheme="minorHAnsi" w:hAnsiTheme="minorHAnsi" w:cstheme="minorHAnsi"/>
                          <w:b w:val="0"/>
                          <w:color w:val="auto"/>
                        </w:rPr>
                        <w:fldChar w:fldCharType="separate"/>
                      </w:r>
                      <w:r w:rsidRPr="000B351F">
                        <w:rPr>
                          <w:rFonts w:asciiTheme="minorHAnsi" w:hAnsiTheme="minorHAnsi" w:cstheme="minorHAnsi"/>
                          <w:b w:val="0"/>
                          <w:noProof/>
                          <w:color w:val="auto"/>
                        </w:rPr>
                        <w:t>2</w:t>
                      </w:r>
                      <w:r w:rsidRPr="000B351F">
                        <w:rPr>
                          <w:rFonts w:asciiTheme="minorHAnsi" w:hAnsiTheme="minorHAnsi" w:cstheme="minorHAnsi"/>
                          <w:b w:val="0"/>
                          <w:color w:val="auto"/>
                        </w:rPr>
                        <w:fldChar w:fldCharType="end"/>
                      </w:r>
                      <w:bookmarkEnd w:id="2"/>
                      <w:r w:rsidRPr="000B351F">
                        <w:rPr>
                          <w:rFonts w:asciiTheme="minorHAnsi" w:hAnsiTheme="minorHAnsi" w:cstheme="minorHAnsi"/>
                          <w:b w:val="0"/>
                          <w:color w:val="auto"/>
                        </w:rPr>
                        <w:t xml:space="preserve"> Glycine and L-alanine solubility in water as molality vs. temperature. Symbols represent experimental data (circles</w:t>
                      </w:r>
                      <w:r w:rsidRPr="000B351F">
                        <w:rPr>
                          <w:rFonts w:asciiTheme="minorHAnsi" w:hAnsiTheme="minorHAnsi" w:cstheme="minorHAnsi"/>
                          <w:b w:val="0"/>
                          <w:color w:val="auto"/>
                          <w:vertAlign w:val="superscript"/>
                        </w:rPr>
                        <w:t>[3]</w:t>
                      </w:r>
                      <w:r w:rsidRPr="000B351F">
                        <w:rPr>
                          <w:rFonts w:asciiTheme="minorHAnsi" w:hAnsiTheme="minorHAnsi" w:cstheme="minorHAnsi"/>
                          <w:b w:val="0"/>
                          <w:color w:val="auto"/>
                        </w:rPr>
                        <w:t>, triangle</w:t>
                      </w:r>
                      <w:r w:rsidRPr="000B351F">
                        <w:rPr>
                          <w:rFonts w:asciiTheme="minorHAnsi" w:hAnsiTheme="minorHAnsi" w:cstheme="minorHAnsi"/>
                          <w:b w:val="0"/>
                          <w:color w:val="auto"/>
                          <w:vertAlign w:val="superscript"/>
                        </w:rPr>
                        <w:t>[4]</w:t>
                      </w:r>
                      <w:r w:rsidRPr="000B351F">
                        <w:rPr>
                          <w:rFonts w:asciiTheme="minorHAnsi" w:hAnsiTheme="minorHAnsi" w:cstheme="minorHAnsi"/>
                          <w:b w:val="0"/>
                          <w:color w:val="auto"/>
                        </w:rPr>
                        <w:t>,</w:t>
                      </w:r>
                      <w:r w:rsidRPr="000B351F">
                        <w:rPr>
                          <w:rFonts w:asciiTheme="minorHAnsi" w:hAnsiTheme="minorHAnsi" w:cstheme="minorHAnsi"/>
                          <w:b w:val="0"/>
                          <w:color w:val="auto"/>
                          <w:vertAlign w:val="superscript"/>
                        </w:rPr>
                        <w:t xml:space="preserve"> </w:t>
                      </w:r>
                      <w:r w:rsidRPr="000B351F">
                        <w:rPr>
                          <w:rFonts w:asciiTheme="minorHAnsi" w:hAnsiTheme="minorHAnsi" w:cstheme="minorHAnsi"/>
                          <w:b w:val="0"/>
                          <w:color w:val="auto"/>
                        </w:rPr>
                        <w:t>squares</w:t>
                      </w:r>
                      <w:r w:rsidRPr="000B351F">
                        <w:rPr>
                          <w:rFonts w:asciiTheme="minorHAnsi" w:hAnsiTheme="minorHAnsi" w:cstheme="minorHAnsi"/>
                          <w:b w:val="0"/>
                          <w:color w:val="auto"/>
                          <w:vertAlign w:val="superscript"/>
                        </w:rPr>
                        <w:t>[5]</w:t>
                      </w:r>
                      <w:r w:rsidRPr="000B351F">
                        <w:rPr>
                          <w:rFonts w:asciiTheme="minorHAnsi" w:hAnsiTheme="minorHAnsi" w:cstheme="minorHAnsi"/>
                          <w:b w:val="0"/>
                          <w:color w:val="auto"/>
                        </w:rPr>
                        <w:t>). Lines represent PC-SAFT predictions.</w:t>
                      </w:r>
                    </w:p>
                  </w:txbxContent>
                </v:textbox>
                <w10:wrap type="square"/>
              </v:shape>
            </w:pict>
          </mc:Fallback>
        </mc:AlternateContent>
      </w:r>
    </w:p>
    <w:p w14:paraId="7B3D725F" w14:textId="77777777" w:rsidR="00685E5A" w:rsidRPr="009F301C" w:rsidRDefault="00132E00" w:rsidP="00685E5A">
      <w:pPr>
        <w:snapToGrid w:val="0"/>
        <w:spacing w:before="240" w:line="360" w:lineRule="auto"/>
        <w:rPr>
          <w:rFonts w:asciiTheme="minorHAnsi" w:eastAsia="MS PGothic" w:hAnsiTheme="minorHAnsi"/>
          <w:b/>
          <w:bCs/>
          <w:color w:val="000000"/>
          <w:sz w:val="22"/>
          <w:szCs w:val="22"/>
          <w:lang w:val="en-US"/>
        </w:rPr>
      </w:pPr>
      <w:r>
        <w:rPr>
          <w:rFonts w:asciiTheme="minorHAnsi" w:eastAsia="MS PGothic" w:hAnsiTheme="minorHAnsi"/>
          <w:b/>
          <w:bCs/>
          <w:color w:val="000000"/>
          <w:sz w:val="22"/>
          <w:szCs w:val="22"/>
          <w:lang w:val="en-US"/>
        </w:rPr>
        <w:t xml:space="preserve">2. </w:t>
      </w:r>
      <w:r w:rsidR="00685E5A">
        <w:rPr>
          <w:rFonts w:asciiTheme="minorHAnsi" w:eastAsia="MS PGothic" w:hAnsiTheme="minorHAnsi"/>
          <w:b/>
          <w:bCs/>
          <w:color w:val="000000"/>
          <w:sz w:val="22"/>
          <w:szCs w:val="22"/>
          <w:lang w:val="en-US"/>
        </w:rPr>
        <w:t>Results and discussions</w:t>
      </w:r>
    </w:p>
    <w:p w14:paraId="7F59A729" w14:textId="77777777" w:rsidR="00B547B7" w:rsidRPr="00685E5A" w:rsidRDefault="00685E5A" w:rsidP="00B547B7">
      <w:pPr>
        <w:spacing w:line="276" w:lineRule="auto"/>
        <w:rPr>
          <w:rFonts w:asciiTheme="minorHAnsi" w:hAnsiTheme="minorHAnsi" w:cstheme="minorHAnsi"/>
          <w:sz w:val="22"/>
          <w:szCs w:val="22"/>
        </w:rPr>
      </w:pPr>
      <w:r w:rsidRPr="007A7FAE">
        <w:rPr>
          <w:rFonts w:asciiTheme="minorHAnsi" w:hAnsiTheme="minorHAnsi" w:cstheme="minorHAnsi"/>
          <w:sz w:val="22"/>
          <w:szCs w:val="22"/>
        </w:rPr>
        <w:t>The solubility measurements of amino acids were performed in aqueous solution. The PC-SAFT pure-component parameters for the amino acids as well as the water parameters were taken from literature [2]. Additionally, one binary interaction parameter k</w:t>
      </w:r>
      <w:r w:rsidRPr="007A7FAE">
        <w:rPr>
          <w:rFonts w:asciiTheme="minorHAnsi" w:hAnsiTheme="minorHAnsi" w:cstheme="minorHAnsi"/>
          <w:sz w:val="22"/>
          <w:szCs w:val="22"/>
          <w:vertAlign w:val="subscript"/>
        </w:rPr>
        <w:t>ij</w:t>
      </w:r>
      <w:r w:rsidRPr="007A7FAE">
        <w:rPr>
          <w:rFonts w:asciiTheme="minorHAnsi" w:hAnsiTheme="minorHAnsi" w:cstheme="minorHAnsi"/>
          <w:sz w:val="22"/>
          <w:szCs w:val="22"/>
        </w:rPr>
        <w:t xml:space="preserve"> was used between amino acid and water. The values for k</w:t>
      </w:r>
      <w:r w:rsidRPr="007A7FAE">
        <w:rPr>
          <w:rFonts w:asciiTheme="minorHAnsi" w:hAnsiTheme="minorHAnsi" w:cstheme="minorHAnsi"/>
          <w:sz w:val="22"/>
          <w:szCs w:val="22"/>
          <w:vertAlign w:val="subscript"/>
        </w:rPr>
        <w:t>ij</w:t>
      </w:r>
      <w:r w:rsidRPr="007A7FAE">
        <w:rPr>
          <w:rFonts w:asciiTheme="minorHAnsi" w:hAnsiTheme="minorHAnsi" w:cstheme="minorHAnsi"/>
          <w:sz w:val="22"/>
          <w:szCs w:val="22"/>
        </w:rPr>
        <w:t xml:space="preserve"> were fitted to experimental osmotic-coefficient data of aqueous amino-acid solutions at 298.15 K and atmospheric pressure. As shown in </w:t>
      </w:r>
      <w:r w:rsidRPr="007A7FAE">
        <w:rPr>
          <w:rFonts w:asciiTheme="minorHAnsi" w:hAnsiTheme="minorHAnsi" w:cstheme="minorHAnsi"/>
          <w:sz w:val="22"/>
          <w:szCs w:val="22"/>
        </w:rPr>
        <w:fldChar w:fldCharType="begin"/>
      </w:r>
      <w:r w:rsidRPr="007A7FAE">
        <w:rPr>
          <w:rFonts w:asciiTheme="minorHAnsi" w:hAnsiTheme="minorHAnsi" w:cstheme="minorHAnsi"/>
          <w:sz w:val="22"/>
          <w:szCs w:val="22"/>
        </w:rPr>
        <w:instrText xml:space="preserve"> REF _Ref534632518 \h  \* MERGEFORMAT </w:instrText>
      </w:r>
      <w:r w:rsidRPr="007A7FAE">
        <w:rPr>
          <w:rFonts w:asciiTheme="minorHAnsi" w:hAnsiTheme="minorHAnsi" w:cstheme="minorHAnsi"/>
          <w:sz w:val="22"/>
          <w:szCs w:val="22"/>
        </w:rPr>
      </w:r>
      <w:r w:rsidRPr="007A7FAE">
        <w:rPr>
          <w:rFonts w:asciiTheme="minorHAnsi" w:hAnsiTheme="minorHAnsi" w:cstheme="minorHAnsi"/>
          <w:sz w:val="22"/>
          <w:szCs w:val="22"/>
        </w:rPr>
        <w:fldChar w:fldCharType="separate"/>
      </w:r>
      <w:r w:rsidRPr="007A7FAE">
        <w:rPr>
          <w:rFonts w:asciiTheme="minorHAnsi" w:hAnsiTheme="minorHAnsi" w:cstheme="minorHAnsi"/>
          <w:sz w:val="22"/>
          <w:szCs w:val="22"/>
        </w:rPr>
        <w:t>Fig</w:t>
      </w:r>
      <w:r w:rsidR="00D66EE5">
        <w:rPr>
          <w:rFonts w:asciiTheme="minorHAnsi" w:hAnsiTheme="minorHAnsi" w:cstheme="minorHAnsi"/>
          <w:sz w:val="22"/>
          <w:szCs w:val="22"/>
        </w:rPr>
        <w:t>ure</w:t>
      </w:r>
      <w:r w:rsidRPr="007A7FAE">
        <w:rPr>
          <w:rFonts w:asciiTheme="minorHAnsi" w:hAnsiTheme="minorHAnsi" w:cstheme="minorHAnsi"/>
          <w:sz w:val="22"/>
          <w:szCs w:val="22"/>
        </w:rPr>
        <w:t xml:space="preserve"> </w:t>
      </w:r>
      <w:r w:rsidRPr="007A7FAE">
        <w:rPr>
          <w:rFonts w:asciiTheme="minorHAnsi" w:hAnsiTheme="minorHAnsi" w:cstheme="minorHAnsi"/>
          <w:noProof/>
          <w:sz w:val="22"/>
          <w:szCs w:val="22"/>
        </w:rPr>
        <w:t>2</w:t>
      </w:r>
      <w:r w:rsidRPr="007A7FAE">
        <w:rPr>
          <w:rFonts w:asciiTheme="minorHAnsi" w:hAnsiTheme="minorHAnsi" w:cstheme="minorHAnsi"/>
          <w:sz w:val="22"/>
          <w:szCs w:val="22"/>
        </w:rPr>
        <w:fldChar w:fldCharType="end"/>
      </w:r>
      <w:r w:rsidRPr="007A7FAE">
        <w:rPr>
          <w:rFonts w:asciiTheme="minorHAnsi" w:hAnsiTheme="minorHAnsi" w:cstheme="minorHAnsi"/>
          <w:sz w:val="22"/>
          <w:szCs w:val="22"/>
        </w:rPr>
        <w:t xml:space="preserve"> the temperature-dependent solubility of glycine and L</w:t>
      </w:r>
      <w:r w:rsidRPr="007A7FAE">
        <w:rPr>
          <w:rFonts w:asciiTheme="minorHAnsi" w:hAnsiTheme="minorHAnsi" w:cstheme="minorHAnsi"/>
          <w:sz w:val="22"/>
          <w:szCs w:val="22"/>
        </w:rPr>
        <w:noBreakHyphen/>
        <w:t xml:space="preserve">alanine in water were predicted with PC-SAFT using the melting properties measured from FSC in very good agreement to the experimental data. The method could be successfully transferred to peptide solutions as well as to solubility of amino acids in water-alcohol mixtures. </w:t>
      </w:r>
      <w:r w:rsidR="00B547B7" w:rsidRPr="00A60E99">
        <w:rPr>
          <w:rFonts w:asciiTheme="minorHAnsi" w:hAnsiTheme="minorHAnsi" w:cstheme="minorHAnsi"/>
          <w:noProof/>
          <w:lang w:val="de-DE" w:eastAsia="de-DE"/>
        </w:rPr>
        <w:drawing>
          <wp:anchor distT="0" distB="0" distL="114300" distR="114300" simplePos="0" relativeHeight="251659264" behindDoc="0" locked="0" layoutInCell="1" allowOverlap="1" wp14:anchorId="68B68B9B" wp14:editId="3E16A91A">
            <wp:simplePos x="0" y="0"/>
            <wp:positionH relativeFrom="margin">
              <wp:posOffset>6985</wp:posOffset>
            </wp:positionH>
            <wp:positionV relativeFrom="margin">
              <wp:posOffset>-20955</wp:posOffset>
            </wp:positionV>
            <wp:extent cx="2867025" cy="2088515"/>
            <wp:effectExtent l="0" t="0" r="9525" b="6985"/>
            <wp:wrapSquare wrapText="bothSides"/>
            <wp:docPr id="2" name="Grafik 2" descr="L:\user\Do\1 Promotion\Conferences\190914 ECAB05 Florenz\Temperature-time pro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ser\Do\1 Promotion\Conferences\190914 ECAB05 Florenz\Temperature-time profile.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28" t="8149" r="1359" b="1222"/>
                    <a:stretch/>
                  </pic:blipFill>
                  <pic:spPr bwMode="auto">
                    <a:xfrm>
                      <a:off x="0" y="0"/>
                      <a:ext cx="2867025" cy="2088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47B7">
        <w:rPr>
          <w:noProof/>
          <w:lang w:val="de-DE" w:eastAsia="de-DE"/>
        </w:rPr>
        <mc:AlternateContent>
          <mc:Choice Requires="wps">
            <w:drawing>
              <wp:anchor distT="0" distB="0" distL="114300" distR="114300" simplePos="0" relativeHeight="251661312" behindDoc="0" locked="0" layoutInCell="1" allowOverlap="1" wp14:anchorId="06622496" wp14:editId="7E2255AC">
                <wp:simplePos x="0" y="0"/>
                <wp:positionH relativeFrom="margin">
                  <wp:posOffset>100965</wp:posOffset>
                </wp:positionH>
                <wp:positionV relativeFrom="margin">
                  <wp:posOffset>2094230</wp:posOffset>
                </wp:positionV>
                <wp:extent cx="2762250" cy="635"/>
                <wp:effectExtent l="0" t="0" r="0" b="3810"/>
                <wp:wrapSquare wrapText="bothSides"/>
                <wp:docPr id="4" name="Textfeld 4"/>
                <wp:cNvGraphicFramePr/>
                <a:graphic xmlns:a="http://schemas.openxmlformats.org/drawingml/2006/main">
                  <a:graphicData uri="http://schemas.microsoft.com/office/word/2010/wordprocessingShape">
                    <wps:wsp>
                      <wps:cNvSpPr txBox="1"/>
                      <wps:spPr>
                        <a:xfrm>
                          <a:off x="0" y="0"/>
                          <a:ext cx="2762250" cy="635"/>
                        </a:xfrm>
                        <a:prstGeom prst="rect">
                          <a:avLst/>
                        </a:prstGeom>
                        <a:solidFill>
                          <a:prstClr val="white"/>
                        </a:solidFill>
                        <a:ln>
                          <a:noFill/>
                        </a:ln>
                        <a:effectLst/>
                      </wps:spPr>
                      <wps:txbx>
                        <w:txbxContent>
                          <w:p w14:paraId="7489125E" w14:textId="77777777" w:rsidR="00B547B7" w:rsidRPr="000B351F" w:rsidRDefault="00B547B7" w:rsidP="00B547B7">
                            <w:pPr>
                              <w:pStyle w:val="Didascalia"/>
                              <w:rPr>
                                <w:rFonts w:asciiTheme="minorHAnsi" w:hAnsiTheme="minorHAnsi" w:cstheme="minorHAnsi"/>
                                <w:b w:val="0"/>
                                <w:noProof/>
                                <w:color w:val="auto"/>
                              </w:rPr>
                            </w:pPr>
                            <w:bookmarkStart w:id="3" w:name="_Ref534632476"/>
                            <w:r w:rsidRPr="000B351F">
                              <w:rPr>
                                <w:rFonts w:asciiTheme="minorHAnsi" w:hAnsiTheme="minorHAnsi" w:cstheme="minorHAnsi"/>
                                <w:b w:val="0"/>
                                <w:color w:val="auto"/>
                              </w:rPr>
                              <w:t xml:space="preserve">Fiure. </w:t>
                            </w:r>
                            <w:r w:rsidRPr="000B351F">
                              <w:rPr>
                                <w:rFonts w:asciiTheme="minorHAnsi" w:hAnsiTheme="minorHAnsi" w:cstheme="minorHAnsi"/>
                                <w:b w:val="0"/>
                                <w:color w:val="auto"/>
                              </w:rPr>
                              <w:fldChar w:fldCharType="begin"/>
                            </w:r>
                            <w:r w:rsidRPr="000B351F">
                              <w:rPr>
                                <w:rFonts w:asciiTheme="minorHAnsi" w:hAnsiTheme="minorHAnsi" w:cstheme="minorHAnsi"/>
                                <w:b w:val="0"/>
                                <w:color w:val="auto"/>
                              </w:rPr>
                              <w:instrText xml:space="preserve"> SEQ Abbildung \* ARABIC </w:instrText>
                            </w:r>
                            <w:r w:rsidRPr="000B351F">
                              <w:rPr>
                                <w:rFonts w:asciiTheme="minorHAnsi" w:hAnsiTheme="minorHAnsi" w:cstheme="minorHAnsi"/>
                                <w:b w:val="0"/>
                                <w:color w:val="auto"/>
                              </w:rPr>
                              <w:fldChar w:fldCharType="separate"/>
                            </w:r>
                            <w:r w:rsidRPr="000B351F">
                              <w:rPr>
                                <w:rFonts w:asciiTheme="minorHAnsi" w:hAnsiTheme="minorHAnsi" w:cstheme="minorHAnsi"/>
                                <w:b w:val="0"/>
                                <w:noProof/>
                                <w:color w:val="auto"/>
                              </w:rPr>
                              <w:t>1</w:t>
                            </w:r>
                            <w:r w:rsidRPr="000B351F">
                              <w:rPr>
                                <w:rFonts w:asciiTheme="minorHAnsi" w:hAnsiTheme="minorHAnsi" w:cstheme="minorHAnsi"/>
                                <w:b w:val="0"/>
                                <w:color w:val="auto"/>
                              </w:rPr>
                              <w:fldChar w:fldCharType="end"/>
                            </w:r>
                            <w:bookmarkEnd w:id="3"/>
                            <w:r w:rsidRPr="000B351F">
                              <w:rPr>
                                <w:rFonts w:asciiTheme="minorHAnsi" w:hAnsiTheme="minorHAnsi" w:cstheme="minorHAnsi"/>
                                <w:b w:val="0"/>
                                <w:color w:val="auto"/>
                              </w:rPr>
                              <w:t>: Temperature-time profile for determination of melting properties with fast scanning calorimetry.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6622496" id="Textfeld 4" o:spid="_x0000_s1027" type="#_x0000_t202" style="position:absolute;left:0;text-align:left;margin-left:7.95pt;margin-top:164.9pt;width:217.5pt;height:.05pt;z-index:25166131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" stroked="f">
                <v:textbox style="mso-fit-shape-to-text:t" inset="0,0,0,0">
                  <w:txbxContent>
                    <w:p w14:paraId="7489125E" w14:textId="77777777" w:rsidR="00B547B7" w:rsidRPr="000B351F" w:rsidRDefault="00B547B7" w:rsidP="00B547B7">
                      <w:pPr>
                        <w:pStyle w:val="Didascalia"/>
                        <w:rPr>
                          <w:rFonts w:asciiTheme="minorHAnsi" w:hAnsiTheme="minorHAnsi" w:cstheme="minorHAnsi"/>
                          <w:b w:val="0"/>
                          <w:noProof/>
                          <w:color w:val="auto"/>
                        </w:rPr>
                      </w:pPr>
                      <w:bookmarkStart w:id="4" w:name="_Ref534632476"/>
                      <w:r w:rsidRPr="000B351F">
                        <w:rPr>
                          <w:rFonts w:asciiTheme="minorHAnsi" w:hAnsiTheme="minorHAnsi" w:cstheme="minorHAnsi"/>
                          <w:b w:val="0"/>
                          <w:color w:val="auto"/>
                        </w:rPr>
                        <w:t xml:space="preserve">Fiure. </w:t>
                      </w:r>
                      <w:r w:rsidRPr="000B351F">
                        <w:rPr>
                          <w:rFonts w:asciiTheme="minorHAnsi" w:hAnsiTheme="minorHAnsi" w:cstheme="minorHAnsi"/>
                          <w:b w:val="0"/>
                          <w:color w:val="auto"/>
                        </w:rPr>
                        <w:fldChar w:fldCharType="begin"/>
                      </w:r>
                      <w:r w:rsidRPr="000B351F">
                        <w:rPr>
                          <w:rFonts w:asciiTheme="minorHAnsi" w:hAnsiTheme="minorHAnsi" w:cstheme="minorHAnsi"/>
                          <w:b w:val="0"/>
                          <w:color w:val="auto"/>
                        </w:rPr>
                        <w:instrText xml:space="preserve"> SEQ Abbildung \* ARABIC </w:instrText>
                      </w:r>
                      <w:r w:rsidRPr="000B351F">
                        <w:rPr>
                          <w:rFonts w:asciiTheme="minorHAnsi" w:hAnsiTheme="minorHAnsi" w:cstheme="minorHAnsi"/>
                          <w:b w:val="0"/>
                          <w:color w:val="auto"/>
                        </w:rPr>
                        <w:fldChar w:fldCharType="separate"/>
                      </w:r>
                      <w:r w:rsidRPr="000B351F">
                        <w:rPr>
                          <w:rFonts w:asciiTheme="minorHAnsi" w:hAnsiTheme="minorHAnsi" w:cstheme="minorHAnsi"/>
                          <w:b w:val="0"/>
                          <w:noProof/>
                          <w:color w:val="auto"/>
                        </w:rPr>
                        <w:t>1</w:t>
                      </w:r>
                      <w:r w:rsidRPr="000B351F">
                        <w:rPr>
                          <w:rFonts w:asciiTheme="minorHAnsi" w:hAnsiTheme="minorHAnsi" w:cstheme="minorHAnsi"/>
                          <w:b w:val="0"/>
                          <w:color w:val="auto"/>
                        </w:rPr>
                        <w:fldChar w:fldCharType="end"/>
                      </w:r>
                      <w:bookmarkEnd w:id="4"/>
                      <w:r w:rsidRPr="000B351F">
                        <w:rPr>
                          <w:rFonts w:asciiTheme="minorHAnsi" w:hAnsiTheme="minorHAnsi" w:cstheme="minorHAnsi"/>
                          <w:b w:val="0"/>
                          <w:color w:val="auto"/>
                        </w:rPr>
                        <w:t>: Temperature-time profile for determination of melting properties with fast scanning calorimetry.</w:t>
                      </w:r>
                    </w:p>
                  </w:txbxContent>
                </v:textbox>
                <w10:wrap type="square" anchorx="margin" anchory="margin"/>
              </v:shape>
            </w:pict>
          </mc:Fallback>
        </mc:AlternateContent>
      </w:r>
    </w:p>
    <w:p w14:paraId="2D6ECB74" w14:textId="77777777" w:rsidR="00B547B7" w:rsidRPr="007A7FAE" w:rsidRDefault="00B547B7" w:rsidP="00B547B7">
      <w:pPr>
        <w:snapToGrid w:val="0"/>
        <w:spacing w:before="240" w:line="276" w:lineRule="auto"/>
        <w:rPr>
          <w:rFonts w:asciiTheme="minorHAnsi" w:eastAsia="MS PGothic" w:hAnsiTheme="minorHAnsi" w:cstheme="minorHAnsi"/>
          <w:color w:val="000000"/>
          <w:sz w:val="22"/>
          <w:szCs w:val="22"/>
          <w:lang w:val="en-US" w:eastAsia="ko-KR"/>
        </w:rPr>
      </w:pPr>
      <w:r w:rsidRPr="007A7FAE">
        <w:rPr>
          <w:rFonts w:asciiTheme="minorHAnsi" w:eastAsia="MS PGothic" w:hAnsiTheme="minorHAnsi" w:cstheme="minorHAnsi"/>
          <w:b/>
          <w:bCs/>
          <w:color w:val="000000"/>
          <w:sz w:val="22"/>
          <w:szCs w:val="22"/>
          <w:lang w:val="en-US"/>
        </w:rPr>
        <w:t>4. Conclusion</w:t>
      </w:r>
      <w:r w:rsidRPr="007A7FAE">
        <w:rPr>
          <w:rFonts w:asciiTheme="minorHAnsi" w:eastAsia="MS PGothic" w:hAnsiTheme="minorHAnsi" w:cstheme="minorHAnsi"/>
          <w:b/>
          <w:bCs/>
          <w:color w:val="000000"/>
          <w:sz w:val="22"/>
          <w:szCs w:val="22"/>
          <w:lang w:val="en-US" w:eastAsia="ko-KR"/>
        </w:rPr>
        <w:t>s</w:t>
      </w:r>
    </w:p>
    <w:p w14:paraId="0E7FE8DA" w14:textId="77777777" w:rsidR="00B547B7" w:rsidRDefault="00B547B7" w:rsidP="00B547B7">
      <w:pPr>
        <w:spacing w:line="276" w:lineRule="auto"/>
        <w:rPr>
          <w:rFonts w:asciiTheme="minorHAnsi" w:hAnsiTheme="minorHAnsi" w:cstheme="minorHAnsi"/>
          <w:sz w:val="22"/>
          <w:szCs w:val="22"/>
        </w:rPr>
      </w:pPr>
      <w:r w:rsidRPr="007A7FAE">
        <w:rPr>
          <w:rFonts w:asciiTheme="minorHAnsi" w:hAnsiTheme="minorHAnsi" w:cstheme="minorHAnsi"/>
          <w:sz w:val="22"/>
          <w:szCs w:val="22"/>
        </w:rPr>
        <w:t xml:space="preserve">In this work it was the goal to predict solubility of components that decompose before melting, e.g. amino acids or peptides. The predictions require PC-SAFT parameters and melting data. All PC-SAFT parameters were taken from literature or fitted to new solubility-independent thermodynamic properties such as osmotic coefficients. Melting properties were measured using FSC. The results revealed that amino-acid solubilities can be accurately predicted over a broad temperature range. The combination between PC-SAFT and FSC generally allows the predicting solubility of molecules that decompose before melting. </w:t>
      </w:r>
    </w:p>
    <w:p w14:paraId="5C14A027" w14:textId="77777777" w:rsidR="00A36C59" w:rsidRPr="007A7FAE" w:rsidRDefault="00A36C59" w:rsidP="00B547B7">
      <w:pPr>
        <w:spacing w:line="276" w:lineRule="auto"/>
        <w:rPr>
          <w:rFonts w:asciiTheme="minorHAnsi" w:hAnsiTheme="minorHAnsi" w:cstheme="minorHAnsi"/>
          <w:sz w:val="22"/>
          <w:szCs w:val="22"/>
        </w:rPr>
      </w:pPr>
    </w:p>
    <w:p w14:paraId="1E50D169" w14:textId="77777777" w:rsidR="00B547B7" w:rsidRPr="00132E00" w:rsidRDefault="00685E5A" w:rsidP="00B547B7">
      <w:pPr>
        <w:snapToGrid w:val="0"/>
        <w:spacing w:before="240" w:line="360" w:lineRule="auto"/>
        <w:rPr>
          <w:rFonts w:asciiTheme="minorHAnsi" w:eastAsia="SimSun" w:hAnsiTheme="minorHAnsi"/>
          <w:b/>
          <w:bCs/>
          <w:color w:val="000000"/>
          <w:sz w:val="22"/>
          <w:lang w:val="en-US" w:eastAsia="zh-CN"/>
        </w:rPr>
      </w:pPr>
      <w:r w:rsidRPr="00132E00">
        <w:rPr>
          <w:rFonts w:asciiTheme="minorHAnsi" w:eastAsia="MS PGothic" w:hAnsiTheme="minorHAnsi"/>
          <w:b/>
          <w:bCs/>
          <w:color w:val="000000"/>
          <w:sz w:val="22"/>
          <w:lang w:val="en-US"/>
        </w:rPr>
        <w:t>References</w:t>
      </w:r>
    </w:p>
    <w:p w14:paraId="1D7E696F" w14:textId="77777777" w:rsidR="00B547B7" w:rsidRPr="00132E00" w:rsidRDefault="00B547B7" w:rsidP="00685E5A">
      <w:pPr>
        <w:pStyle w:val="FirstParagraph"/>
        <w:numPr>
          <w:ilvl w:val="0"/>
          <w:numId w:val="17"/>
        </w:numPr>
        <w:tabs>
          <w:tab w:val="left" w:pos="426"/>
        </w:tabs>
        <w:spacing w:line="240" w:lineRule="auto"/>
        <w:ind w:left="426" w:hanging="426"/>
        <w:rPr>
          <w:rFonts w:asciiTheme="minorHAnsi" w:hAnsiTheme="minorHAnsi" w:cstheme="minorHAnsi"/>
          <w:color w:val="000000"/>
          <w:szCs w:val="22"/>
        </w:rPr>
      </w:pPr>
      <w:r w:rsidRPr="00132E00">
        <w:rPr>
          <w:rFonts w:asciiTheme="minorHAnsi" w:hAnsiTheme="minorHAnsi" w:cstheme="minorHAnsi"/>
          <w:szCs w:val="22"/>
        </w:rPr>
        <w:t xml:space="preserve">Y.Z. Chua, H.T. Do, C. Schick, D. Zaitsau, C. Held, </w:t>
      </w:r>
      <w:r w:rsidRPr="00132E00">
        <w:rPr>
          <w:rFonts w:asciiTheme="minorHAnsi" w:hAnsiTheme="minorHAnsi" w:cstheme="minorHAnsi"/>
          <w:i/>
          <w:szCs w:val="22"/>
        </w:rPr>
        <w:t>RSC Advances</w:t>
      </w:r>
      <w:r w:rsidRPr="00132E00">
        <w:rPr>
          <w:rFonts w:asciiTheme="minorHAnsi" w:hAnsiTheme="minorHAnsi" w:cstheme="minorHAnsi"/>
          <w:szCs w:val="22"/>
        </w:rPr>
        <w:t>, 8, 6365-6372; (</w:t>
      </w:r>
      <w:r w:rsidRPr="00132E00">
        <w:rPr>
          <w:rFonts w:asciiTheme="minorHAnsi" w:hAnsiTheme="minorHAnsi" w:cstheme="minorHAnsi"/>
          <w:b/>
          <w:szCs w:val="22"/>
        </w:rPr>
        <w:t>2018</w:t>
      </w:r>
      <w:r w:rsidRPr="00132E00">
        <w:rPr>
          <w:rFonts w:asciiTheme="minorHAnsi" w:hAnsiTheme="minorHAnsi" w:cstheme="minorHAnsi"/>
          <w:szCs w:val="22"/>
        </w:rPr>
        <w:t>)</w:t>
      </w:r>
    </w:p>
    <w:p w14:paraId="159F9B52" w14:textId="77777777" w:rsidR="00B547B7" w:rsidRPr="00132E00" w:rsidRDefault="00D66EE5" w:rsidP="00685E5A">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cstheme="minorHAnsi"/>
          <w:szCs w:val="22"/>
          <w:lang w:eastAsia="zh-CN"/>
        </w:rPr>
      </w:pPr>
      <w:r>
        <w:rPr>
          <w:rFonts w:asciiTheme="minorHAnsi" w:hAnsiTheme="minorHAnsi" w:cstheme="minorHAnsi"/>
          <w:szCs w:val="22"/>
        </w:rPr>
        <w:t xml:space="preserve">C. Held, L.F. Cameretti, G. Sadowski, Ind- </w:t>
      </w:r>
      <w:r w:rsidR="00B547B7" w:rsidRPr="00132E00">
        <w:rPr>
          <w:rFonts w:asciiTheme="minorHAnsi" w:hAnsiTheme="minorHAnsi" w:cstheme="minorHAnsi"/>
          <w:szCs w:val="22"/>
        </w:rPr>
        <w:t>Eng- Chem. Res., 50, 131-141; (</w:t>
      </w:r>
      <w:r w:rsidR="00B547B7" w:rsidRPr="00132E00">
        <w:rPr>
          <w:rFonts w:asciiTheme="minorHAnsi" w:hAnsiTheme="minorHAnsi" w:cstheme="minorHAnsi"/>
          <w:b/>
          <w:szCs w:val="22"/>
        </w:rPr>
        <w:t>2011</w:t>
      </w:r>
      <w:r w:rsidR="00B547B7" w:rsidRPr="00132E00">
        <w:rPr>
          <w:rFonts w:asciiTheme="minorHAnsi" w:hAnsiTheme="minorHAnsi" w:cstheme="minorHAnsi"/>
          <w:szCs w:val="22"/>
        </w:rPr>
        <w:t>)</w:t>
      </w:r>
    </w:p>
    <w:p w14:paraId="27166405" w14:textId="77777777" w:rsidR="00B547B7" w:rsidRPr="00132E00" w:rsidRDefault="00B547B7" w:rsidP="00685E5A">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cstheme="minorHAnsi"/>
          <w:szCs w:val="22"/>
          <w:lang w:eastAsia="zh-CN"/>
        </w:rPr>
      </w:pPr>
      <w:r w:rsidRPr="00132E00">
        <w:rPr>
          <w:rFonts w:asciiTheme="minorHAnsi" w:eastAsia="SimSun" w:hAnsiTheme="minorHAnsi" w:cstheme="minorHAnsi"/>
          <w:szCs w:val="22"/>
          <w:lang w:eastAsia="zh-CN"/>
        </w:rPr>
        <w:t>J. P. Amend, H. C. Helgeson, Pure Appl. Chem, 69, 935-942, (</w:t>
      </w:r>
      <w:r w:rsidRPr="005803EF">
        <w:rPr>
          <w:rFonts w:asciiTheme="minorHAnsi" w:eastAsia="SimSun" w:hAnsiTheme="minorHAnsi" w:cstheme="minorHAnsi"/>
          <w:b/>
          <w:szCs w:val="22"/>
          <w:lang w:eastAsia="zh-CN"/>
        </w:rPr>
        <w:t>1997</w:t>
      </w:r>
      <w:r w:rsidRPr="00132E00">
        <w:rPr>
          <w:rFonts w:asciiTheme="minorHAnsi" w:eastAsia="SimSun" w:hAnsiTheme="minorHAnsi" w:cstheme="minorHAnsi"/>
          <w:szCs w:val="22"/>
          <w:lang w:eastAsia="zh-CN"/>
        </w:rPr>
        <w:t>)</w:t>
      </w:r>
    </w:p>
    <w:p w14:paraId="2107D562" w14:textId="77777777" w:rsidR="00B547B7" w:rsidRPr="00132E00" w:rsidRDefault="00B547B7" w:rsidP="00685E5A">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cstheme="minorHAnsi"/>
          <w:szCs w:val="22"/>
          <w:lang w:eastAsia="zh-CN"/>
        </w:rPr>
      </w:pPr>
      <w:r w:rsidRPr="00132E00">
        <w:rPr>
          <w:rFonts w:asciiTheme="minorHAnsi" w:eastAsia="SimSun" w:hAnsiTheme="minorHAnsi" w:cstheme="minorHAnsi"/>
          <w:szCs w:val="22"/>
          <w:lang w:eastAsia="zh-CN"/>
        </w:rPr>
        <w:t>H</w:t>
      </w:r>
      <w:r w:rsidRPr="00132E00">
        <w:rPr>
          <w:rFonts w:asciiTheme="minorHAnsi" w:hAnsiTheme="minorHAnsi" w:cstheme="minorHAnsi"/>
          <w:szCs w:val="22"/>
        </w:rPr>
        <w:t>. Sober, Handbook of Biochem</w:t>
      </w:r>
      <w:r w:rsidR="00D66EE5">
        <w:rPr>
          <w:rFonts w:asciiTheme="minorHAnsi" w:hAnsiTheme="minorHAnsi" w:cstheme="minorHAnsi"/>
          <w:szCs w:val="22"/>
        </w:rPr>
        <w:t>i</w:t>
      </w:r>
      <w:r w:rsidRPr="00132E00">
        <w:rPr>
          <w:rFonts w:asciiTheme="minorHAnsi" w:hAnsiTheme="minorHAnsi" w:cstheme="minorHAnsi"/>
          <w:szCs w:val="22"/>
        </w:rPr>
        <w:t>stry, Selected Data for Molecular Biology, CRC Press, (</w:t>
      </w:r>
      <w:r w:rsidRPr="00132E00">
        <w:rPr>
          <w:rFonts w:asciiTheme="minorHAnsi" w:hAnsiTheme="minorHAnsi" w:cstheme="minorHAnsi"/>
          <w:b/>
          <w:szCs w:val="22"/>
        </w:rPr>
        <w:t>1973</w:t>
      </w:r>
      <w:r w:rsidRPr="00132E00">
        <w:rPr>
          <w:rFonts w:asciiTheme="minorHAnsi" w:hAnsiTheme="minorHAnsi" w:cstheme="minorHAnsi"/>
          <w:szCs w:val="22"/>
        </w:rPr>
        <w:t>)</w:t>
      </w:r>
    </w:p>
    <w:p w14:paraId="4491C19B" w14:textId="77777777" w:rsidR="00B547B7" w:rsidRPr="00132E00" w:rsidRDefault="00B547B7" w:rsidP="00685E5A">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cstheme="minorHAnsi"/>
          <w:szCs w:val="22"/>
          <w:lang w:eastAsia="zh-CN"/>
        </w:rPr>
      </w:pPr>
      <w:r w:rsidRPr="00132E00">
        <w:rPr>
          <w:rFonts w:asciiTheme="minorHAnsi" w:eastAsia="SimSun" w:hAnsiTheme="minorHAnsi" w:cstheme="minorHAnsi"/>
          <w:szCs w:val="22"/>
          <w:lang w:eastAsia="zh-CN"/>
        </w:rPr>
        <w:t>T.</w:t>
      </w:r>
      <w:r w:rsidRPr="00132E00">
        <w:rPr>
          <w:rFonts w:asciiTheme="minorHAnsi" w:hAnsiTheme="minorHAnsi" w:cstheme="minorHAnsi"/>
          <w:szCs w:val="22"/>
        </w:rPr>
        <w:t xml:space="preserve"> H. Lilley, Physical Properties of Amino Acids, ed. G.C. Barret, 591-624, (</w:t>
      </w:r>
      <w:r w:rsidRPr="00132E00">
        <w:rPr>
          <w:rFonts w:asciiTheme="minorHAnsi" w:hAnsiTheme="minorHAnsi" w:cstheme="minorHAnsi"/>
          <w:b/>
          <w:szCs w:val="22"/>
        </w:rPr>
        <w:t>1985</w:t>
      </w:r>
      <w:r w:rsidRPr="00132E00">
        <w:rPr>
          <w:rFonts w:asciiTheme="minorHAnsi" w:hAnsiTheme="minorHAnsi" w:cstheme="minorHAnsi"/>
          <w:szCs w:val="22"/>
        </w:rPr>
        <w:t>)</w:t>
      </w:r>
    </w:p>
    <w:sectPr w:rsidR="00B547B7" w:rsidRPr="00132E00"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25D41" w14:textId="77777777" w:rsidR="0000391A" w:rsidRDefault="0000391A" w:rsidP="004F5E36">
      <w:r>
        <w:separator/>
      </w:r>
    </w:p>
  </w:endnote>
  <w:endnote w:type="continuationSeparator" w:id="0">
    <w:p w14:paraId="31D7C1E9" w14:textId="77777777" w:rsidR="0000391A" w:rsidRDefault="0000391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dvOTce71c481.I">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FF376" w14:textId="77777777" w:rsidR="0000391A" w:rsidRDefault="0000391A" w:rsidP="004F5E36">
      <w:r>
        <w:separator/>
      </w:r>
    </w:p>
  </w:footnote>
  <w:footnote w:type="continuationSeparator" w:id="0">
    <w:p w14:paraId="71FA7339" w14:textId="77777777" w:rsidR="0000391A" w:rsidRDefault="0000391A"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833E1" w14:textId="77777777" w:rsidR="004D1162" w:rsidRDefault="00594E9F">
    <w:pPr>
      <w:pStyle w:val="Intestazione"/>
    </w:pPr>
    <w:r>
      <w:rPr>
        <w:noProof/>
        <w:lang w:val="de-DE" w:eastAsia="de-DE"/>
      </w:rPr>
      <mc:AlternateContent>
        <mc:Choice Requires="wps">
          <w:drawing>
            <wp:anchor distT="0" distB="0" distL="114300" distR="114300" simplePos="0" relativeHeight="251666432" behindDoc="0" locked="0" layoutInCell="1" allowOverlap="1" wp14:anchorId="6DB33261" wp14:editId="0EA0A07D">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D2CF0AD"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de-DE" w:eastAsia="de-DE"/>
      </w:rPr>
      <w:drawing>
        <wp:anchor distT="0" distB="0" distL="114300" distR="114300" simplePos="0" relativeHeight="251662336" behindDoc="0" locked="0" layoutInCell="1" allowOverlap="1" wp14:anchorId="43398898" wp14:editId="1139F70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6CA01"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de-DE" w:eastAsia="de-DE"/>
      </w:rPr>
      <w:drawing>
        <wp:anchor distT="0" distB="0" distL="114300" distR="114300" simplePos="0" relativeHeight="251659264" behindDoc="0" locked="0" layoutInCell="1" allowOverlap="1" wp14:anchorId="77C59549" wp14:editId="71FD0D00">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5F3061D3" w14:textId="77777777" w:rsidR="00704BDF" w:rsidRDefault="00704BDF">
    <w:pPr>
      <w:pStyle w:val="Intestazione"/>
    </w:pPr>
  </w:p>
  <w:p w14:paraId="5E25D735" w14:textId="77777777" w:rsidR="00704BDF" w:rsidRDefault="00704BDF">
    <w:pPr>
      <w:pStyle w:val="Intestazione"/>
    </w:pPr>
    <w:r>
      <w:rPr>
        <w:noProof/>
        <w:lang w:val="de-DE" w:eastAsia="de-DE"/>
      </w:rPr>
      <mc:AlternateContent>
        <mc:Choice Requires="wps">
          <w:drawing>
            <wp:anchor distT="0" distB="0" distL="114300" distR="114300" simplePos="0" relativeHeight="251660288" behindDoc="0" locked="0" layoutInCell="1" allowOverlap="1" wp14:anchorId="13E8A008" wp14:editId="5E4FFD17">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1AFCC6FC"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14A"/>
    <w:rsid w:val="000027C0"/>
    <w:rsid w:val="0000391A"/>
    <w:rsid w:val="000117CB"/>
    <w:rsid w:val="0003148D"/>
    <w:rsid w:val="00062A9A"/>
    <w:rsid w:val="000A03B2"/>
    <w:rsid w:val="000D34BE"/>
    <w:rsid w:val="000E36F1"/>
    <w:rsid w:val="000E3A73"/>
    <w:rsid w:val="000E414A"/>
    <w:rsid w:val="0013121F"/>
    <w:rsid w:val="00132E00"/>
    <w:rsid w:val="00134DE4"/>
    <w:rsid w:val="00150E59"/>
    <w:rsid w:val="00184AD6"/>
    <w:rsid w:val="001B65C1"/>
    <w:rsid w:val="001C684B"/>
    <w:rsid w:val="001D53FC"/>
    <w:rsid w:val="001F2EC7"/>
    <w:rsid w:val="002065DB"/>
    <w:rsid w:val="002447EF"/>
    <w:rsid w:val="00251550"/>
    <w:rsid w:val="0027221A"/>
    <w:rsid w:val="00275B61"/>
    <w:rsid w:val="00284E44"/>
    <w:rsid w:val="002D1F12"/>
    <w:rsid w:val="003009B7"/>
    <w:rsid w:val="0030469C"/>
    <w:rsid w:val="003723D4"/>
    <w:rsid w:val="003A7D1C"/>
    <w:rsid w:val="0046164A"/>
    <w:rsid w:val="00462DCD"/>
    <w:rsid w:val="004D1162"/>
    <w:rsid w:val="004E4DD6"/>
    <w:rsid w:val="004F5E36"/>
    <w:rsid w:val="005119A5"/>
    <w:rsid w:val="005278B7"/>
    <w:rsid w:val="005346C8"/>
    <w:rsid w:val="005803EF"/>
    <w:rsid w:val="00594E9F"/>
    <w:rsid w:val="005B61E6"/>
    <w:rsid w:val="005C77E1"/>
    <w:rsid w:val="005D6A2F"/>
    <w:rsid w:val="005E1A82"/>
    <w:rsid w:val="005F0A28"/>
    <w:rsid w:val="005F0E5E"/>
    <w:rsid w:val="00620DEE"/>
    <w:rsid w:val="00625639"/>
    <w:rsid w:val="0064184D"/>
    <w:rsid w:val="00660E3E"/>
    <w:rsid w:val="00662E74"/>
    <w:rsid w:val="00685E5A"/>
    <w:rsid w:val="006A58D2"/>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36C59"/>
    <w:rsid w:val="00A60E99"/>
    <w:rsid w:val="00A76EFC"/>
    <w:rsid w:val="00A9626B"/>
    <w:rsid w:val="00A97F29"/>
    <w:rsid w:val="00AB0964"/>
    <w:rsid w:val="00AE377D"/>
    <w:rsid w:val="00B547B7"/>
    <w:rsid w:val="00B61DBF"/>
    <w:rsid w:val="00BB21F9"/>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5667F"/>
    <w:rsid w:val="00D57997"/>
    <w:rsid w:val="00D66EE5"/>
    <w:rsid w:val="00D84576"/>
    <w:rsid w:val="00DE0019"/>
    <w:rsid w:val="00DE264A"/>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798DF"/>
  <w15:docId w15:val="{0E539195-317F-4CE4-8678-07DB69E3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semiHidden="1" w:uiPriority="59" w:unhideWhenUsed="1"/>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customStyle="1" w:styleId="absauthors">
    <w:name w:val="absauthors"/>
    <w:basedOn w:val="Normale"/>
    <w:rsid w:val="00B547B7"/>
    <w:pPr>
      <w:tabs>
        <w:tab w:val="clear" w:pos="7100"/>
      </w:tabs>
      <w:spacing w:after="238" w:line="240" w:lineRule="auto"/>
      <w:jc w:val="center"/>
    </w:pPr>
    <w:rPr>
      <w:rFonts w:ascii="Times New Roman" w:eastAsiaTheme="minorHAnsi" w:hAnsi="Times New Roman"/>
      <w:i/>
      <w:iCs/>
      <w:sz w:val="24"/>
      <w:szCs w:val="24"/>
      <w:lang w:val="en-US" w:eastAsia="hi-IN"/>
    </w:rPr>
  </w:style>
  <w:style w:type="character" w:styleId="Collegamentoipertestuale">
    <w:name w:val="Hyperlink"/>
    <w:basedOn w:val="Carpredefinitoparagrafo"/>
    <w:uiPriority w:val="99"/>
    <w:unhideWhenUsed/>
    <w:locked/>
    <w:rsid w:val="00A60E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christoph.held@tu-dortmund.d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16F8B-2645-4703-B444-EACC4D5C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3767</Characters>
  <Application>Microsoft Office Word</Application>
  <DocSecurity>0</DocSecurity>
  <Lines>31</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10</cp:revision>
  <cp:lastPrinted>2015-05-12T18:31:00Z</cp:lastPrinted>
  <dcterms:created xsi:type="dcterms:W3CDTF">2019-01-09T12:56:00Z</dcterms:created>
  <dcterms:modified xsi:type="dcterms:W3CDTF">2019-08-21T11:04:00Z</dcterms:modified>
</cp:coreProperties>
</file>