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50D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C70D3DF" w14:textId="0DF2FADB" w:rsidR="00704BDF" w:rsidRPr="00DE0019" w:rsidRDefault="00D53E0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32771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A Thermodynamic Approach to Predict </w:t>
      </w:r>
      <w:r w:rsidR="00CE25AD" w:rsidRPr="00532771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</w:t>
      </w:r>
      <w:r w:rsidR="00CE25A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</w:t>
      </w:r>
      <w:r w:rsidR="00CE25AD" w:rsidRPr="00CE25A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ombined Influence of High-Pressure and Co-Solvents on </w:t>
      </w:r>
      <w:r w:rsidR="00805AF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Reaction </w:t>
      </w:r>
      <w:r w:rsidR="00CE25AD" w:rsidRPr="00CE25AD">
        <w:rPr>
          <w:rFonts w:asciiTheme="minorHAnsi" w:eastAsia="MS PGothic" w:hAnsiTheme="minorHAnsi"/>
          <w:b/>
          <w:bCs/>
          <w:sz w:val="28"/>
          <w:szCs w:val="28"/>
          <w:lang w:val="en-US"/>
        </w:rPr>
        <w:t>Kinetics of a Peptide Hydrolysis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2F7CD958" w14:textId="77777777" w:rsidR="00DE0019" w:rsidRPr="00DE0019" w:rsidRDefault="00B762C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B762C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ichael</w:t>
      </w:r>
      <w:r w:rsidRPr="00B762C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Knierbein</w:t>
      </w:r>
      <w:r w:rsidRPr="00B762C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nton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Wangler</w:t>
      </w:r>
      <w:r w:rsidRPr="00B762C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hristoph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Held</w:t>
      </w:r>
      <w:r w:rsidRPr="00B762C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T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rung 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Q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uan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Luong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oland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Winter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G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abriele</w:t>
      </w:r>
      <w:r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Sadowski</w:t>
      </w:r>
      <w:r w:rsidRPr="00B762C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B5602" w:rsidRPr="00B762C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14:paraId="63AADBCF" w14:textId="77777777" w:rsidR="00B762C5" w:rsidRPr="00E13878" w:rsidRDefault="00704BDF" w:rsidP="00015B6E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138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B762C5" w:rsidRPr="00E138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Thermodynamics, TU Dortmund University, 44227 Dortmund, Germany</w:t>
      </w:r>
    </w:p>
    <w:p w14:paraId="2CBF820C" w14:textId="77777777" w:rsidR="00B762C5" w:rsidRPr="00E13878" w:rsidRDefault="00B762C5" w:rsidP="00B762C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138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 Physical Chemistry I, TU Dortmund University, 44227 Dortmund, Germany</w:t>
      </w:r>
    </w:p>
    <w:p w14:paraId="49ECC4C6" w14:textId="77777777" w:rsidR="00704BDF" w:rsidRPr="00DE0019" w:rsidRDefault="00704BDF" w:rsidP="00B762C5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B762C5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B762C5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 xml:space="preserve"> </w:t>
      </w:r>
      <w:r w:rsidR="005B560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gabriele</w:t>
      </w:r>
      <w:r w:rsidR="00B762C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.</w:t>
      </w:r>
      <w:r w:rsidR="005B560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sadowski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/>
        </w:rPr>
        <w:t>tu-dortmund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14:paraId="1B45C589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EB7D7EF" w14:textId="0460B2EE" w:rsidR="00704BDF" w:rsidRPr="00A11082" w:rsidRDefault="00805AF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11082">
        <w:rPr>
          <w:rFonts w:asciiTheme="minorHAnsi" w:hAnsiTheme="minorHAnsi"/>
        </w:rPr>
        <w:t>Application</w:t>
      </w:r>
      <w:r w:rsidR="00CE25AD" w:rsidRPr="00A11082">
        <w:rPr>
          <w:rFonts w:asciiTheme="minorHAnsi" w:hAnsiTheme="minorHAnsi"/>
        </w:rPr>
        <w:t xml:space="preserve"> of a</w:t>
      </w:r>
      <w:r w:rsidR="00D53E0E" w:rsidRPr="00A11082">
        <w:rPr>
          <w:rFonts w:asciiTheme="minorHAnsi" w:hAnsiTheme="minorHAnsi"/>
        </w:rPr>
        <w:t xml:space="preserve"> thermodynamic</w:t>
      </w:r>
      <w:r w:rsidR="00CE25AD" w:rsidRPr="00A11082">
        <w:rPr>
          <w:rFonts w:asciiTheme="minorHAnsi" w:hAnsiTheme="minorHAnsi"/>
        </w:rPr>
        <w:t xml:space="preserve"> activity-based approach to </w:t>
      </w:r>
      <w:r w:rsidR="005B5602" w:rsidRPr="00A11082">
        <w:rPr>
          <w:rFonts w:asciiTheme="minorHAnsi" w:hAnsiTheme="minorHAnsi"/>
        </w:rPr>
        <w:t>enzym</w:t>
      </w:r>
      <w:r w:rsidR="00D53E0E" w:rsidRPr="00A11082">
        <w:rPr>
          <w:rFonts w:asciiTheme="minorHAnsi" w:hAnsiTheme="minorHAnsi"/>
        </w:rPr>
        <w:t>e</w:t>
      </w:r>
      <w:r w:rsidR="00CE25AD" w:rsidRPr="00A11082">
        <w:rPr>
          <w:rFonts w:asciiTheme="minorHAnsi" w:hAnsiTheme="minorHAnsi"/>
        </w:rPr>
        <w:t xml:space="preserve"> kinetics.</w:t>
      </w:r>
    </w:p>
    <w:p w14:paraId="4DE3CA62" w14:textId="77777777" w:rsidR="00704BDF" w:rsidRPr="00EC66CC" w:rsidRDefault="00CE25A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Prediction of combined high-pressure and co-solvent effects on</w:t>
      </w:r>
      <w:r w:rsidR="005B5602">
        <w:rPr>
          <w:rFonts w:asciiTheme="minorHAnsi" w:hAnsiTheme="minorHAnsi"/>
        </w:rPr>
        <w:t xml:space="preserve"> reaction</w:t>
      </w:r>
      <w:r>
        <w:rPr>
          <w:rFonts w:asciiTheme="minorHAnsi" w:hAnsiTheme="minorHAnsi"/>
        </w:rPr>
        <w:t xml:space="preserve"> kinetics.</w:t>
      </w:r>
    </w:p>
    <w:p w14:paraId="36D7F448" w14:textId="77777777" w:rsidR="00704BDF" w:rsidRPr="00EC66CC" w:rsidRDefault="009256A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F3013E">
        <w:rPr>
          <w:rFonts w:asciiTheme="minorHAnsi" w:hAnsiTheme="minorHAnsi"/>
        </w:rPr>
        <w:t xml:space="preserve">olecular interactions </w:t>
      </w:r>
      <w:r>
        <w:rPr>
          <w:rFonts w:asciiTheme="minorHAnsi" w:hAnsiTheme="minorHAnsi"/>
        </w:rPr>
        <w:t xml:space="preserve">explain </w:t>
      </w:r>
      <w:r w:rsidR="00F3013E">
        <w:rPr>
          <w:rFonts w:asciiTheme="minorHAnsi" w:hAnsiTheme="minorHAnsi"/>
        </w:rPr>
        <w:t>observed</w:t>
      </w:r>
      <w:r w:rsidR="00805AF5">
        <w:rPr>
          <w:rFonts w:asciiTheme="minorHAnsi" w:hAnsiTheme="minorHAnsi"/>
        </w:rPr>
        <w:t xml:space="preserve"> </w:t>
      </w:r>
      <w:r w:rsidR="00905238">
        <w:rPr>
          <w:rFonts w:asciiTheme="minorHAnsi" w:hAnsiTheme="minorHAnsi"/>
        </w:rPr>
        <w:t>high-</w:t>
      </w:r>
      <w:r w:rsidR="00805AF5">
        <w:rPr>
          <w:rFonts w:asciiTheme="minorHAnsi" w:hAnsiTheme="minorHAnsi"/>
        </w:rPr>
        <w:t>pressure and co-solvent</w:t>
      </w:r>
      <w:r w:rsidR="00F3013E">
        <w:rPr>
          <w:rFonts w:asciiTheme="minorHAnsi" w:hAnsiTheme="minorHAnsi"/>
        </w:rPr>
        <w:t xml:space="preserve"> effects.</w:t>
      </w:r>
    </w:p>
    <w:p w14:paraId="15C35077" w14:textId="77777777" w:rsidR="00704BDF" w:rsidRPr="000E3D7D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00F2A4B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7A514BB" w14:textId="7C7BC2E2" w:rsidR="00B07EB7" w:rsidRDefault="00B762C5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optimize biotechnological production processes, knowledge about the effects of the reaction medium (temperature, pH, concentration and co-solvents</w:t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on reaction yield and kinetics is very important. Even though liquid-phases are generally assumed to be incompressible, pressure is also an important influence factor to tune enzyme-catalyzed reactions</w:t>
      </w:r>
      <w:r w:rsidR="00977980" w:rsidRPr="009779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79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taking part in liquid aque</w:t>
      </w:r>
      <w:r w:rsidR="00977980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  <w:t>ous systems</w:t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Certain enzymes are known to be pressure tolerant and additionally piezophile (i.e. pressure has a positive effect on enzyme activity</w:t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[3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Consequently, the </w:t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</w:t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bookmarkStart w:id="0" w:name="_GoBack"/>
      <w:bookmarkEnd w:id="0"/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dynamic vari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able pressure 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be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important influence factor, similar to temperature.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7EB7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the enzyme-catalyzed peptide hydrolysis of SPNA (N-succinyl-L-phenylalanine-p-nitroanilide) was in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B07EB7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vestigated.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effects of h</w:t>
      </w:r>
      <w:r w:rsidR="00B07EB7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igh pressure and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07EB7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co-solvent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07EB7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</w:t>
      </w:r>
      <w:r w:rsidR="00B07EB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kinetics were studied</w:t>
      </w:r>
      <w:r w:rsidR="00D53E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3E0E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explained by thermodynamics (interactions in the liquid phase)</w:t>
      </w:r>
      <w:r w:rsidR="00B07EB7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319427F" w14:textId="77777777" w:rsidR="00704BDF" w:rsidRPr="008D0BEB" w:rsidRDefault="00704BDF" w:rsidP="008B0E8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137F477" w14:textId="1EDB82B4" w:rsidR="00D521A8" w:rsidRPr="00A11082" w:rsidRDefault="00B07EB7" w:rsidP="008436E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2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experimental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kinetic studies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performed at 20 °C for pres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sures </w:t>
      </w:r>
      <w:r w:rsidR="0032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3233DB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9556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32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15</w:t>
      </w:r>
      <w:r w:rsidR="003233DB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00 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</w:t>
      </w:r>
      <w:r w:rsidR="002436E8" w:rsidRP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 high-pressure influence on reaction kinetics was determined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Experimental data was analyzed according to the Michaelis-Menten procedure yielding the</w:t>
      </w:r>
      <w:r w:rsidR="0032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Michaelis constant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M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obs</m:t>
            </m:r>
          </m:sup>
        </m:sSubSup>
      </m:oMath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turnover number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cat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obs</m:t>
            </m:r>
          </m:sup>
        </m:sSubSup>
      </m:oMath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2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thermodynamic model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PC-SAFT (Perturbed-Chain Statistical As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53277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sociating Fluid Theory) [4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to </w:t>
      </w:r>
      <w:r w:rsidR="009256AC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 </w:t>
      </w:r>
      <w:r w:rsidR="00D92827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co-solvent effects on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9256AC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reactive 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system. For this purpose, the constants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M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a</m:t>
            </m:r>
          </m:sup>
        </m:sSubSup>
      </m:oMath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cat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a</m:t>
            </m:r>
          </m:sup>
        </m:sSubSup>
      </m:oMath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determined </w:t>
      </w:r>
      <w:r w:rsidR="009256AC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thermodynamic activities instead of concentrations in order to be independent of solvent effects</w:t>
      </w:r>
      <w:r w:rsidR="00D53E0E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requires activity coefficients:</w:t>
      </w:r>
      <w:r w:rsidR="00537FFD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M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a</m:t>
            </m:r>
          </m:sup>
        </m:sSubSup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>=</m:t>
        </m:r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M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obs</m:t>
            </m:r>
          </m:sup>
        </m:sSubSup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>∙</m:t>
        </m:r>
        <m:sSub>
          <m:sSub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γ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substrate</m:t>
            </m:r>
          </m:sub>
        </m:sSub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 xml:space="preserve">  </m:t>
        </m:r>
        <m:r>
          <m:rPr>
            <m:sty m:val="p"/>
          </m:rP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>and</m:t>
        </m:r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 xml:space="preserve">   </m:t>
        </m:r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cat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a</m:t>
            </m:r>
          </m:sup>
        </m:sSubSup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>=</m:t>
        </m:r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cat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obs</m:t>
            </m:r>
          </m:sup>
        </m:sSubSup>
        <m:r>
          <w:rPr>
            <w:rFonts w:ascii="Cambria Math" w:eastAsia="MS PGothic" w:hAnsi="Cambria Math" w:cs="Arial"/>
            <w:color w:val="000000"/>
            <w:sz w:val="22"/>
            <w:szCs w:val="22"/>
            <w:lang w:val="en-US"/>
          </w:rPr>
          <m:t>∙</m:t>
        </m:r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γ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enzyme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537FFD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AAA2EA8" w14:textId="5A435320" w:rsidR="003233DB" w:rsidRDefault="00D92827" w:rsidP="003233D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substrate’s activity coefficient </w:t>
      </w:r>
      <m:oMath>
        <m:sSub>
          <m:sSub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γ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s</m:t>
            </m:r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ubstrate</m:t>
            </m:r>
          </m:sub>
        </m:sSub>
      </m:oMath>
      <w:r w:rsidR="00D53E0E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the enzyme’s activity coefficient </w:t>
      </w:r>
      <m:oMath>
        <m:sSubSup>
          <m:sSubSupPr>
            <m:ctrlPr>
              <w:rPr>
                <w:rFonts w:ascii="Cambria Math" w:eastAsia="MS PGothic" w:hAnsi="Cambria Math" w:cs="Arial"/>
                <w:i/>
                <w:color w:val="000000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γ</m:t>
            </m:r>
          </m:e>
          <m:sub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enzyme</m:t>
            </m:r>
          </m:sub>
          <m:sup>
            <m:r>
              <w:rPr>
                <w:rFonts w:ascii="Cambria Math" w:eastAsia="MS PGothic" w:hAnsi="Cambria Math" w:cs="Arial"/>
                <w:color w:val="000000"/>
                <w:sz w:val="22"/>
                <w:szCs w:val="22"/>
                <w:lang w:val="en-US"/>
              </w:rPr>
              <m:t>*</m:t>
            </m:r>
          </m:sup>
        </m:sSubSup>
      </m:oMath>
      <w:r w:rsidR="00D53E0E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obtained by 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PC-SAFT</w:t>
      </w:r>
      <w:r w:rsidR="00D53E0E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</w:t>
      </w:r>
      <w:r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account for molecular interactions that are expected to determine co-solvent effects on reaction kinetics. </w:t>
      </w:r>
      <w:r w:rsidR="002436E8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kinetic constants </w:t>
      </w:r>
      <w:r w:rsidR="00537FFD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2436E8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only in the neat </w:t>
      </w:r>
      <w:r w:rsidR="00537FFD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cosolvent-free </w:t>
      </w:r>
      <w:r w:rsidR="002436E8" w:rsidRPr="00A11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 while PC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-SAFT </w:t>
      </w:r>
      <w:r w:rsidR="00537F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then 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 to pre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  <w:t>dict the kinetic constants in a reactive system of different composition</w:t>
      </w:r>
      <w:r w:rsidR="00FC4A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in different solvents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Applying the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exponential 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pressure dependence of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2A5F"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cat</m:t>
            </m:r>
          </m:sub>
        </m:sSub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additionally allow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predictin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pressure influence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reaction kinetics</w:t>
      </w:r>
      <w:r w:rsidR="00EA2A5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DCCAA10" w14:textId="77777777" w:rsidR="00704BDF" w:rsidRPr="008D0BEB" w:rsidRDefault="00704BDF" w:rsidP="003233DB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FA50926" w14:textId="429339C8" w:rsidR="001C7AD9" w:rsidRPr="00CD4FB1" w:rsidRDefault="00B762C5" w:rsidP="00B762C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results showed 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positive influence of high pressure on </w:t>
      </w:r>
      <w:r w:rsidR="00DC70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kinetics.</w:t>
      </w:r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increasing pressure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2000 bar</w:t>
      </w:r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found to </w:t>
      </w:r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decrease indicating a higher affinity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the </w:t>
      </w:r>
      <w:r w:rsid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Furthermore,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cat</m:t>
            </m:r>
          </m:sub>
        </m:sSub>
      </m:oMath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1C7A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increasing pressure indicating a faster product formation.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contrast</w:t>
      </w:r>
      <w:r w:rsidR="000203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</w:t>
      </w:r>
      <w:r w:rsidR="00A014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solvents 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investigation (0.5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 kg</w:t>
      </w:r>
      <w:r w:rsidR="00905238" w:rsidRPr="0090523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TMAO, 1 mol kg</w:t>
      </w:r>
      <w:r w:rsidR="00905238" w:rsidRPr="0090523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urea and 4.2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 kg</w:t>
      </w:r>
      <w:r w:rsidR="00905238" w:rsidRPr="0090523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DMSO) ha</w:t>
      </w:r>
      <w:r w:rsidR="008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negative effect on reaction kinetics (see Fig</w:t>
      </w:r>
      <w:r w:rsidR="002436E8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>ure 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1). These effects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rather small for TMAO and urea by only slightly increasing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de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creasing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cat</m:t>
            </m:r>
          </m:sub>
        </m:sSub>
      </m:oMath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DMSO strongly </w:t>
      </w:r>
      <w:r w:rsidR="00925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increased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indicating 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weaker</w:t>
      </w:r>
      <w:r w:rsidR="00A014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affinity of the </w:t>
      </w:r>
      <w:r w:rsid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</w:t>
      </w:r>
      <w:r w:rsidR="00A014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towards the </w:t>
      </w:r>
      <w:r w:rsid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E3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cat</m:t>
            </m:r>
          </m:sub>
        </m:sSub>
      </m:oMath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CD4F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 considerably decreased by DMSO</w:t>
      </w:r>
      <w:r w:rsidR="008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95CA868" w14:textId="77777777" w:rsidR="00704BDF" w:rsidRPr="00DE0019" w:rsidRDefault="00A0473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hAnsiTheme="minorHAnsi"/>
        </w:rPr>
        <w:object w:dxaOrig="4935" w:dyaOrig="3426" w14:anchorId="6028F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125.85pt" o:ole="">
            <v:imagedata r:id="rId11" o:title=""/>
          </v:shape>
          <o:OLEObject Type="Embed" ProgID="Origin50.Graph" ShapeID="_x0000_i1025" DrawAspect="Content" ObjectID="_1621340609" r:id="rId12"/>
        </w:object>
      </w:r>
      <w:r w:rsidR="000203D2">
        <w:rPr>
          <w:rFonts w:asciiTheme="minorHAnsi" w:hAnsiTheme="minorHAnsi"/>
        </w:rPr>
        <w:object w:dxaOrig="4935" w:dyaOrig="3426" w14:anchorId="1EE0E021">
          <v:shape id="_x0000_i1026" type="#_x0000_t75" style="width:180.3pt;height:125.85pt;mso-position-vertical:absolute" o:ole="">
            <v:imagedata r:id="rId13" o:title=""/>
          </v:shape>
          <o:OLEObject Type="Embed" ProgID="Origin50.Graph" ShapeID="_x0000_i1026" DrawAspect="Content" ObjectID="_1621340610" r:id="rId14"/>
        </w:object>
      </w:r>
    </w:p>
    <w:p w14:paraId="02B58111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0F5F6E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0F5F6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Left: Experimentally determined 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lang w:val="en-US"/>
        </w:rPr>
        <w:t>K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M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(black) and PC-SAFT predicted 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lang w:val="en-US"/>
        </w:rPr>
        <w:t>K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M</w:t>
      </w:r>
      <w:r w:rsidR="00A04736">
        <w:rPr>
          <w:rFonts w:asciiTheme="minorHAnsi" w:eastAsia="MS PGothic" w:hAnsiTheme="minorHAnsi"/>
          <w:color w:val="000000"/>
          <w:szCs w:val="18"/>
          <w:lang w:val="en-US"/>
        </w:rPr>
        <w:t xml:space="preserve"> (grey) in mmol 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>kg</w:t>
      </w:r>
      <w:r w:rsidR="00A04736" w:rsidRPr="000F5F6E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="00525FE8">
        <w:rPr>
          <w:rFonts w:asciiTheme="minorHAnsi" w:eastAsia="MS PGothic" w:hAnsiTheme="minorHAnsi"/>
          <w:color w:val="000000"/>
          <w:szCs w:val="18"/>
          <w:lang w:val="en-US"/>
        </w:rPr>
        <w:t>,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25FE8">
        <w:rPr>
          <w:rFonts w:asciiTheme="minorHAnsi" w:eastAsia="MS PGothic" w:hAnsiTheme="minorHAnsi"/>
          <w:color w:val="000000"/>
          <w:szCs w:val="18"/>
          <w:lang w:val="en-US"/>
        </w:rPr>
        <w:t>r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ight: Experimentally determined </w:t>
      </w:r>
      <w:proofErr w:type="spellStart"/>
      <w:r w:rsidR="000F5F6E" w:rsidRPr="000F5F6E">
        <w:rPr>
          <w:rFonts w:asciiTheme="minorHAnsi" w:eastAsia="MS PGothic" w:hAnsiTheme="minorHAnsi"/>
          <w:i/>
          <w:color w:val="000000"/>
          <w:szCs w:val="18"/>
          <w:lang w:val="en-US"/>
        </w:rPr>
        <w:t>k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cat</w:t>
      </w:r>
      <w:proofErr w:type="spellEnd"/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(black) and PC-SAFT predicted </w:t>
      </w:r>
      <w:proofErr w:type="spellStart"/>
      <w:r w:rsidR="000F5F6E" w:rsidRPr="000F5F6E">
        <w:rPr>
          <w:rFonts w:asciiTheme="minorHAnsi" w:eastAsia="MS PGothic" w:hAnsiTheme="minorHAnsi"/>
          <w:i/>
          <w:color w:val="000000"/>
          <w:szCs w:val="18"/>
          <w:lang w:val="en-US"/>
        </w:rPr>
        <w:t>k</w:t>
      </w:r>
      <w:r w:rsidR="000F5F6E" w:rsidRPr="000F5F6E">
        <w:rPr>
          <w:rFonts w:asciiTheme="minorHAnsi" w:eastAsia="MS PGothic" w:hAnsiTheme="minorHAnsi"/>
          <w:i/>
          <w:color w:val="000000"/>
          <w:szCs w:val="18"/>
          <w:vertAlign w:val="subscript"/>
          <w:lang w:val="en-US"/>
        </w:rPr>
        <w:t>cat</w:t>
      </w:r>
      <w:proofErr w:type="spellEnd"/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(grey) in s</w:t>
      </w:r>
      <w:r w:rsidR="000F5F6E" w:rsidRPr="000F5F6E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-1</w:t>
      </w:r>
      <w:r w:rsidR="000F5F6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25FE8">
        <w:rPr>
          <w:rFonts w:asciiTheme="minorHAnsi" w:eastAsia="MS PGothic" w:hAnsiTheme="minorHAnsi"/>
          <w:color w:val="000000"/>
          <w:szCs w:val="18"/>
          <w:lang w:val="en-US"/>
        </w:rPr>
        <w:t xml:space="preserve">plotted against co-solvent </w:t>
      </w:r>
      <w:r w:rsidR="00525FE8" w:rsidRPr="001A1054">
        <w:rPr>
          <w:rFonts w:asciiTheme="minorHAnsi" w:eastAsia="MS PGothic" w:hAnsiTheme="minorHAnsi"/>
          <w:color w:val="000000"/>
          <w:szCs w:val="18"/>
          <w:lang w:val="en-US"/>
        </w:rPr>
        <w:t xml:space="preserve">at </w:t>
      </w:r>
      <w:r w:rsidR="001A1054" w:rsidRPr="001A1054">
        <w:rPr>
          <w:rFonts w:asciiTheme="minorHAnsi" w:eastAsia="MS PGothic" w:hAnsiTheme="minorHAnsi"/>
          <w:color w:val="000000"/>
          <w:szCs w:val="18"/>
          <w:lang w:val="en-US"/>
        </w:rPr>
        <w:t>500</w:t>
      </w:r>
      <w:r w:rsidR="00525FE8" w:rsidRPr="001A1054">
        <w:rPr>
          <w:rFonts w:asciiTheme="minorHAnsi" w:eastAsia="MS PGothic" w:hAnsiTheme="minorHAnsi"/>
          <w:color w:val="000000"/>
          <w:szCs w:val="18"/>
          <w:lang w:val="en-US"/>
        </w:rPr>
        <w:t xml:space="preserve"> bar and</w:t>
      </w:r>
      <w:r w:rsidR="00525FE8">
        <w:rPr>
          <w:rFonts w:asciiTheme="minorHAnsi" w:eastAsia="MS PGothic" w:hAnsiTheme="minorHAnsi"/>
          <w:color w:val="000000"/>
          <w:szCs w:val="18"/>
          <w:lang w:val="en-US"/>
        </w:rPr>
        <w:t xml:space="preserve"> 20 °C</w:t>
      </w:r>
      <w:r w:rsidRPr="000F5F6E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08251024" w14:textId="43AED8A0" w:rsidR="00997DF9" w:rsidRDefault="000203D2" w:rsidP="00CD4F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PC-SAFT predictions of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 and co-solvent effects on reaction kinetics were per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formed. For these predictions, the combined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and co-solvent effects on reaction kinetics were of special interest (see Figure 1). 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PC-SAFT predicted Michaelis constants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in almost quantitative agreement</w:t>
      </w:r>
      <w:r w:rsidR="00944E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experimental data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all co-solvents as well as for all ob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served pressures. The fact that PC-SAFT successfully predicts the </w:t>
      </w:r>
      <w:r w:rsidR="008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combined 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co-solvent and </w:t>
      </w:r>
      <w:r w:rsidR="00905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effects on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M</m:t>
            </m:r>
          </m:sub>
        </m:sSub>
      </m:oMath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proof that the obs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erved effects are dominated by 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molecular 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tions.</w:t>
      </w:r>
      <w:r w:rsidR="00D80C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Additionally, even though the</w:t>
      </w:r>
      <w:r w:rsidR="0080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combined</w:t>
      </w:r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co-solvent and pressure effects on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cat</m:t>
            </m:r>
          </m:sub>
        </m:sSub>
      </m:oMath>
      <w:r w:rsidR="00997D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small, PC-SAFT </w:t>
      </w:r>
      <w:r w:rsidR="00D80C8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predictions agree very well with experimental data.</w:t>
      </w:r>
    </w:p>
    <w:p w14:paraId="10E8F9F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4C95A3F" w14:textId="77777777" w:rsidR="00D81AE2" w:rsidRDefault="005B560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Applying a thermodynamic activity-based approach allows predicting the combined high-pressure and co-solvent effects on </w:t>
      </w:r>
      <w:r w:rsidR="00DC708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 of 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investigated 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peptide hydrolysis.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redictions and ex</w:t>
      </w:r>
      <w:r w:rsidR="005523DE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perimental results were in very good agreement. That is, molecul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 interactions (sub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softHyphen/>
        <w:t>strate/ co</w:t>
      </w:r>
      <w:r w:rsidR="008436EC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solvent) are ma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inly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responsible for the experimentally</w:t>
      </w:r>
      <w:r w:rsidR="00135BC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observed effects of high pressure and co</w:t>
      </w:r>
      <w:r w:rsidR="005523DE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 on reaction kinetics.</w:t>
      </w:r>
    </w:p>
    <w:p w14:paraId="4B980D52" w14:textId="77777777" w:rsidR="00704BDF" w:rsidRPr="008D0BEB" w:rsidRDefault="00D81AE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C6170BE" w14:textId="5B0B28F0" w:rsidR="00532771" w:rsidRDefault="0053277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Wangler, G. Sadowski, </w:t>
      </w:r>
      <w:r>
        <w:rPr>
          <w:rFonts w:asciiTheme="minorHAnsi" w:hAnsiTheme="minorHAnsi"/>
          <w:color w:val="000000"/>
        </w:rPr>
        <w:t xml:space="preserve">Phys. </w:t>
      </w:r>
      <w:r w:rsidRPr="008D0BEB">
        <w:rPr>
          <w:rFonts w:asciiTheme="minorHAnsi" w:hAnsiTheme="minorHAnsi"/>
          <w:color w:val="000000"/>
        </w:rPr>
        <w:t xml:space="preserve">Chem. </w:t>
      </w:r>
      <w:r>
        <w:rPr>
          <w:rFonts w:asciiTheme="minorHAnsi" w:hAnsiTheme="minorHAnsi"/>
          <w:color w:val="000000"/>
        </w:rPr>
        <w:t>Chem.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Phys</w:t>
      </w:r>
      <w:r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20</w:t>
      </w:r>
      <w:r w:rsidRPr="008D0BEB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8</w:t>
      </w:r>
      <w:r w:rsidRPr="008D0BEB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11317</w:t>
      </w:r>
      <w:r>
        <w:rPr>
          <w:rFonts w:asciiTheme="minorHAnsi" w:hAnsiTheme="minorHAnsi"/>
          <w:color w:val="000000"/>
        </w:rPr>
        <w:t>-</w:t>
      </w:r>
      <w:r>
        <w:rPr>
          <w:rFonts w:asciiTheme="minorHAnsi" w:hAnsiTheme="minorHAnsi"/>
          <w:color w:val="000000"/>
        </w:rPr>
        <w:t>11326</w:t>
      </w:r>
      <w:r w:rsidRPr="008D0BEB">
        <w:rPr>
          <w:rFonts w:asciiTheme="minorHAnsi" w:hAnsiTheme="minorHAnsi"/>
          <w:color w:val="000000"/>
        </w:rPr>
        <w:t>.</w:t>
      </w:r>
    </w:p>
    <w:p w14:paraId="2343F0A3" w14:textId="77777777" w:rsidR="00704BDF" w:rsidRPr="008D0BEB" w:rsidRDefault="00B762C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T.Q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Loung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R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Winter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Phys. </w:t>
      </w:r>
      <w:r w:rsidR="00704BDF" w:rsidRPr="008D0BEB">
        <w:rPr>
          <w:rFonts w:asciiTheme="minorHAnsi" w:hAnsiTheme="minorHAnsi"/>
          <w:color w:val="000000"/>
        </w:rPr>
        <w:t xml:space="preserve">Chem. </w:t>
      </w:r>
      <w:r w:rsidR="00F72951">
        <w:rPr>
          <w:rFonts w:asciiTheme="minorHAnsi" w:hAnsiTheme="minorHAnsi"/>
          <w:color w:val="000000"/>
        </w:rPr>
        <w:t>Ch</w:t>
      </w:r>
      <w:r>
        <w:rPr>
          <w:rFonts w:asciiTheme="minorHAnsi" w:hAnsiTheme="minorHAnsi"/>
          <w:color w:val="000000"/>
        </w:rPr>
        <w:t>em.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Phys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17</w:t>
      </w:r>
      <w:r w:rsidR="00704BDF" w:rsidRPr="008D0BEB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5</w:t>
      </w:r>
      <w:r w:rsidR="00704BDF" w:rsidRPr="008D0BEB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23273-23278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00735BA2" w14:textId="77777777" w:rsidR="00704BDF" w:rsidRPr="008D0BEB" w:rsidRDefault="00B762C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M.J.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Eisenmenger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</w:t>
      </w:r>
      <w:r w:rsidR="00704BDF" w:rsidRPr="008D0BEB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>I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 xml:space="preserve">Reyes De </w:t>
      </w:r>
      <w:proofErr w:type="spellStart"/>
      <w:r>
        <w:rPr>
          <w:rFonts w:asciiTheme="minorHAnsi" w:hAnsiTheme="minorHAnsi"/>
          <w:color w:val="000000"/>
        </w:rPr>
        <w:t>Corcuera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Enzyme </w:t>
      </w:r>
      <w:proofErr w:type="spellStart"/>
      <w:r>
        <w:rPr>
          <w:rFonts w:asciiTheme="minorHAnsi" w:hAnsiTheme="minorHAnsi"/>
          <w:color w:val="000000"/>
        </w:rPr>
        <w:t>Microb</w:t>
      </w:r>
      <w:proofErr w:type="spellEnd"/>
      <w:r>
        <w:rPr>
          <w:rFonts w:asciiTheme="minorHAnsi" w:hAnsiTheme="minorHAnsi"/>
          <w:color w:val="000000"/>
        </w:rPr>
        <w:t>. Technol. 45 (2009) 331-347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648F1517" w14:textId="77777777" w:rsidR="00704BDF" w:rsidRPr="00CF6785" w:rsidRDefault="00B762C5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J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Gross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G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Sadowski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Ind. Eng. Chem. Res. 40 (2001) 1244-1260</w:t>
      </w:r>
      <w:r w:rsidR="00704BDF" w:rsidRPr="00DE0019">
        <w:rPr>
          <w:rFonts w:asciiTheme="minorHAnsi" w:hAnsiTheme="minorHAnsi"/>
          <w:color w:val="000000"/>
        </w:rPr>
        <w:t>.</w:t>
      </w:r>
    </w:p>
    <w:sectPr w:rsidR="00704BDF" w:rsidRPr="00CF678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00BD" w14:textId="77777777" w:rsidR="00455B5C" w:rsidRDefault="00455B5C" w:rsidP="004F5E36">
      <w:r>
        <w:separator/>
      </w:r>
    </w:p>
  </w:endnote>
  <w:endnote w:type="continuationSeparator" w:id="0">
    <w:p w14:paraId="021AE885" w14:textId="77777777" w:rsidR="00455B5C" w:rsidRDefault="00455B5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BECDB" w14:textId="77777777" w:rsidR="00455B5C" w:rsidRDefault="00455B5C" w:rsidP="004F5E36">
      <w:r>
        <w:separator/>
      </w:r>
    </w:p>
  </w:footnote>
  <w:footnote w:type="continuationSeparator" w:id="0">
    <w:p w14:paraId="55A7243F" w14:textId="77777777" w:rsidR="00455B5C" w:rsidRDefault="00455B5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1C73" w14:textId="77777777"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2B8B04" wp14:editId="7180BFF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97AA78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3504FD2" wp14:editId="6B13326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D68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80C69F" wp14:editId="1950A6B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767C15A" w14:textId="77777777" w:rsidR="00704BDF" w:rsidRDefault="00704BDF">
    <w:pPr>
      <w:pStyle w:val="Kopfzeile"/>
    </w:pPr>
  </w:p>
  <w:p w14:paraId="2271580A" w14:textId="77777777"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7A17A" wp14:editId="139AA29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CF3FB90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5B6E"/>
    <w:rsid w:val="000203D2"/>
    <w:rsid w:val="0003148D"/>
    <w:rsid w:val="00062A9A"/>
    <w:rsid w:val="000A03B2"/>
    <w:rsid w:val="000D34BE"/>
    <w:rsid w:val="000E36F1"/>
    <w:rsid w:val="000E3A73"/>
    <w:rsid w:val="000E3D7D"/>
    <w:rsid w:val="000E414A"/>
    <w:rsid w:val="000F5F6E"/>
    <w:rsid w:val="0013121F"/>
    <w:rsid w:val="00134DE4"/>
    <w:rsid w:val="00135BCB"/>
    <w:rsid w:val="00150E59"/>
    <w:rsid w:val="00184AD6"/>
    <w:rsid w:val="001A1054"/>
    <w:rsid w:val="001B4B01"/>
    <w:rsid w:val="001B65C1"/>
    <w:rsid w:val="001C684B"/>
    <w:rsid w:val="001C7AD9"/>
    <w:rsid w:val="001D53FC"/>
    <w:rsid w:val="001F2EC7"/>
    <w:rsid w:val="001F7DA8"/>
    <w:rsid w:val="002065DB"/>
    <w:rsid w:val="0022192F"/>
    <w:rsid w:val="002436E8"/>
    <w:rsid w:val="002447EF"/>
    <w:rsid w:val="00251550"/>
    <w:rsid w:val="0027221A"/>
    <w:rsid w:val="00275B61"/>
    <w:rsid w:val="00296C4F"/>
    <w:rsid w:val="002D1F12"/>
    <w:rsid w:val="002D7C8F"/>
    <w:rsid w:val="003009B7"/>
    <w:rsid w:val="0030469C"/>
    <w:rsid w:val="003233DB"/>
    <w:rsid w:val="003307B6"/>
    <w:rsid w:val="00365EF0"/>
    <w:rsid w:val="003723D4"/>
    <w:rsid w:val="003A7D1C"/>
    <w:rsid w:val="00455B5C"/>
    <w:rsid w:val="0046164A"/>
    <w:rsid w:val="00462DCD"/>
    <w:rsid w:val="004D1162"/>
    <w:rsid w:val="004E4DD6"/>
    <w:rsid w:val="004F5E36"/>
    <w:rsid w:val="005119A5"/>
    <w:rsid w:val="00525FE8"/>
    <w:rsid w:val="005278B7"/>
    <w:rsid w:val="00532771"/>
    <w:rsid w:val="005346C8"/>
    <w:rsid w:val="00537FFD"/>
    <w:rsid w:val="005523DE"/>
    <w:rsid w:val="00594E9F"/>
    <w:rsid w:val="005A695E"/>
    <w:rsid w:val="005B5602"/>
    <w:rsid w:val="005B61E6"/>
    <w:rsid w:val="005C77E1"/>
    <w:rsid w:val="005D6A2F"/>
    <w:rsid w:val="005E1A82"/>
    <w:rsid w:val="005E3C54"/>
    <w:rsid w:val="005F0A28"/>
    <w:rsid w:val="005F0E5E"/>
    <w:rsid w:val="005F5AC7"/>
    <w:rsid w:val="00620DEE"/>
    <w:rsid w:val="00625639"/>
    <w:rsid w:val="0064184D"/>
    <w:rsid w:val="0064365C"/>
    <w:rsid w:val="00660E3E"/>
    <w:rsid w:val="00662E74"/>
    <w:rsid w:val="006A58D2"/>
    <w:rsid w:val="006C5579"/>
    <w:rsid w:val="00704BDF"/>
    <w:rsid w:val="00736B13"/>
    <w:rsid w:val="007447F3"/>
    <w:rsid w:val="00746672"/>
    <w:rsid w:val="007661C8"/>
    <w:rsid w:val="007D52CD"/>
    <w:rsid w:val="00805AF5"/>
    <w:rsid w:val="00813288"/>
    <w:rsid w:val="008168FC"/>
    <w:rsid w:val="00816E4A"/>
    <w:rsid w:val="008436EC"/>
    <w:rsid w:val="008479A2"/>
    <w:rsid w:val="0087637F"/>
    <w:rsid w:val="008A1512"/>
    <w:rsid w:val="008B0E85"/>
    <w:rsid w:val="008D0BEB"/>
    <w:rsid w:val="008E566E"/>
    <w:rsid w:val="00901EB6"/>
    <w:rsid w:val="00905238"/>
    <w:rsid w:val="009256AC"/>
    <w:rsid w:val="00942485"/>
    <w:rsid w:val="00944EF4"/>
    <w:rsid w:val="009450CE"/>
    <w:rsid w:val="0095164B"/>
    <w:rsid w:val="00955698"/>
    <w:rsid w:val="00977980"/>
    <w:rsid w:val="00996483"/>
    <w:rsid w:val="00997DF9"/>
    <w:rsid w:val="009E788A"/>
    <w:rsid w:val="00A01497"/>
    <w:rsid w:val="00A04736"/>
    <w:rsid w:val="00A11082"/>
    <w:rsid w:val="00A14244"/>
    <w:rsid w:val="00A1763D"/>
    <w:rsid w:val="00A17CEC"/>
    <w:rsid w:val="00A27EF0"/>
    <w:rsid w:val="00A76EFC"/>
    <w:rsid w:val="00A81B5A"/>
    <w:rsid w:val="00A9626B"/>
    <w:rsid w:val="00A97F29"/>
    <w:rsid w:val="00AB0964"/>
    <w:rsid w:val="00AC499F"/>
    <w:rsid w:val="00AE377D"/>
    <w:rsid w:val="00B07EB7"/>
    <w:rsid w:val="00B61DBF"/>
    <w:rsid w:val="00B762C5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2513"/>
    <w:rsid w:val="00CA5A9C"/>
    <w:rsid w:val="00CD4FB1"/>
    <w:rsid w:val="00CD5FE2"/>
    <w:rsid w:val="00CE25AD"/>
    <w:rsid w:val="00CF6785"/>
    <w:rsid w:val="00D02B4C"/>
    <w:rsid w:val="00D0649F"/>
    <w:rsid w:val="00D521A8"/>
    <w:rsid w:val="00D53E0E"/>
    <w:rsid w:val="00D80C8C"/>
    <w:rsid w:val="00D81AE2"/>
    <w:rsid w:val="00D84576"/>
    <w:rsid w:val="00D92827"/>
    <w:rsid w:val="00D95CD4"/>
    <w:rsid w:val="00DC1F9E"/>
    <w:rsid w:val="00DC7085"/>
    <w:rsid w:val="00DE0019"/>
    <w:rsid w:val="00DE264A"/>
    <w:rsid w:val="00E041E7"/>
    <w:rsid w:val="00E13878"/>
    <w:rsid w:val="00E23CA1"/>
    <w:rsid w:val="00E409A8"/>
    <w:rsid w:val="00E7209D"/>
    <w:rsid w:val="00EA2A5F"/>
    <w:rsid w:val="00EA50E1"/>
    <w:rsid w:val="00EE0131"/>
    <w:rsid w:val="00F13FA5"/>
    <w:rsid w:val="00F3013E"/>
    <w:rsid w:val="00F30C64"/>
    <w:rsid w:val="00F72951"/>
    <w:rsid w:val="00FB730C"/>
    <w:rsid w:val="00FC2695"/>
    <w:rsid w:val="00FC3E03"/>
    <w:rsid w:val="00FC4ABE"/>
    <w:rsid w:val="00FD3C35"/>
    <w:rsid w:val="00FE531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AD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256AC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D52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256AC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D52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6D59-EC59-447F-8CA8-51130759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BCI</cp:lastModifiedBy>
  <cp:revision>4</cp:revision>
  <cp:lastPrinted>2019-01-08T07:50:00Z</cp:lastPrinted>
  <dcterms:created xsi:type="dcterms:W3CDTF">2019-06-06T10:27:00Z</dcterms:created>
  <dcterms:modified xsi:type="dcterms:W3CDTF">2019-06-06T13:37:00Z</dcterms:modified>
</cp:coreProperties>
</file>