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632889" w:rsidRDefault="00FA4E34" w:rsidP="00FA4E3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Life Cycle Assessment</w:t>
      </w:r>
      <w:r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  <w:t xml:space="preserve"> of the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</w:t>
      </w:r>
      <w:r w:rsidR="0012650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eplacement of hexane by ethanol </w:t>
      </w:r>
      <w:r w:rsidR="00A00DBF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12650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the soybean oil </w:t>
      </w:r>
      <w:r w:rsidR="00A00DBF">
        <w:rPr>
          <w:rFonts w:asciiTheme="minorHAnsi" w:eastAsia="MS PGothic" w:hAnsiTheme="minorHAnsi"/>
          <w:b/>
          <w:bCs/>
          <w:sz w:val="28"/>
          <w:szCs w:val="28"/>
          <w:lang w:val="en-US"/>
        </w:rPr>
        <w:t>e</w:t>
      </w:r>
      <w:r w:rsidR="0012650A">
        <w:rPr>
          <w:rFonts w:asciiTheme="minorHAnsi" w:eastAsia="MS PGothic" w:hAnsiTheme="minorHAnsi"/>
          <w:b/>
          <w:bCs/>
          <w:sz w:val="28"/>
          <w:szCs w:val="28"/>
          <w:lang w:val="en-US"/>
        </w:rPr>
        <w:t>xtraction Process</w:t>
      </w:r>
    </w:p>
    <w:p w:rsidR="0012650A" w:rsidRPr="008E401A" w:rsidRDefault="0012650A" w:rsidP="0012650A">
      <w:pPr>
        <w:rPr>
          <w:rFonts w:asciiTheme="minorHAnsi" w:eastAsia="Symbol" w:hAnsiTheme="minorHAnsi"/>
          <w:sz w:val="24"/>
          <w:szCs w:val="24"/>
          <w:vertAlign w:val="superscript"/>
          <w:lang w:val="pt-BR"/>
        </w:rPr>
      </w:pPr>
      <w:r w:rsidRPr="008E401A">
        <w:rPr>
          <w:rFonts w:asciiTheme="minorHAnsi" w:eastAsia="Symbol" w:hAnsiTheme="minorHAnsi"/>
          <w:sz w:val="24"/>
          <w:szCs w:val="24"/>
          <w:lang w:val="pt-BR"/>
        </w:rPr>
        <w:t>Simone Miyoshi</w:t>
      </w:r>
      <w:r w:rsidR="002C3ED1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2</w:t>
      </w:r>
      <w:r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,*</w:t>
      </w:r>
      <w:r w:rsidR="002C3ED1" w:rsidRPr="008E401A">
        <w:rPr>
          <w:rFonts w:asciiTheme="minorHAnsi" w:eastAsia="Symbol" w:hAnsiTheme="minorHAnsi"/>
          <w:sz w:val="24"/>
          <w:szCs w:val="24"/>
          <w:lang w:val="pt-BR"/>
        </w:rPr>
        <w:t>,</w:t>
      </w:r>
      <w:r w:rsidRPr="008E401A">
        <w:rPr>
          <w:rFonts w:asciiTheme="minorHAnsi" w:eastAsia="Symbol" w:hAnsiTheme="minorHAnsi"/>
          <w:sz w:val="24"/>
          <w:szCs w:val="24"/>
          <w:lang w:val="pt-BR"/>
        </w:rPr>
        <w:t xml:space="preserve"> Erich Potrich</w:t>
      </w:r>
      <w:r w:rsidR="002C3ED1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1</w:t>
      </w:r>
      <w:r w:rsidRPr="008E401A">
        <w:rPr>
          <w:rFonts w:asciiTheme="minorHAnsi" w:eastAsia="Symbol" w:hAnsiTheme="minorHAnsi"/>
          <w:sz w:val="24"/>
          <w:szCs w:val="24"/>
          <w:lang w:val="pt-BR"/>
        </w:rPr>
        <w:t>, Felipe Furlan</w:t>
      </w:r>
      <w:r w:rsidR="002C3ED1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2</w:t>
      </w:r>
      <w:r w:rsidRPr="008E401A">
        <w:rPr>
          <w:rFonts w:asciiTheme="minorHAnsi" w:eastAsia="Symbol" w:hAnsiTheme="minorHAnsi"/>
          <w:sz w:val="24"/>
          <w:szCs w:val="24"/>
          <w:lang w:val="pt-BR"/>
        </w:rPr>
        <w:t xml:space="preserve">; </w:t>
      </w:r>
      <w:r w:rsidR="001F7EAE">
        <w:rPr>
          <w:rFonts w:asciiTheme="minorHAnsi" w:eastAsia="Symbol" w:hAnsiTheme="minorHAnsi"/>
          <w:sz w:val="24"/>
          <w:szCs w:val="24"/>
          <w:lang w:val="pt-BR"/>
        </w:rPr>
        <w:t>Raquel Giordano</w:t>
      </w:r>
      <w:r w:rsidR="001F7EAE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1,2</w:t>
      </w:r>
      <w:r w:rsidR="001F7EAE">
        <w:rPr>
          <w:rFonts w:asciiTheme="minorHAnsi" w:eastAsia="Symbol" w:hAnsiTheme="minorHAnsi"/>
          <w:sz w:val="24"/>
          <w:szCs w:val="24"/>
          <w:lang w:val="pt-BR"/>
        </w:rPr>
        <w:t xml:space="preserve">, </w:t>
      </w:r>
      <w:r w:rsidR="001F7EAE" w:rsidRPr="008E401A">
        <w:rPr>
          <w:rFonts w:asciiTheme="minorHAnsi" w:eastAsia="Symbol" w:hAnsiTheme="minorHAnsi"/>
          <w:sz w:val="24"/>
          <w:szCs w:val="24"/>
          <w:lang w:val="pt-BR"/>
        </w:rPr>
        <w:t>Ant</w:t>
      </w:r>
      <w:r w:rsidR="001F7EAE">
        <w:rPr>
          <w:rFonts w:asciiTheme="minorHAnsi" w:eastAsia="Symbol" w:hAnsiTheme="minorHAnsi"/>
          <w:sz w:val="24"/>
          <w:szCs w:val="24"/>
          <w:lang w:val="pt-BR"/>
        </w:rPr>
        <w:t>o</w:t>
      </w:r>
      <w:r w:rsidR="001F7EAE" w:rsidRPr="008E401A">
        <w:rPr>
          <w:rFonts w:asciiTheme="minorHAnsi" w:eastAsia="Symbol" w:hAnsiTheme="minorHAnsi"/>
          <w:sz w:val="24"/>
          <w:szCs w:val="24"/>
          <w:lang w:val="pt-BR"/>
        </w:rPr>
        <w:t>nio</w:t>
      </w:r>
      <w:r w:rsidRPr="008E401A">
        <w:rPr>
          <w:rFonts w:asciiTheme="minorHAnsi" w:eastAsia="Symbol" w:hAnsiTheme="minorHAnsi"/>
          <w:sz w:val="24"/>
          <w:szCs w:val="24"/>
          <w:lang w:val="pt-BR"/>
        </w:rPr>
        <w:t xml:space="preserve"> Cruz</w:t>
      </w:r>
      <w:r w:rsidR="002C3ED1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1</w:t>
      </w:r>
      <w:r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,</w:t>
      </w:r>
      <w:r w:rsidR="002C3ED1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2</w:t>
      </w:r>
      <w:r w:rsidRPr="008E401A">
        <w:rPr>
          <w:rFonts w:asciiTheme="minorHAnsi" w:eastAsia="Symbol" w:hAnsiTheme="minorHAnsi"/>
          <w:sz w:val="24"/>
          <w:szCs w:val="24"/>
          <w:lang w:val="pt-BR"/>
        </w:rPr>
        <w:t>; Roberto Giordano</w:t>
      </w:r>
      <w:r w:rsidR="002C3ED1" w:rsidRPr="008E401A">
        <w:rPr>
          <w:rFonts w:asciiTheme="minorHAnsi" w:eastAsia="Symbol" w:hAnsiTheme="minorHAnsi"/>
          <w:sz w:val="24"/>
          <w:szCs w:val="24"/>
          <w:vertAlign w:val="superscript"/>
          <w:lang w:val="pt-BR"/>
        </w:rPr>
        <w:t>1,2</w:t>
      </w:r>
    </w:p>
    <w:p w:rsidR="00DE0019" w:rsidRPr="002C3ED1" w:rsidRDefault="00DE0019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</w:p>
    <w:p w:rsidR="0012650A" w:rsidRPr="008E401A" w:rsidRDefault="00704BDF" w:rsidP="0012650A">
      <w:pPr>
        <w:rPr>
          <w:rFonts w:asciiTheme="minorHAnsi" w:eastAsia="Symbol" w:hAnsiTheme="minorHAnsi"/>
          <w:i/>
          <w:sz w:val="20"/>
          <w:vertAlign w:val="superscript"/>
          <w:lang w:val="pt-BR"/>
        </w:rPr>
      </w:pPr>
      <w:r w:rsidRPr="008E401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1</w:t>
      </w:r>
      <w:r w:rsidR="0012650A" w:rsidRPr="008E401A">
        <w:rPr>
          <w:rFonts w:asciiTheme="minorHAnsi" w:eastAsia="Symbol" w:hAnsiTheme="minorHAnsi"/>
          <w:i/>
          <w:sz w:val="20"/>
          <w:vertAlign w:val="superscript"/>
          <w:lang w:val="pt-BR"/>
        </w:rPr>
        <w:t xml:space="preserve"> </w:t>
      </w:r>
      <w:r w:rsidR="0012650A" w:rsidRPr="008E401A">
        <w:rPr>
          <w:rFonts w:asciiTheme="minorHAnsi" w:eastAsia="Symbol" w:hAnsiTheme="minorHAnsi"/>
          <w:i/>
          <w:sz w:val="20"/>
          <w:lang w:val="pt-BR"/>
        </w:rPr>
        <w:t>Chemical Engineering Graduate Program, Federal University of São Carlos, UFSCar, Via Washington Luiz, km 235, São Carlos, São Paulo 13565-905, Brazil</w:t>
      </w:r>
      <w:r w:rsidR="008E401A">
        <w:rPr>
          <w:rFonts w:asciiTheme="minorHAnsi" w:eastAsia="Symbol" w:hAnsiTheme="minorHAnsi"/>
          <w:i/>
          <w:sz w:val="20"/>
          <w:lang w:val="pt-BR"/>
        </w:rPr>
        <w:t>.</w:t>
      </w:r>
    </w:p>
    <w:p w:rsidR="0012650A" w:rsidRDefault="0012650A" w:rsidP="0012650A">
      <w:pPr>
        <w:rPr>
          <w:rFonts w:asciiTheme="minorHAnsi" w:eastAsia="Symbol" w:hAnsiTheme="minorHAnsi"/>
          <w:i/>
          <w:sz w:val="20"/>
          <w:lang w:val="pt-BR"/>
        </w:rPr>
      </w:pPr>
      <w:r w:rsidRPr="008E401A">
        <w:rPr>
          <w:rFonts w:asciiTheme="minorHAnsi" w:eastAsia="Symbol" w:hAnsiTheme="minorHAnsi"/>
          <w:i/>
          <w:sz w:val="20"/>
          <w:lang w:val="pt-BR"/>
        </w:rPr>
        <w:t>2 Chemical Engineering Department, Federal University of São Carlos, UFSCar, Via Washington Luiz, km 235, São Carlos, São Paulo 13565-905, Brazil.</w:t>
      </w:r>
    </w:p>
    <w:p w:rsidR="001F7EAE" w:rsidRPr="001F7EAE" w:rsidRDefault="001F7EAE" w:rsidP="0012650A">
      <w:pPr>
        <w:rPr>
          <w:rFonts w:asciiTheme="minorHAnsi" w:eastAsia="Symbol" w:hAnsiTheme="minorHAnsi"/>
          <w:i/>
          <w:sz w:val="20"/>
          <w:lang w:val="pt-BR"/>
        </w:rPr>
      </w:pPr>
    </w:p>
    <w:p w:rsidR="0012650A" w:rsidRPr="008E401A" w:rsidRDefault="0012650A" w:rsidP="0012650A">
      <w:pPr>
        <w:rPr>
          <w:rFonts w:asciiTheme="minorHAnsi" w:hAnsiTheme="minorHAnsi"/>
          <w:sz w:val="20"/>
        </w:rPr>
      </w:pPr>
      <w:r w:rsidRPr="008E401A">
        <w:rPr>
          <w:rFonts w:asciiTheme="minorHAnsi" w:eastAsia="Symbol" w:hAnsiTheme="minorHAnsi"/>
          <w:sz w:val="20"/>
          <w:vertAlign w:val="superscript"/>
          <w:lang w:val="pt-BR"/>
        </w:rPr>
        <w:t>*</w:t>
      </w:r>
      <w:r w:rsidRPr="008E401A">
        <w:rPr>
          <w:rFonts w:asciiTheme="minorHAnsi" w:eastAsia="Symbol" w:hAnsiTheme="minorHAnsi"/>
          <w:sz w:val="20"/>
          <w:lang w:val="pt-BR"/>
        </w:rPr>
        <w:t xml:space="preserve"> Corresponding Author. </w:t>
      </w:r>
      <w:r w:rsidRPr="008E401A">
        <w:rPr>
          <w:rFonts w:asciiTheme="minorHAnsi" w:eastAsia="Symbol" w:hAnsiTheme="minorHAnsi"/>
          <w:sz w:val="20"/>
        </w:rPr>
        <w:t xml:space="preserve">Email: </w:t>
      </w:r>
      <w:hyperlink r:id="rId10" w:tgtFrame="_self">
        <w:r w:rsidRPr="008E401A">
          <w:rPr>
            <w:rStyle w:val="ListLabel23"/>
            <w:rFonts w:asciiTheme="minorHAnsi" w:hAnsiTheme="minorHAnsi"/>
            <w:sz w:val="20"/>
            <w:szCs w:val="20"/>
          </w:rPr>
          <w:t>simone.miyoshi@ufscar.br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255E8" w:rsidRPr="00220109" w:rsidRDefault="00A00DB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9255E8" w:rsidRPr="00220109">
        <w:rPr>
          <w:rFonts w:asciiTheme="minorHAnsi" w:hAnsiTheme="minorHAnsi"/>
        </w:rPr>
        <w:t>ife cycle a</w:t>
      </w:r>
      <w:r w:rsidR="000F6879">
        <w:rPr>
          <w:rFonts w:asciiTheme="minorHAnsi" w:hAnsiTheme="minorHAnsi"/>
        </w:rPr>
        <w:t>ssessment</w:t>
      </w:r>
      <w:r w:rsidR="009255E8" w:rsidRPr="00220109">
        <w:rPr>
          <w:rFonts w:asciiTheme="minorHAnsi" w:hAnsiTheme="minorHAnsi"/>
        </w:rPr>
        <w:t xml:space="preserve"> of the extraction was performed</w:t>
      </w:r>
      <w:r w:rsidR="000F6879">
        <w:rPr>
          <w:rFonts w:asciiTheme="minorHAnsi" w:hAnsiTheme="minorHAnsi"/>
        </w:rPr>
        <w:t xml:space="preserve"> with ethanol as solvent.</w:t>
      </w:r>
    </w:p>
    <w:p w:rsidR="009255E8" w:rsidRPr="00220109" w:rsidRDefault="00A00DBF" w:rsidP="009255E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Carbon footprint of bioethanol-extracted s</w:t>
      </w:r>
      <w:r w:rsidR="009255E8" w:rsidRPr="00220109">
        <w:rPr>
          <w:rFonts w:asciiTheme="minorHAnsi" w:hAnsiTheme="minorHAnsi"/>
        </w:rPr>
        <w:t xml:space="preserve">oybean oil </w:t>
      </w:r>
      <w:r>
        <w:rPr>
          <w:rFonts w:asciiTheme="minorHAnsi" w:hAnsiTheme="minorHAnsi"/>
        </w:rPr>
        <w:t>is smaller than hexane-extracted</w:t>
      </w:r>
      <w:r w:rsidR="009255E8" w:rsidRPr="00220109">
        <w:rPr>
          <w:rFonts w:asciiTheme="minorHAnsi" w:hAnsiTheme="minorHAnsi"/>
        </w:rPr>
        <w:t>.</w:t>
      </w:r>
    </w:p>
    <w:p w:rsidR="00D42B22" w:rsidRPr="00220109" w:rsidRDefault="00FD4660" w:rsidP="009255E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Bioelectricity </w:t>
      </w:r>
      <w:r w:rsidR="00A00DBF">
        <w:rPr>
          <w:rFonts w:asciiTheme="minorHAnsi" w:hAnsiTheme="minorHAnsi"/>
        </w:rPr>
        <w:t>may be co-</w:t>
      </w:r>
      <w:r>
        <w:rPr>
          <w:rFonts w:asciiTheme="minorHAnsi" w:hAnsiTheme="minorHAnsi"/>
        </w:rPr>
        <w:t>produc</w:t>
      </w:r>
      <w:r w:rsidR="00A00DBF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</w:t>
      </w:r>
      <w:r w:rsidR="00A00DBF">
        <w:rPr>
          <w:rFonts w:asciiTheme="minorHAnsi" w:hAnsiTheme="minorHAnsi"/>
        </w:rPr>
        <w:t>of</w:t>
      </w:r>
      <w:r>
        <w:rPr>
          <w:rFonts w:asciiTheme="minorHAnsi" w:hAnsiTheme="minorHAnsi"/>
        </w:rPr>
        <w:t xml:space="preserve"> the </w:t>
      </w:r>
      <w:r w:rsidR="00A00DBF">
        <w:rPr>
          <w:rFonts w:asciiTheme="minorHAnsi" w:hAnsiTheme="minorHAnsi"/>
        </w:rPr>
        <w:t>ethanol-</w:t>
      </w:r>
      <w:r>
        <w:rPr>
          <w:rFonts w:asciiTheme="minorHAnsi" w:hAnsiTheme="minorHAnsi"/>
        </w:rPr>
        <w:t xml:space="preserve">soybean oil </w:t>
      </w:r>
      <w:r w:rsidR="00A00DBF">
        <w:rPr>
          <w:rFonts w:asciiTheme="minorHAnsi" w:hAnsiTheme="minorHAnsi"/>
        </w:rPr>
        <w:t>plant</w:t>
      </w:r>
      <w:r>
        <w:rPr>
          <w:rFonts w:asciiTheme="minorHAnsi" w:hAnsiTheme="minorHAnsi"/>
        </w:rPr>
        <w:t>.</w:t>
      </w:r>
    </w:p>
    <w:p w:rsidR="009255E8" w:rsidRDefault="009255E8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F5332A" w:rsidRPr="001F711D" w:rsidRDefault="00704BDF" w:rsidP="001F711D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0F6879" w:rsidRPr="00731301" w:rsidRDefault="000F6879" w:rsidP="009E06D6">
      <w:pPr>
        <w:tabs>
          <w:tab w:val="left" w:pos="567"/>
        </w:tabs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tab/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replacement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non-renewable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solvents in industrial process will contribute to the consolidation of the low-C economy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2015, Brazil signed the Paris agreement and committed to reduce 37% of greenhouse gases emissions, based on 2005, until 2025. Other commitment was to reach </w:t>
      </w:r>
      <w:r w:rsidR="007F7006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45% of 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renewable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sources on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14A3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Brazilian</w:t>
      </w:r>
      <w:r w:rsidR="00220109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14A3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grid and to promote clean technologies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D214A3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214A3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 sector. Brazil is the second larger producer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soybean, 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responsible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35.38% of the worldwide production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201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According to</w:t>
      </w:r>
      <w:r w:rsidR="004F0CA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20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20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soybean 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forecast is 11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million metric tons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10 million of tons of soybean oil.</w:t>
      </w:r>
      <w:r w:rsid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5428B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hexane </w:t>
      </w:r>
      <w:r w:rsidR="00993412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conventional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solvent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for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soybean oil extraction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extraction of oilseeds with ethanol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 sustainable </w:t>
      </w:r>
      <w:r w:rsidR="00D356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technically feasible </w:t>
      </w:r>
      <w:r w:rsidR="00A00D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</w:t>
      </w:r>
      <w:r w:rsidR="007A334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0CA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[2,3,4]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</w:t>
      </w:r>
      <w:r w:rsidR="008953B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anhydrous ethanol and 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hydrous ethanol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(1G bioethanol from sugarcane) can be used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seed oil extraction. </w:t>
      </w:r>
      <w:r w:rsidR="00530F5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Besides, in order to contemplate a future biorefinery integration, vapor and </w:t>
      </w:r>
      <w:r w:rsidR="00FD4660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electricity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demands may be supplied in a cogeneration system using</w:t>
      </w:r>
      <w:r w:rsidR="00530F5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sugarcane bagasse.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work aims to simulate the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oil extraction process</w:t>
      </w:r>
      <w:r w:rsidR="00CC731B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to quantify the environmental impacts of this solvent replacement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LCA</w:t>
      </w:r>
      <w:r w:rsidR="001144D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243EC" w:rsidRPr="00731301" w:rsidRDefault="0005428B" w:rsidP="001F711D">
      <w:pPr>
        <w:tabs>
          <w:tab w:val="left" w:pos="567"/>
        </w:tabs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tab/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process was simulated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993412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equation-oriented</w:t>
      </w:r>
      <w:r w:rsidR="00993412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Environment for Modelling Simulation and Optimization (EMSO). The process consists of a cracker, conditioner, flaker, expander, extractor, desolve</w:t>
      </w:r>
      <w:r w:rsidR="001F711D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993412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tizer, </w:t>
      </w:r>
      <w:r w:rsidR="001F711D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toaster</w:t>
      </w:r>
      <w:r w:rsidR="00993412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evaporator, degumming, deacidified and solvent recovery section. </w:t>
      </w:r>
      <w:r w:rsidR="009E06D6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Four scenarios a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ss</w:t>
      </w:r>
      <w:r w:rsidR="009E06D6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essed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using the solvents</w:t>
      </w:r>
      <w:r w:rsidR="009E06D6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hexane, hydrous ethanol, </w:t>
      </w:r>
      <w:r w:rsidR="0012650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anhydrous ethanol recovered by glycerol extractive distillation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2650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anhydrous ethanol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recovered</w:t>
      </w:r>
      <w:r w:rsidR="0012650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mono ethylene glycol (MEG) extractive distillation. 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solid fraction from the extraction proceed to the desolventizer-toster in 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order to remove the solvent from the meal. The liquid fraction is carried to an evaporator and then to a solvent re</w:t>
      </w:r>
      <w:r w:rsidR="003E651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covery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section.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exane is rec</w:t>
      </w:r>
      <w:r w:rsidR="003E651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overed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a set of </w:t>
      </w:r>
      <w:r w:rsidR="004F0CA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evaporators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stripping column.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ydrous ethanol is rec</w:t>
      </w:r>
      <w:r w:rsidR="003E651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overed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distillation. The anhydrous ethanol is rec</w:t>
      </w:r>
      <w:r w:rsidR="003E651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overed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extractive distillation using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either MEG</w:t>
      </w:r>
      <w:r w:rsidR="00F8438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glycerol.</w:t>
      </w:r>
      <w:r w:rsidR="00FD4660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650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proceed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LCA, </w:t>
      </w:r>
      <w:r w:rsidR="0012650A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inventory of raw-materials, emissions and products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done</w:t>
      </w:r>
      <w:r w:rsidR="001F711D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GWP gases emissions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process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calculated,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a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birth to gate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>scope (including the harvest in the field for soybean and sugarcane)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considering energetic allocation</w:t>
      </w:r>
      <w:r w:rsidR="002337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multiple products</w:t>
      </w:r>
      <w:r w:rsidR="000243EC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0243EC" w:rsidRPr="00DA2772" w:rsidRDefault="00704BDF" w:rsidP="00DA277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2650A" w:rsidRPr="00731301" w:rsidRDefault="000243EC" w:rsidP="004F0CA8">
      <w:pPr>
        <w:tabs>
          <w:tab w:val="left" w:pos="567"/>
        </w:tabs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tab/>
      </w:r>
      <w:r w:rsidR="00062FA3">
        <w:t>E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thanol requires a higher solvent-soybean </w:t>
      </w:r>
      <w:r w:rsidR="00062FA3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ratio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compared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hexane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So, the energy demands for the first alternative is higher.</w:t>
      </w:r>
      <w:r w:rsidR="00294C5F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other hand, in a</w:t>
      </w:r>
      <w:r w:rsidR="00294C5F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biorefinery concept,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bagasse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have 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be burn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t, and so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 surplus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electricity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 sold to the grid</w:t>
      </w:r>
      <w:r w:rsidR="00D32775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LCA </w:t>
      </w:r>
      <w:r w:rsidR="00294C5F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shows that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GWP emission in the whole ethanolic process of extraction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slightly higher, 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cooling water demands. However,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 more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electricity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FA4E34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produced, the GWP related to </w:t>
      </w:r>
      <w:r w:rsidR="004F0CA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soybean oil with ethanol extraction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4F0CA8" w:rsidRPr="00731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lower than the one with hexane extraction.</w:t>
      </w:r>
    </w:p>
    <w:p w:rsidR="00DA2772" w:rsidRDefault="00704BDF" w:rsidP="00DA2772">
      <w:pPr>
        <w:snapToGrid w:val="0"/>
        <w:spacing w:before="240"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</w:p>
    <w:p w:rsidR="00DA2772" w:rsidRPr="008C194A" w:rsidRDefault="008C194A" w:rsidP="008C194A">
      <w:pPr>
        <w:tabs>
          <w:tab w:val="left" w:pos="567"/>
        </w:tabs>
        <w:snapToGrid w:val="0"/>
        <w:spacing w:before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 xml:space="preserve">A life cycle </w:t>
      </w:r>
      <w:r w:rsidR="001F7EA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assessment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extraction of soybean oil with ethanol was performed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compared to the conventional hexane extraction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GWP emission related to the soybean oil extracted with ethanol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than the one with hexane.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oeletricity and vapor generated</w:t>
      </w:r>
      <w:r w:rsidR="001F7E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play an important role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this process. Further studies </w:t>
      </w:r>
      <w:r w:rsidR="001C3E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contemplate the integration with ethanolic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biodiesel </w:t>
      </w:r>
      <w:r w:rsidR="00062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</w:t>
      </w:r>
      <w:r w:rsidR="001C3E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73130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73130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References</w:t>
      </w:r>
    </w:p>
    <w:p w:rsidR="004F0CA8" w:rsidRPr="00DA2772" w:rsidRDefault="004F0CA8" w:rsidP="0073130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A2772">
        <w:rPr>
          <w:rFonts w:asciiTheme="minorHAnsi" w:hAnsiTheme="minorHAnsi"/>
          <w:color w:val="000000"/>
        </w:rPr>
        <w:t>Abiove – Brazilian Association of Vegetal Oil Industries, 2016. Biodiesel: long term opportunities and challenges (in Portuguese).http://www.abiove.org.br/site/_FILES/Portugues/07102016-131231-07_10_2016_n-_cenario_para_o_biodiesel_em_2030(2).pdf  (accessed 26 March 2019).</w:t>
      </w:r>
    </w:p>
    <w:p w:rsidR="004F0CA8" w:rsidRPr="00DA2772" w:rsidRDefault="004F0CA8" w:rsidP="00DA277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4571B">
        <w:rPr>
          <w:rFonts w:asciiTheme="minorHAnsi" w:hAnsiTheme="minorHAnsi"/>
          <w:color w:val="000000"/>
          <w:lang w:val="pt-BR"/>
        </w:rPr>
        <w:t xml:space="preserve">Ferreira, M. C., Bessa, L. C., Abreu, C. R., Meirelles, A. J., Batista, E. A., 2018. </w:t>
      </w:r>
      <w:r w:rsidRPr="00DA2772">
        <w:rPr>
          <w:rFonts w:asciiTheme="minorHAnsi" w:hAnsiTheme="minorHAnsi"/>
          <w:color w:val="000000"/>
        </w:rPr>
        <w:t xml:space="preserve">Liquid-liquid equilibrium of systems containing triolein+(fatty acid/partial acylglycerols/ester)+ ethanol: Experimental data and UNIFAC modeling. Phase Equilib.(476), 186-192. </w:t>
      </w:r>
      <w:hyperlink r:id="rId11" w:history="1">
        <w:r w:rsidRPr="00DA2772">
          <w:rPr>
            <w:rFonts w:asciiTheme="minorHAnsi" w:hAnsiTheme="minorHAnsi"/>
            <w:color w:val="000000"/>
          </w:rPr>
          <w:t>https://doi.org/10.1016/j.fluid.2018.07.030</w:t>
        </w:r>
      </w:hyperlink>
    </w:p>
    <w:p w:rsidR="004F0CA8" w:rsidRPr="00DA2772" w:rsidRDefault="004F0CA8" w:rsidP="00DA277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A2772">
        <w:rPr>
          <w:rFonts w:asciiTheme="minorHAnsi" w:hAnsiTheme="minorHAnsi"/>
          <w:color w:val="000000"/>
        </w:rPr>
        <w:t xml:space="preserve">Sawada, M.M., 2014. Effects of different alcoholic extraction conditions on soybean oil yield, fatty acid composition and protein solubility of defatted meal. Food Res. Int. 62, 662-670. </w:t>
      </w:r>
      <w:hyperlink r:id="rId12" w:history="1">
        <w:r w:rsidRPr="00DA2772">
          <w:rPr>
            <w:rFonts w:asciiTheme="minorHAnsi" w:hAnsiTheme="minorHAnsi"/>
            <w:color w:val="000000"/>
          </w:rPr>
          <w:t>https://doi.org/10.1016/j.foodres.2014.04.039</w:t>
        </w:r>
      </w:hyperlink>
      <w:r w:rsidRPr="00DA2772">
        <w:rPr>
          <w:rFonts w:asciiTheme="minorHAnsi" w:hAnsiTheme="minorHAnsi"/>
          <w:color w:val="000000"/>
        </w:rPr>
        <w:t>.</w:t>
      </w:r>
    </w:p>
    <w:p w:rsidR="00704BDF" w:rsidRPr="00DA2772" w:rsidRDefault="004F0CA8" w:rsidP="00DA277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00DBF">
        <w:rPr>
          <w:rFonts w:asciiTheme="minorHAnsi" w:hAnsiTheme="minorHAnsi"/>
          <w:color w:val="000000"/>
          <w:lang w:val="pt-BR"/>
        </w:rPr>
        <w:t xml:space="preserve">Toda, T.A., Sawada, M.M., Rodrigues, C.E., 2016. </w:t>
      </w:r>
      <w:r w:rsidRPr="00DA2772">
        <w:rPr>
          <w:rFonts w:asciiTheme="minorHAnsi" w:hAnsiTheme="minorHAnsi"/>
          <w:color w:val="000000"/>
        </w:rPr>
        <w:t>Kinetics of soybean oil extraction using ethanol as solvent: Experimental data and modeling. Food Bioprod. Process. 98, 1-10. https://doi.org/10.1016/j.fbp.2015.12.003</w:t>
      </w:r>
    </w:p>
    <w:sectPr w:rsidR="00704BDF" w:rsidRPr="00DA277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67F" w:rsidRDefault="0039267F" w:rsidP="004F5E36">
      <w:r>
        <w:separator/>
      </w:r>
    </w:p>
  </w:endnote>
  <w:endnote w:type="continuationSeparator" w:id="0">
    <w:p w:rsidR="0039267F" w:rsidRDefault="0039267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67F" w:rsidRDefault="0039267F" w:rsidP="004F5E36">
      <w:r>
        <w:separator/>
      </w:r>
    </w:p>
  </w:footnote>
  <w:footnote w:type="continuationSeparator" w:id="0">
    <w:p w:rsidR="0039267F" w:rsidRDefault="0039267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43EC"/>
    <w:rsid w:val="0003148D"/>
    <w:rsid w:val="0005428B"/>
    <w:rsid w:val="00062A9A"/>
    <w:rsid w:val="00062FA3"/>
    <w:rsid w:val="000A03B2"/>
    <w:rsid w:val="000D34BE"/>
    <w:rsid w:val="000E36F1"/>
    <w:rsid w:val="000E3A73"/>
    <w:rsid w:val="000E414A"/>
    <w:rsid w:val="000F6879"/>
    <w:rsid w:val="001144D5"/>
    <w:rsid w:val="0012650A"/>
    <w:rsid w:val="0013065D"/>
    <w:rsid w:val="0013121F"/>
    <w:rsid w:val="00134DE4"/>
    <w:rsid w:val="00150E59"/>
    <w:rsid w:val="00173898"/>
    <w:rsid w:val="00184AD6"/>
    <w:rsid w:val="001B65C1"/>
    <w:rsid w:val="001C3E6E"/>
    <w:rsid w:val="001C684B"/>
    <w:rsid w:val="001D53FC"/>
    <w:rsid w:val="001F2EC7"/>
    <w:rsid w:val="001F513A"/>
    <w:rsid w:val="001F711D"/>
    <w:rsid w:val="001F7EAE"/>
    <w:rsid w:val="002065DB"/>
    <w:rsid w:val="00220109"/>
    <w:rsid w:val="0023379B"/>
    <w:rsid w:val="002447EF"/>
    <w:rsid w:val="00251550"/>
    <w:rsid w:val="0027221A"/>
    <w:rsid w:val="00275B61"/>
    <w:rsid w:val="00294C5F"/>
    <w:rsid w:val="002C3ED1"/>
    <w:rsid w:val="002D1F12"/>
    <w:rsid w:val="003009B7"/>
    <w:rsid w:val="0030469C"/>
    <w:rsid w:val="00334039"/>
    <w:rsid w:val="003723D4"/>
    <w:rsid w:val="00375502"/>
    <w:rsid w:val="0039267F"/>
    <w:rsid w:val="003A7D1C"/>
    <w:rsid w:val="003E651C"/>
    <w:rsid w:val="0046164A"/>
    <w:rsid w:val="00462DCD"/>
    <w:rsid w:val="004D1162"/>
    <w:rsid w:val="004E4DD6"/>
    <w:rsid w:val="004F0CA8"/>
    <w:rsid w:val="004F563B"/>
    <w:rsid w:val="004F5E36"/>
    <w:rsid w:val="005119A5"/>
    <w:rsid w:val="005278B7"/>
    <w:rsid w:val="00530F58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2889"/>
    <w:rsid w:val="006366F8"/>
    <w:rsid w:val="0064184D"/>
    <w:rsid w:val="00660E3E"/>
    <w:rsid w:val="00662E74"/>
    <w:rsid w:val="00683575"/>
    <w:rsid w:val="006B01AC"/>
    <w:rsid w:val="006C5579"/>
    <w:rsid w:val="00704BDF"/>
    <w:rsid w:val="00731301"/>
    <w:rsid w:val="00736B13"/>
    <w:rsid w:val="007447F3"/>
    <w:rsid w:val="007661C8"/>
    <w:rsid w:val="00796AEE"/>
    <w:rsid w:val="007A3348"/>
    <w:rsid w:val="007C411B"/>
    <w:rsid w:val="007D52CD"/>
    <w:rsid w:val="007F7006"/>
    <w:rsid w:val="00813288"/>
    <w:rsid w:val="008168FC"/>
    <w:rsid w:val="008479A2"/>
    <w:rsid w:val="0087637F"/>
    <w:rsid w:val="008953B8"/>
    <w:rsid w:val="008A1512"/>
    <w:rsid w:val="008C194A"/>
    <w:rsid w:val="008D0BEB"/>
    <w:rsid w:val="008E401A"/>
    <w:rsid w:val="008E566E"/>
    <w:rsid w:val="00901EB6"/>
    <w:rsid w:val="009255E8"/>
    <w:rsid w:val="009450CE"/>
    <w:rsid w:val="0094571B"/>
    <w:rsid w:val="0095164B"/>
    <w:rsid w:val="00955738"/>
    <w:rsid w:val="00993412"/>
    <w:rsid w:val="00996483"/>
    <w:rsid w:val="009E06D6"/>
    <w:rsid w:val="009E788A"/>
    <w:rsid w:val="00A00DBF"/>
    <w:rsid w:val="00A1763D"/>
    <w:rsid w:val="00A17CEC"/>
    <w:rsid w:val="00A262F0"/>
    <w:rsid w:val="00A27EF0"/>
    <w:rsid w:val="00A638DB"/>
    <w:rsid w:val="00A76EFC"/>
    <w:rsid w:val="00A97F29"/>
    <w:rsid w:val="00AA280A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C731B"/>
    <w:rsid w:val="00CD5FE2"/>
    <w:rsid w:val="00D02B4C"/>
    <w:rsid w:val="00D214A3"/>
    <w:rsid w:val="00D32775"/>
    <w:rsid w:val="00D356E4"/>
    <w:rsid w:val="00D42B22"/>
    <w:rsid w:val="00D56B26"/>
    <w:rsid w:val="00D84576"/>
    <w:rsid w:val="00DA2772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5332A"/>
    <w:rsid w:val="00F8438A"/>
    <w:rsid w:val="00FA4E34"/>
    <w:rsid w:val="00FB730C"/>
    <w:rsid w:val="00FC2695"/>
    <w:rsid w:val="00FC3E03"/>
    <w:rsid w:val="00FD466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ListLabel23">
    <w:name w:val="ListLabel 23"/>
    <w:qFormat/>
    <w:rsid w:val="0012650A"/>
    <w:rPr>
      <w:rFonts w:eastAsia="Symbol" w:cs="Times New Roman"/>
      <w:szCs w:val="24"/>
    </w:rPr>
  </w:style>
  <w:style w:type="paragraph" w:styleId="PargrafodaLista">
    <w:name w:val="List Paragraph"/>
    <w:basedOn w:val="Normal"/>
    <w:uiPriority w:val="34"/>
    <w:qFormat/>
    <w:locked/>
    <w:rsid w:val="004F0C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locked/>
    <w:rsid w:val="004F0C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foodres.2014.04.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fluid.2018.07.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berto@ufscar.b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23D4-757D-4F4A-B35E-D3AA90BE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Moni Miyoshi</cp:lastModifiedBy>
  <cp:revision>2</cp:revision>
  <cp:lastPrinted>2015-05-12T18:31:00Z</cp:lastPrinted>
  <dcterms:created xsi:type="dcterms:W3CDTF">2019-03-31T17:39:00Z</dcterms:created>
  <dcterms:modified xsi:type="dcterms:W3CDTF">2019-03-31T17:39:00Z</dcterms:modified>
</cp:coreProperties>
</file>