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FE1F15" w14:textId="77777777" w:rsidR="00F06542" w:rsidRDefault="00F06542">
      <w:pPr>
        <w:keepNext/>
        <w:pBdr>
          <w:top w:val="nil"/>
          <w:left w:val="nil"/>
          <w:bottom w:val="nil"/>
          <w:right w:val="nil"/>
          <w:between w:val="nil"/>
        </w:pBdr>
        <w:tabs>
          <w:tab w:val="right" w:pos="9070"/>
        </w:tabs>
        <w:spacing w:after="120"/>
        <w:rPr>
          <w:color w:val="000000"/>
          <w:sz w:val="24"/>
          <w:szCs w:val="24"/>
        </w:rPr>
        <w:sectPr w:rsidR="00F06542">
          <w:headerReference w:type="default" r:id="rId7"/>
          <w:headerReference w:type="first" r:id="rId8"/>
          <w:pgSz w:w="11906" w:h="16838"/>
          <w:pgMar w:top="1985" w:right="1418" w:bottom="1701" w:left="1418" w:header="993" w:footer="0" w:gutter="0"/>
          <w:pgNumType w:start="1"/>
          <w:cols w:space="720"/>
          <w:titlePg/>
        </w:sectPr>
      </w:pPr>
    </w:p>
    <w:p w14:paraId="1FFB325C" w14:textId="77777777" w:rsidR="00F06542" w:rsidRDefault="00F41AEF">
      <w:pPr>
        <w:spacing w:after="360"/>
        <w:jc w:val="center"/>
        <w:rPr>
          <w:rFonts w:ascii="Calibri" w:eastAsia="Calibri" w:hAnsi="Calibri" w:cs="Calibri"/>
          <w:b/>
          <w:sz w:val="28"/>
          <w:szCs w:val="28"/>
        </w:rPr>
      </w:pPr>
      <w:r>
        <w:rPr>
          <w:rFonts w:ascii="Calibri" w:eastAsia="Calibri" w:hAnsi="Calibri" w:cs="Calibri"/>
          <w:b/>
          <w:sz w:val="28"/>
          <w:szCs w:val="28"/>
        </w:rPr>
        <w:lastRenderedPageBreak/>
        <w:t>Novel Solvents and Processes for the Bio-Safe Biorefinery.</w:t>
      </w:r>
    </w:p>
    <w:p w14:paraId="02C7C313" w14:textId="77777777" w:rsidR="00F06542" w:rsidRPr="00A73ECD" w:rsidRDefault="00F41AEF">
      <w:pPr>
        <w:spacing w:after="120"/>
        <w:jc w:val="center"/>
        <w:rPr>
          <w:color w:val="000000"/>
          <w:vertAlign w:val="superscript"/>
          <w:lang w:val="it-IT"/>
        </w:rPr>
      </w:pPr>
      <w:r w:rsidRPr="00A73ECD">
        <w:rPr>
          <w:rFonts w:ascii="Calibri" w:eastAsia="Calibri" w:hAnsi="Calibri" w:cs="Calibri"/>
          <w:sz w:val="24"/>
          <w:szCs w:val="24"/>
          <w:lang w:val="it-IT"/>
        </w:rPr>
        <w:t>Vittoria Sapone</w:t>
      </w:r>
      <w:r w:rsidRPr="00A73ECD">
        <w:rPr>
          <w:rFonts w:ascii="Calibri" w:eastAsia="Calibri" w:hAnsi="Calibri" w:cs="Calibri"/>
          <w:sz w:val="24"/>
          <w:szCs w:val="24"/>
          <w:vertAlign w:val="superscript"/>
          <w:lang w:val="it-IT"/>
        </w:rPr>
        <w:t>1</w:t>
      </w:r>
      <w:r w:rsidRPr="00A73ECD">
        <w:rPr>
          <w:rFonts w:ascii="Calibri" w:eastAsia="Calibri" w:hAnsi="Calibri" w:cs="Calibri"/>
          <w:sz w:val="24"/>
          <w:szCs w:val="24"/>
          <w:lang w:val="it-IT"/>
        </w:rPr>
        <w:t>, Agnese Cicci</w:t>
      </w:r>
      <w:r w:rsidRPr="00A73ECD">
        <w:rPr>
          <w:rFonts w:ascii="Calibri" w:eastAsia="Calibri" w:hAnsi="Calibri" w:cs="Calibri"/>
          <w:sz w:val="24"/>
          <w:szCs w:val="24"/>
          <w:u w:val="single"/>
          <w:vertAlign w:val="superscript"/>
          <w:lang w:val="it-IT"/>
        </w:rPr>
        <w:t>2</w:t>
      </w:r>
      <w:r w:rsidRPr="00A73ECD">
        <w:rPr>
          <w:rFonts w:ascii="Calibri" w:eastAsia="Calibri" w:hAnsi="Calibri" w:cs="Calibri"/>
          <w:sz w:val="24"/>
          <w:szCs w:val="24"/>
          <w:lang w:val="it-IT"/>
        </w:rPr>
        <w:t>,</w:t>
      </w:r>
      <w:r w:rsidRPr="00A73ECD">
        <w:rPr>
          <w:rFonts w:ascii="Calibri" w:eastAsia="Calibri" w:hAnsi="Calibri" w:cs="Calibri"/>
          <w:color w:val="000000"/>
          <w:sz w:val="24"/>
          <w:szCs w:val="24"/>
          <w:lang w:val="it-IT"/>
        </w:rPr>
        <w:t xml:space="preserve"> </w:t>
      </w:r>
      <w:r w:rsidRPr="00A73ECD">
        <w:rPr>
          <w:rFonts w:ascii="Calibri" w:eastAsia="Calibri" w:hAnsi="Calibri" w:cs="Calibri"/>
          <w:sz w:val="24"/>
          <w:szCs w:val="24"/>
          <w:lang w:val="it-IT"/>
        </w:rPr>
        <w:t>Giorgia Sed</w:t>
      </w:r>
      <w:r w:rsidRPr="00A73ECD">
        <w:rPr>
          <w:rFonts w:ascii="Calibri" w:eastAsia="Calibri" w:hAnsi="Calibri" w:cs="Calibri"/>
          <w:sz w:val="24"/>
          <w:szCs w:val="24"/>
          <w:vertAlign w:val="superscript"/>
          <w:lang w:val="it-IT"/>
        </w:rPr>
        <w:t>1</w:t>
      </w:r>
      <w:r w:rsidRPr="00A73ECD">
        <w:rPr>
          <w:rFonts w:ascii="Calibri" w:eastAsia="Calibri" w:hAnsi="Calibri" w:cs="Calibri"/>
          <w:sz w:val="24"/>
          <w:szCs w:val="24"/>
          <w:lang w:val="it-IT"/>
        </w:rPr>
        <w:t>, Marco Bravi</w:t>
      </w:r>
      <w:r w:rsidRPr="00A73ECD">
        <w:rPr>
          <w:rFonts w:ascii="Calibri" w:eastAsia="Calibri" w:hAnsi="Calibri" w:cs="Calibri"/>
          <w:sz w:val="24"/>
          <w:szCs w:val="24"/>
          <w:vertAlign w:val="superscript"/>
          <w:lang w:val="it-IT"/>
        </w:rPr>
        <w:t>1*</w:t>
      </w:r>
    </w:p>
    <w:p w14:paraId="4493669A" w14:textId="77777777" w:rsidR="00F06542" w:rsidRPr="00A73ECD" w:rsidRDefault="00F41AEF">
      <w:pPr>
        <w:spacing w:after="120"/>
        <w:jc w:val="center"/>
        <w:rPr>
          <w:rFonts w:ascii="Calibri" w:eastAsia="Calibri" w:hAnsi="Calibri" w:cs="Calibri"/>
          <w:i/>
          <w:color w:val="000000"/>
          <w:sz w:val="20"/>
          <w:szCs w:val="20"/>
          <w:lang w:val="it-IT"/>
        </w:rPr>
      </w:pPr>
      <w:r w:rsidRPr="00A73ECD">
        <w:rPr>
          <w:i/>
          <w:color w:val="000000"/>
          <w:sz w:val="20"/>
          <w:szCs w:val="20"/>
          <w:lang w:val="it-IT"/>
        </w:rPr>
        <w:t>1</w:t>
      </w:r>
      <w:r w:rsidRPr="00A73ECD">
        <w:rPr>
          <w:rFonts w:ascii="Calibri" w:eastAsia="Calibri" w:hAnsi="Calibri" w:cs="Calibri"/>
          <w:i/>
          <w:color w:val="000000"/>
          <w:sz w:val="20"/>
          <w:szCs w:val="20"/>
          <w:lang w:val="it-IT"/>
        </w:rPr>
        <w:t xml:space="preserve"> </w:t>
      </w:r>
      <w:r w:rsidRPr="00A73ECD">
        <w:rPr>
          <w:rFonts w:ascii="Calibri" w:eastAsia="Calibri" w:hAnsi="Calibri" w:cs="Calibri"/>
          <w:i/>
          <w:sz w:val="20"/>
          <w:szCs w:val="20"/>
          <w:lang w:val="it-IT"/>
        </w:rPr>
        <w:t xml:space="preserve">Dipartimento di Ingegneria Chimica, Materiali e Ambiente, via </w:t>
      </w:r>
      <w:proofErr w:type="spellStart"/>
      <w:r w:rsidRPr="00A73ECD">
        <w:rPr>
          <w:rFonts w:ascii="Calibri" w:eastAsia="Calibri" w:hAnsi="Calibri" w:cs="Calibri"/>
          <w:i/>
          <w:sz w:val="20"/>
          <w:szCs w:val="20"/>
          <w:lang w:val="it-IT"/>
        </w:rPr>
        <w:t>Eudossiana</w:t>
      </w:r>
      <w:proofErr w:type="spellEnd"/>
      <w:r w:rsidRPr="00A73ECD">
        <w:rPr>
          <w:rFonts w:ascii="Calibri" w:eastAsia="Calibri" w:hAnsi="Calibri" w:cs="Calibri"/>
          <w:i/>
          <w:sz w:val="20"/>
          <w:szCs w:val="20"/>
          <w:lang w:val="it-IT"/>
        </w:rPr>
        <w:t xml:space="preserve"> 00184, Roma</w:t>
      </w:r>
      <w:r w:rsidRPr="00A73ECD">
        <w:rPr>
          <w:rFonts w:ascii="Calibri" w:eastAsia="Calibri" w:hAnsi="Calibri" w:cs="Calibri"/>
          <w:i/>
          <w:color w:val="000000"/>
          <w:sz w:val="20"/>
          <w:szCs w:val="20"/>
          <w:lang w:val="it-IT"/>
        </w:rPr>
        <w:t xml:space="preserve">; 2 </w:t>
      </w:r>
      <w:proofErr w:type="spellStart"/>
      <w:r w:rsidRPr="00A73ECD">
        <w:rPr>
          <w:rFonts w:ascii="Calibri" w:eastAsia="Calibri" w:hAnsi="Calibri" w:cs="Calibri"/>
          <w:i/>
          <w:sz w:val="20"/>
          <w:szCs w:val="20"/>
          <w:lang w:val="it-IT"/>
        </w:rPr>
        <w:t>Bio</w:t>
      </w:r>
      <w:proofErr w:type="spellEnd"/>
      <w:r w:rsidRPr="00A73ECD">
        <w:rPr>
          <w:rFonts w:ascii="Calibri" w:eastAsia="Calibri" w:hAnsi="Calibri" w:cs="Calibri"/>
          <w:i/>
          <w:sz w:val="20"/>
          <w:szCs w:val="20"/>
          <w:lang w:val="it-IT"/>
        </w:rPr>
        <w:t>-P s.r.l., via di Vannina, 00156, Roma</w:t>
      </w:r>
    </w:p>
    <w:p w14:paraId="65D3EC59" w14:textId="77777777" w:rsidR="00F06542" w:rsidRDefault="00F41AEF">
      <w:pPr>
        <w:jc w:val="center"/>
        <w:rPr>
          <w:rFonts w:ascii="Calibri" w:eastAsia="Calibri" w:hAnsi="Calibri" w:cs="Calibri"/>
          <w:i/>
          <w:sz w:val="20"/>
          <w:szCs w:val="20"/>
        </w:rPr>
      </w:pPr>
      <w:r>
        <w:rPr>
          <w:rFonts w:ascii="Calibri" w:eastAsia="Calibri" w:hAnsi="Calibri" w:cs="Calibri"/>
          <w:i/>
          <w:color w:val="000000"/>
          <w:sz w:val="20"/>
          <w:szCs w:val="20"/>
        </w:rPr>
        <w:t>*Corresponding author</w:t>
      </w:r>
      <w:r>
        <w:rPr>
          <w:rFonts w:ascii="Calibri" w:eastAsia="Calibri" w:hAnsi="Calibri" w:cs="Calibri"/>
          <w:i/>
          <w:sz w:val="20"/>
          <w:szCs w:val="20"/>
        </w:rPr>
        <w:t>: marco.bravi@uniroma1.it</w:t>
      </w:r>
    </w:p>
    <w:p w14:paraId="0E1F1157" w14:textId="77777777" w:rsidR="00F06542" w:rsidRDefault="00F06542">
      <w:pPr>
        <w:pBdr>
          <w:top w:val="nil"/>
          <w:left w:val="nil"/>
          <w:bottom w:val="nil"/>
          <w:right w:val="nil"/>
          <w:between w:val="nil"/>
        </w:pBdr>
        <w:ind w:left="1440" w:right="720"/>
        <w:rPr>
          <w:rFonts w:ascii="Calibri" w:eastAsia="Calibri" w:hAnsi="Calibri" w:cs="Calibri"/>
          <w:color w:val="000000"/>
          <w:sz w:val="20"/>
          <w:szCs w:val="20"/>
        </w:rPr>
      </w:pPr>
    </w:p>
    <w:p w14:paraId="58E8E582" w14:textId="77777777" w:rsidR="00F06542" w:rsidRDefault="00F41AEF">
      <w:pPr>
        <w:spacing w:line="300" w:lineRule="auto"/>
        <w:rPr>
          <w:rFonts w:ascii="Calibri" w:eastAsia="Calibri" w:hAnsi="Calibri" w:cs="Calibri"/>
          <w:b/>
          <w:color w:val="000000"/>
          <w:sz w:val="22"/>
          <w:szCs w:val="22"/>
        </w:rPr>
      </w:pPr>
      <w:r>
        <w:rPr>
          <w:rFonts w:ascii="Calibri" w:eastAsia="Calibri" w:hAnsi="Calibri" w:cs="Calibri"/>
          <w:b/>
          <w:color w:val="000000"/>
          <w:sz w:val="22"/>
          <w:szCs w:val="22"/>
        </w:rPr>
        <w:t>1. Introduction</w:t>
      </w:r>
    </w:p>
    <w:p w14:paraId="79B9A130" w14:textId="77777777" w:rsidR="00F06542" w:rsidRDefault="00F41AEF">
      <w:pPr>
        <w:rPr>
          <w:rFonts w:ascii="Calibri" w:eastAsia="Calibri" w:hAnsi="Calibri" w:cs="Calibri"/>
          <w:i/>
          <w:sz w:val="22"/>
          <w:szCs w:val="22"/>
        </w:rPr>
      </w:pPr>
      <w:bookmarkStart w:id="0" w:name="_gjdgxs" w:colFirst="0" w:colLast="0"/>
      <w:bookmarkEnd w:id="0"/>
      <w:r>
        <w:rPr>
          <w:rFonts w:ascii="Calibri" w:eastAsia="Calibri" w:hAnsi="Calibri" w:cs="Calibri"/>
          <w:sz w:val="22"/>
          <w:szCs w:val="22"/>
        </w:rPr>
        <w:t xml:space="preserve">Novel modifiable solvents can play a key role in obtaining the maximum value from biomass, increasing sustainability of current biorefinery processes, and avoiding regulatory issues. Switchable </w:t>
      </w:r>
      <w:proofErr w:type="gramStart"/>
      <w:r>
        <w:rPr>
          <w:rFonts w:ascii="Calibri" w:eastAsia="Calibri" w:hAnsi="Calibri" w:cs="Calibri"/>
          <w:sz w:val="22"/>
          <w:szCs w:val="22"/>
        </w:rPr>
        <w:t>solvents</w:t>
      </w:r>
      <w:proofErr w:type="gramEnd"/>
      <w:r>
        <w:rPr>
          <w:rFonts w:ascii="Calibri" w:eastAsia="Calibri" w:hAnsi="Calibri" w:cs="Calibri"/>
          <w:sz w:val="22"/>
          <w:szCs w:val="22"/>
        </w:rPr>
        <w:t xml:space="preserve"> ability to reversibly change their nature (hydrophobic-hydrophilic, and/or polar-non polar) can be used to improve existing liquid-solid extraction unit operations thanks to pretreatments simplification and reduction of their energy requirement. Natural Deep Eutectic Solvents (</w:t>
      </w:r>
      <w:proofErr w:type="spellStart"/>
      <w:r>
        <w:rPr>
          <w:rFonts w:ascii="Calibri" w:eastAsia="Calibri" w:hAnsi="Calibri" w:cs="Calibri"/>
          <w:sz w:val="22"/>
          <w:szCs w:val="22"/>
        </w:rPr>
        <w:t>NaDESs</w:t>
      </w:r>
      <w:proofErr w:type="spellEnd"/>
      <w:r>
        <w:rPr>
          <w:rFonts w:ascii="Calibri" w:eastAsia="Calibri" w:hAnsi="Calibri" w:cs="Calibri"/>
          <w:sz w:val="22"/>
          <w:szCs w:val="22"/>
        </w:rPr>
        <w:t xml:space="preserve">) feature an assignable (by proper choice of their components) and in some cases tunable hydrophilicity. Most commonly, </w:t>
      </w:r>
      <w:proofErr w:type="spellStart"/>
      <w:r>
        <w:rPr>
          <w:rFonts w:ascii="Calibri" w:eastAsia="Calibri" w:hAnsi="Calibri" w:cs="Calibri"/>
          <w:sz w:val="22"/>
          <w:szCs w:val="22"/>
        </w:rPr>
        <w:t>NaDES</w:t>
      </w:r>
      <w:proofErr w:type="spellEnd"/>
      <w:r>
        <w:rPr>
          <w:rFonts w:ascii="Calibri" w:eastAsia="Calibri" w:hAnsi="Calibri" w:cs="Calibri"/>
          <w:sz w:val="22"/>
          <w:szCs w:val="22"/>
        </w:rPr>
        <w:t xml:space="preserve"> are hydrophilic, but hydrophobic </w:t>
      </w:r>
      <w:proofErr w:type="spellStart"/>
      <w:r>
        <w:rPr>
          <w:rFonts w:ascii="Calibri" w:eastAsia="Calibri" w:hAnsi="Calibri" w:cs="Calibri"/>
          <w:sz w:val="22"/>
          <w:szCs w:val="22"/>
        </w:rPr>
        <w:t>NaDES</w:t>
      </w:r>
      <w:proofErr w:type="spellEnd"/>
      <w:r>
        <w:rPr>
          <w:rFonts w:ascii="Calibri" w:eastAsia="Calibri" w:hAnsi="Calibri" w:cs="Calibri"/>
          <w:sz w:val="22"/>
          <w:szCs w:val="22"/>
        </w:rPr>
        <w:t xml:space="preserve"> have been discovered and a </w:t>
      </w:r>
      <w:proofErr w:type="spellStart"/>
      <w:r>
        <w:rPr>
          <w:rFonts w:ascii="Calibri" w:eastAsia="Calibri" w:hAnsi="Calibri" w:cs="Calibri"/>
          <w:sz w:val="22"/>
          <w:szCs w:val="22"/>
        </w:rPr>
        <w:t>NaDES</w:t>
      </w:r>
      <w:proofErr w:type="spellEnd"/>
      <w:r>
        <w:rPr>
          <w:rFonts w:ascii="Calibri" w:eastAsia="Calibri" w:hAnsi="Calibri" w:cs="Calibri"/>
          <w:sz w:val="22"/>
          <w:szCs w:val="22"/>
        </w:rPr>
        <w:t xml:space="preserve">-based SHS has been introduced. Novel SHS- and </w:t>
      </w:r>
      <w:proofErr w:type="spellStart"/>
      <w:r>
        <w:rPr>
          <w:rFonts w:ascii="Calibri" w:eastAsia="Calibri" w:hAnsi="Calibri" w:cs="Calibri"/>
          <w:sz w:val="22"/>
          <w:szCs w:val="22"/>
        </w:rPr>
        <w:t>NaDES</w:t>
      </w:r>
      <w:proofErr w:type="spellEnd"/>
      <w:r>
        <w:rPr>
          <w:rFonts w:ascii="Calibri" w:eastAsia="Calibri" w:hAnsi="Calibri" w:cs="Calibri"/>
          <w:sz w:val="22"/>
          <w:szCs w:val="22"/>
        </w:rPr>
        <w:t xml:space="preserve">-based </w:t>
      </w:r>
      <w:proofErr w:type="spellStart"/>
      <w:r>
        <w:rPr>
          <w:rFonts w:ascii="Calibri" w:eastAsia="Calibri" w:hAnsi="Calibri" w:cs="Calibri"/>
          <w:sz w:val="22"/>
          <w:szCs w:val="22"/>
        </w:rPr>
        <w:t>biorefining</w:t>
      </w:r>
      <w:proofErr w:type="spellEnd"/>
      <w:r>
        <w:rPr>
          <w:rFonts w:ascii="Calibri" w:eastAsia="Calibri" w:hAnsi="Calibri" w:cs="Calibri"/>
          <w:sz w:val="22"/>
          <w:szCs w:val="22"/>
        </w:rPr>
        <w:t xml:space="preserve"> concepts and techniques have been developed targeting two major current and forthcoming biomass resources: lignocellulosic materials (LCM) and microalgal biomass. Here we give account of two promising </w:t>
      </w:r>
      <w:r w:rsidR="00A73ECD">
        <w:rPr>
          <w:rFonts w:ascii="Calibri" w:eastAsia="Calibri" w:hAnsi="Calibri" w:cs="Calibri"/>
          <w:sz w:val="22"/>
          <w:szCs w:val="22"/>
        </w:rPr>
        <w:t xml:space="preserve">green </w:t>
      </w:r>
      <w:r>
        <w:rPr>
          <w:rFonts w:ascii="Calibri" w:eastAsia="Calibri" w:hAnsi="Calibri" w:cs="Calibri"/>
          <w:sz w:val="22"/>
          <w:szCs w:val="22"/>
        </w:rPr>
        <w:t>approaches explor</w:t>
      </w:r>
      <w:r w:rsidR="00A73ECD">
        <w:rPr>
          <w:rFonts w:ascii="Calibri" w:eastAsia="Calibri" w:hAnsi="Calibri" w:cs="Calibri"/>
          <w:sz w:val="22"/>
          <w:szCs w:val="22"/>
        </w:rPr>
        <w:t>ing</w:t>
      </w:r>
      <w:r>
        <w:rPr>
          <w:rFonts w:ascii="Calibri" w:eastAsia="Calibri" w:hAnsi="Calibri" w:cs="Calibri"/>
          <w:sz w:val="22"/>
          <w:szCs w:val="22"/>
        </w:rPr>
        <w:t xml:space="preserve"> paradigmatic shifts in biorefinery.</w:t>
      </w:r>
    </w:p>
    <w:p w14:paraId="61699D08" w14:textId="77777777" w:rsidR="00F06542" w:rsidRDefault="00F41AEF">
      <w:pPr>
        <w:spacing w:before="240" w:line="240" w:lineRule="auto"/>
        <w:rPr>
          <w:rFonts w:ascii="Calibri" w:eastAsia="Calibri" w:hAnsi="Calibri" w:cs="Calibri"/>
          <w:b/>
          <w:sz w:val="22"/>
          <w:szCs w:val="22"/>
        </w:rPr>
      </w:pPr>
      <w:r>
        <w:rPr>
          <w:rFonts w:ascii="Calibri" w:eastAsia="Calibri" w:hAnsi="Calibri" w:cs="Calibri"/>
          <w:b/>
          <w:sz w:val="22"/>
          <w:szCs w:val="22"/>
        </w:rPr>
        <w:t>2</w:t>
      </w:r>
      <w:r>
        <w:rPr>
          <w:rFonts w:ascii="Calibri" w:eastAsia="Calibri" w:hAnsi="Calibri" w:cs="Calibri"/>
          <w:b/>
          <w:color w:val="000000"/>
          <w:sz w:val="22"/>
          <w:szCs w:val="22"/>
        </w:rPr>
        <w:t>. Methods</w:t>
      </w:r>
    </w:p>
    <w:p w14:paraId="2BBA19A5" w14:textId="77777777" w:rsidR="00F06542" w:rsidRDefault="00F41AEF">
      <w:pPr>
        <w:spacing w:before="240" w:line="240" w:lineRule="auto"/>
        <w:rPr>
          <w:rFonts w:ascii="Calibri" w:eastAsia="Calibri" w:hAnsi="Calibri" w:cs="Calibri"/>
          <w:sz w:val="22"/>
          <w:szCs w:val="22"/>
        </w:rPr>
      </w:pPr>
      <w:r>
        <w:rPr>
          <w:rFonts w:ascii="Calibri" w:eastAsia="Calibri" w:hAnsi="Calibri" w:cs="Calibri"/>
          <w:sz w:val="22"/>
          <w:szCs w:val="22"/>
        </w:rPr>
        <w:t>So far, SHS have only been used in their hydrophobic form to extract hydrophobic solutes. During the hydrophobic-to-hydrophilic switch, dissolved hydrophobic solutes separate as a second (hydrophobic) phase which is easily collected. However</w:t>
      </w:r>
      <w:r w:rsidR="00A73ECD">
        <w:rPr>
          <w:rFonts w:ascii="Calibri" w:eastAsia="Calibri" w:hAnsi="Calibri" w:cs="Calibri"/>
          <w:sz w:val="22"/>
          <w:szCs w:val="22"/>
        </w:rPr>
        <w:t>,</w:t>
      </w:r>
      <w:r>
        <w:rPr>
          <w:rFonts w:ascii="Calibri" w:eastAsia="Calibri" w:hAnsi="Calibri" w:cs="Calibri"/>
          <w:sz w:val="22"/>
          <w:szCs w:val="22"/>
        </w:rPr>
        <w:t xml:space="preserve"> the treated biomass might also contain hydrophilic solutes that can be easily removed by treating the residue of the hydrophobic extraction with the hydrophilic form of the very same SHS. Subsequent back-switch to the hydrophobic form leaves a hydrophilic phase constituted by water and water-loving solutes behind, whereby the cyclic extraction can restart. The biomass extraction can begin with either the hydrophobic or the hydrophilic form of the solvent and may continue with the other form. The operation sequence starting with a hydrophobic extraction was denoted by the inventors as Forward-Mode extraction (FME) and the opposite sequence (hydrophilic extraction first, then hydrophobic) was called Backward-Mode Extraction (BME) [1] (Figure 1A). This dual use of SHS, denoted as “Circular Extraction”, has been touted to increase the utility of the extraction process and of the solvent itself.  Recently</w:t>
      </w:r>
      <w:r w:rsidR="00A73ECD">
        <w:rPr>
          <w:rFonts w:ascii="Calibri" w:eastAsia="Calibri" w:hAnsi="Calibri" w:cs="Calibri"/>
          <w:sz w:val="22"/>
          <w:szCs w:val="22"/>
        </w:rPr>
        <w:t>,</w:t>
      </w:r>
      <w:r>
        <w:rPr>
          <w:rFonts w:ascii="Calibri" w:eastAsia="Calibri" w:hAnsi="Calibri" w:cs="Calibri"/>
          <w:sz w:val="22"/>
          <w:szCs w:val="22"/>
        </w:rPr>
        <w:t xml:space="preserve"> the first </w:t>
      </w:r>
      <w:proofErr w:type="spellStart"/>
      <w:r>
        <w:rPr>
          <w:rFonts w:ascii="Calibri" w:eastAsia="Calibri" w:hAnsi="Calibri" w:cs="Calibri"/>
          <w:sz w:val="22"/>
          <w:szCs w:val="22"/>
        </w:rPr>
        <w:t>NaDES</w:t>
      </w:r>
      <w:proofErr w:type="spellEnd"/>
      <w:r>
        <w:rPr>
          <w:rFonts w:ascii="Calibri" w:eastAsia="Calibri" w:hAnsi="Calibri" w:cs="Calibri"/>
          <w:sz w:val="22"/>
          <w:szCs w:val="22"/>
        </w:rPr>
        <w:t xml:space="preserve">-based switchable system was developed </w:t>
      </w:r>
      <w:r w:rsidR="00A73ECD">
        <w:rPr>
          <w:rFonts w:ascii="Calibri" w:eastAsia="Calibri" w:hAnsi="Calibri" w:cs="Calibri"/>
          <w:sz w:val="22"/>
          <w:szCs w:val="22"/>
        </w:rPr>
        <w:t>(“</w:t>
      </w:r>
      <w:proofErr w:type="spellStart"/>
      <w:r w:rsidR="00A73ECD">
        <w:rPr>
          <w:rFonts w:ascii="Calibri" w:eastAsia="Calibri" w:hAnsi="Calibri" w:cs="Calibri"/>
          <w:sz w:val="22"/>
          <w:szCs w:val="22"/>
        </w:rPr>
        <w:t>NaDES</w:t>
      </w:r>
      <w:proofErr w:type="spellEnd"/>
      <w:r w:rsidR="00A73ECD">
        <w:rPr>
          <w:rFonts w:ascii="Calibri" w:eastAsia="Calibri" w:hAnsi="Calibri" w:cs="Calibri"/>
          <w:sz w:val="22"/>
          <w:szCs w:val="22"/>
        </w:rPr>
        <w:t xml:space="preserve">-Y”) </w:t>
      </w:r>
      <w:r>
        <w:rPr>
          <w:rFonts w:ascii="Calibri" w:eastAsia="Calibri" w:hAnsi="Calibri" w:cs="Calibri"/>
          <w:sz w:val="22"/>
          <w:szCs w:val="22"/>
        </w:rPr>
        <w:t xml:space="preserve">[2] to address the toxicity issues of other SHS (such as DMCHA) in the food and other regulated domains. The present paper compares </w:t>
      </w:r>
      <w:r w:rsidR="00A73ECD">
        <w:rPr>
          <w:rFonts w:ascii="Calibri" w:eastAsia="Calibri" w:hAnsi="Calibri" w:cs="Calibri"/>
          <w:sz w:val="22"/>
          <w:szCs w:val="22"/>
        </w:rPr>
        <w:t>its</w:t>
      </w:r>
      <w:r>
        <w:rPr>
          <w:rFonts w:ascii="Calibri" w:eastAsia="Calibri" w:hAnsi="Calibri" w:cs="Calibri"/>
          <w:sz w:val="22"/>
          <w:szCs w:val="22"/>
        </w:rPr>
        <w:t xml:space="preserve"> performance in microalgae extraction to </w:t>
      </w:r>
      <w:r w:rsidR="00A73ECD">
        <w:rPr>
          <w:rFonts w:ascii="Calibri" w:eastAsia="Calibri" w:hAnsi="Calibri" w:cs="Calibri"/>
          <w:sz w:val="22"/>
          <w:szCs w:val="22"/>
        </w:rPr>
        <w:t>that</w:t>
      </w:r>
      <w:r>
        <w:rPr>
          <w:rFonts w:ascii="Calibri" w:eastAsia="Calibri" w:hAnsi="Calibri" w:cs="Calibri"/>
          <w:sz w:val="22"/>
          <w:szCs w:val="22"/>
        </w:rPr>
        <w:t xml:space="preserve"> of DMCHA (</w:t>
      </w:r>
      <w:proofErr w:type="spellStart"/>
      <w:r>
        <w:rPr>
          <w:rFonts w:ascii="Calibri" w:eastAsia="Calibri" w:hAnsi="Calibri" w:cs="Calibri"/>
          <w:sz w:val="22"/>
          <w:szCs w:val="22"/>
        </w:rPr>
        <w:t>DimethylCycloHexylAmine</w:t>
      </w:r>
      <w:proofErr w:type="spellEnd"/>
      <w:r>
        <w:rPr>
          <w:rFonts w:ascii="Calibri" w:eastAsia="Calibri" w:hAnsi="Calibri" w:cs="Calibri"/>
          <w:sz w:val="22"/>
          <w:szCs w:val="22"/>
        </w:rPr>
        <w:t xml:space="preserve">) under said “Circular Extraction” approach. Choline chloride-based </w:t>
      </w:r>
      <w:proofErr w:type="spellStart"/>
      <w:r>
        <w:rPr>
          <w:rFonts w:ascii="Calibri" w:eastAsia="Calibri" w:hAnsi="Calibri" w:cs="Calibri"/>
          <w:sz w:val="22"/>
          <w:szCs w:val="22"/>
        </w:rPr>
        <w:t>NaDES</w:t>
      </w:r>
      <w:proofErr w:type="spellEnd"/>
      <w:r>
        <w:rPr>
          <w:rFonts w:ascii="Calibri" w:eastAsia="Calibri" w:hAnsi="Calibri" w:cs="Calibri"/>
          <w:sz w:val="22"/>
          <w:szCs w:val="22"/>
        </w:rPr>
        <w:t xml:space="preserve"> are of hydrophilic nature and exhibit polarity higher than water that can be tuned by adjusting water content in the </w:t>
      </w:r>
      <w:proofErr w:type="spellStart"/>
      <w:r>
        <w:rPr>
          <w:rFonts w:ascii="Calibri" w:eastAsia="Calibri" w:hAnsi="Calibri" w:cs="Calibri"/>
          <w:sz w:val="22"/>
          <w:szCs w:val="22"/>
        </w:rPr>
        <w:t>NaDES</w:t>
      </w:r>
      <w:proofErr w:type="spellEnd"/>
      <w:r>
        <w:rPr>
          <w:rFonts w:ascii="Calibri" w:eastAsia="Calibri" w:hAnsi="Calibri" w:cs="Calibri"/>
          <w:sz w:val="22"/>
          <w:szCs w:val="22"/>
        </w:rPr>
        <w:t xml:space="preserve"> formulation. Choline chloride-based </w:t>
      </w:r>
      <w:proofErr w:type="spellStart"/>
      <w:r>
        <w:rPr>
          <w:rFonts w:ascii="Calibri" w:eastAsia="Calibri" w:hAnsi="Calibri" w:cs="Calibri"/>
          <w:sz w:val="22"/>
          <w:szCs w:val="22"/>
        </w:rPr>
        <w:t>NaDES</w:t>
      </w:r>
      <w:proofErr w:type="spellEnd"/>
      <w:r>
        <w:rPr>
          <w:rFonts w:ascii="Calibri" w:eastAsia="Calibri" w:hAnsi="Calibri" w:cs="Calibri"/>
          <w:sz w:val="22"/>
          <w:szCs w:val="22"/>
        </w:rPr>
        <w:t xml:space="preserve"> </w:t>
      </w:r>
      <w:r w:rsidR="00A73ECD">
        <w:rPr>
          <w:rFonts w:ascii="Calibri" w:eastAsia="Calibri" w:hAnsi="Calibri" w:cs="Calibri"/>
          <w:sz w:val="22"/>
          <w:szCs w:val="22"/>
        </w:rPr>
        <w:t>are able to</w:t>
      </w:r>
      <w:r>
        <w:rPr>
          <w:rFonts w:ascii="Calibri" w:eastAsia="Calibri" w:hAnsi="Calibri" w:cs="Calibri"/>
          <w:sz w:val="22"/>
          <w:szCs w:val="22"/>
        </w:rPr>
        <w:t xml:space="preserve"> </w:t>
      </w:r>
      <w:proofErr w:type="spellStart"/>
      <w:r>
        <w:rPr>
          <w:rFonts w:ascii="Calibri" w:eastAsia="Calibri" w:hAnsi="Calibri" w:cs="Calibri"/>
          <w:sz w:val="22"/>
          <w:szCs w:val="22"/>
        </w:rPr>
        <w:t>solubilise</w:t>
      </w:r>
      <w:proofErr w:type="spellEnd"/>
      <w:r>
        <w:rPr>
          <w:rFonts w:ascii="Calibri" w:eastAsia="Calibri" w:hAnsi="Calibri" w:cs="Calibri"/>
          <w:sz w:val="22"/>
          <w:szCs w:val="22"/>
        </w:rPr>
        <w:t xml:space="preserve"> lignocellulose. However, a recent quantum leap forward in </w:t>
      </w:r>
      <w:proofErr w:type="spellStart"/>
      <w:r>
        <w:rPr>
          <w:rFonts w:ascii="Calibri" w:eastAsia="Calibri" w:hAnsi="Calibri" w:cs="Calibri"/>
          <w:sz w:val="22"/>
          <w:szCs w:val="22"/>
        </w:rPr>
        <w:t>NaDES</w:t>
      </w:r>
      <w:proofErr w:type="spellEnd"/>
      <w:r>
        <w:rPr>
          <w:rFonts w:ascii="Calibri" w:eastAsia="Calibri" w:hAnsi="Calibri" w:cs="Calibri"/>
          <w:sz w:val="22"/>
          <w:szCs w:val="22"/>
        </w:rPr>
        <w:t>-based processing has demonstrated [3] revolutionary closed-cycle fractionation of LCM into cellulose, hemicellulose and lignin.</w:t>
      </w:r>
    </w:p>
    <w:p w14:paraId="224B949F" w14:textId="77777777" w:rsidR="007B2ECD" w:rsidRDefault="007B2ECD">
      <w:pPr>
        <w:spacing w:before="240" w:line="300" w:lineRule="auto"/>
        <w:rPr>
          <w:rFonts w:ascii="Calibri" w:eastAsia="Calibri" w:hAnsi="Calibri" w:cs="Calibri"/>
          <w:b/>
          <w:color w:val="000000"/>
          <w:sz w:val="22"/>
          <w:szCs w:val="22"/>
        </w:rPr>
      </w:pPr>
    </w:p>
    <w:p w14:paraId="1D768B56" w14:textId="1415C5A2" w:rsidR="00F06542" w:rsidRDefault="00F41AEF">
      <w:pPr>
        <w:spacing w:before="240" w:line="300" w:lineRule="auto"/>
        <w:rPr>
          <w:rFonts w:ascii="Calibri" w:eastAsia="Calibri" w:hAnsi="Calibri" w:cs="Calibri"/>
          <w:color w:val="000000"/>
          <w:sz w:val="22"/>
          <w:szCs w:val="22"/>
        </w:rPr>
      </w:pPr>
      <w:r>
        <w:rPr>
          <w:rFonts w:ascii="Calibri" w:eastAsia="Calibri" w:hAnsi="Calibri" w:cs="Calibri"/>
          <w:b/>
          <w:color w:val="000000"/>
          <w:sz w:val="22"/>
          <w:szCs w:val="22"/>
        </w:rPr>
        <w:t>3. Results and discussion</w:t>
      </w:r>
    </w:p>
    <w:p w14:paraId="67CC2527" w14:textId="77777777" w:rsidR="00F06542" w:rsidRDefault="00F41AEF">
      <w:pPr>
        <w:spacing w:after="120"/>
        <w:rPr>
          <w:rFonts w:ascii="Calibri" w:eastAsia="Calibri" w:hAnsi="Calibri" w:cs="Calibri"/>
          <w:sz w:val="22"/>
          <w:szCs w:val="22"/>
        </w:rPr>
      </w:pPr>
      <w:r>
        <w:rPr>
          <w:rFonts w:ascii="Calibri" w:eastAsia="Calibri" w:hAnsi="Calibri" w:cs="Calibri"/>
          <w:sz w:val="22"/>
          <w:szCs w:val="22"/>
        </w:rPr>
        <w:t xml:space="preserve">As far as microalgal biomass biorefining is concerned, Sed at al. (2018) used the “Circular Extraction” protocol to assess </w:t>
      </w:r>
      <w:proofErr w:type="spellStart"/>
      <w:r>
        <w:rPr>
          <w:rFonts w:ascii="Calibri" w:eastAsia="Calibri" w:hAnsi="Calibri" w:cs="Calibri"/>
          <w:sz w:val="22"/>
          <w:szCs w:val="22"/>
        </w:rPr>
        <w:t>NaDES</w:t>
      </w:r>
      <w:proofErr w:type="spellEnd"/>
      <w:r>
        <w:rPr>
          <w:rFonts w:ascii="Calibri" w:eastAsia="Calibri" w:hAnsi="Calibri" w:cs="Calibri"/>
          <w:sz w:val="22"/>
          <w:szCs w:val="22"/>
        </w:rPr>
        <w:t>-Y potential in extracting useful biological fractions compared to DMCHA, a well-known SHS. Results are shown in Table 1.</w:t>
      </w:r>
    </w:p>
    <w:tbl>
      <w:tblPr>
        <w:tblStyle w:val="a"/>
        <w:tblW w:w="891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900"/>
        <w:gridCol w:w="945"/>
        <w:gridCol w:w="840"/>
        <w:gridCol w:w="1575"/>
        <w:gridCol w:w="1035"/>
        <w:gridCol w:w="975"/>
        <w:gridCol w:w="1260"/>
      </w:tblGrid>
      <w:tr w:rsidR="00F06542" w14:paraId="1C1190D4" w14:textId="77777777">
        <w:trPr>
          <w:trHeight w:val="440"/>
        </w:trPr>
        <w:tc>
          <w:tcPr>
            <w:tcW w:w="1380" w:type="dxa"/>
            <w:vMerge w:val="restart"/>
            <w:shd w:val="clear" w:color="auto" w:fill="auto"/>
            <w:tcMar>
              <w:top w:w="100" w:type="dxa"/>
              <w:left w:w="100" w:type="dxa"/>
              <w:bottom w:w="100" w:type="dxa"/>
              <w:right w:w="100" w:type="dxa"/>
            </w:tcMar>
          </w:tcPr>
          <w:p w14:paraId="1DBA2AE0" w14:textId="77777777" w:rsidR="00F06542" w:rsidRDefault="00F41AEF">
            <w:pPr>
              <w:widowControl w:val="0"/>
              <w:spacing w:line="240" w:lineRule="auto"/>
              <w:jc w:val="center"/>
              <w:rPr>
                <w:rFonts w:ascii="Calibri" w:eastAsia="Calibri" w:hAnsi="Calibri" w:cs="Calibri"/>
                <w:sz w:val="20"/>
                <w:szCs w:val="20"/>
              </w:rPr>
            </w:pPr>
            <w:r>
              <w:rPr>
                <w:rFonts w:ascii="Calibri" w:eastAsia="Calibri" w:hAnsi="Calibri" w:cs="Calibri"/>
                <w:sz w:val="20"/>
                <w:szCs w:val="20"/>
              </w:rPr>
              <w:t>FME</w:t>
            </w:r>
          </w:p>
          <w:p w14:paraId="0A0BA7D3" w14:textId="77777777" w:rsidR="00F06542" w:rsidRDefault="00F41AEF">
            <w:pPr>
              <w:widowControl w:val="0"/>
              <w:spacing w:line="240" w:lineRule="auto"/>
              <w:jc w:val="center"/>
              <w:rPr>
                <w:rFonts w:ascii="Calibri" w:eastAsia="Calibri" w:hAnsi="Calibri" w:cs="Calibri"/>
                <w:sz w:val="20"/>
                <w:szCs w:val="20"/>
              </w:rPr>
            </w:pPr>
            <w:r>
              <w:rPr>
                <w:rFonts w:ascii="Calibri" w:eastAsia="Calibri" w:hAnsi="Calibri" w:cs="Calibri"/>
                <w:sz w:val="20"/>
                <w:szCs w:val="20"/>
              </w:rPr>
              <w:t xml:space="preserve">Extraction </w:t>
            </w:r>
          </w:p>
          <w:p w14:paraId="7C31F1F6" w14:textId="77777777" w:rsidR="00F06542" w:rsidRDefault="00F41AEF">
            <w:pPr>
              <w:widowControl w:val="0"/>
              <w:spacing w:line="240" w:lineRule="auto"/>
              <w:jc w:val="center"/>
              <w:rPr>
                <w:rFonts w:ascii="Calibri" w:eastAsia="Calibri" w:hAnsi="Calibri" w:cs="Calibri"/>
                <w:sz w:val="20"/>
                <w:szCs w:val="20"/>
              </w:rPr>
            </w:pPr>
            <w:r>
              <w:rPr>
                <w:rFonts w:ascii="Calibri" w:eastAsia="Calibri" w:hAnsi="Calibri" w:cs="Calibri"/>
                <w:sz w:val="20"/>
                <w:szCs w:val="20"/>
              </w:rPr>
              <w:t>stage</w:t>
            </w:r>
          </w:p>
        </w:tc>
        <w:tc>
          <w:tcPr>
            <w:tcW w:w="2685" w:type="dxa"/>
            <w:gridSpan w:val="3"/>
          </w:tcPr>
          <w:p w14:paraId="231C5FEF" w14:textId="77777777" w:rsidR="00F06542" w:rsidRDefault="00F41AEF">
            <w:pPr>
              <w:widowControl w:val="0"/>
              <w:spacing w:line="240" w:lineRule="auto"/>
              <w:jc w:val="center"/>
              <w:rPr>
                <w:rFonts w:ascii="Calibri" w:eastAsia="Calibri" w:hAnsi="Calibri" w:cs="Calibri"/>
                <w:sz w:val="20"/>
                <w:szCs w:val="20"/>
              </w:rPr>
            </w:pPr>
            <w:r>
              <w:rPr>
                <w:rFonts w:ascii="Calibri" w:eastAsia="Calibri" w:hAnsi="Calibri" w:cs="Calibri"/>
                <w:sz w:val="20"/>
                <w:szCs w:val="20"/>
              </w:rPr>
              <w:t>Metabolite extraction in FME</w:t>
            </w:r>
          </w:p>
        </w:tc>
        <w:tc>
          <w:tcPr>
            <w:tcW w:w="1575" w:type="dxa"/>
            <w:vMerge w:val="restart"/>
          </w:tcPr>
          <w:p w14:paraId="12990727" w14:textId="77777777" w:rsidR="00F06542" w:rsidRDefault="00F41AEF">
            <w:pPr>
              <w:widowControl w:val="0"/>
              <w:spacing w:line="240" w:lineRule="auto"/>
              <w:jc w:val="center"/>
              <w:rPr>
                <w:rFonts w:ascii="Calibri" w:eastAsia="Calibri" w:hAnsi="Calibri" w:cs="Calibri"/>
                <w:sz w:val="20"/>
                <w:szCs w:val="20"/>
              </w:rPr>
            </w:pPr>
            <w:r>
              <w:rPr>
                <w:rFonts w:ascii="Calibri" w:eastAsia="Calibri" w:hAnsi="Calibri" w:cs="Calibri"/>
                <w:sz w:val="20"/>
                <w:szCs w:val="20"/>
              </w:rPr>
              <w:t>BME</w:t>
            </w:r>
          </w:p>
          <w:p w14:paraId="13B426E8" w14:textId="77777777" w:rsidR="00F06542" w:rsidRDefault="00F41AEF">
            <w:pPr>
              <w:widowControl w:val="0"/>
              <w:spacing w:line="240" w:lineRule="auto"/>
              <w:jc w:val="center"/>
              <w:rPr>
                <w:rFonts w:ascii="Calibri" w:eastAsia="Calibri" w:hAnsi="Calibri" w:cs="Calibri"/>
                <w:sz w:val="20"/>
                <w:szCs w:val="20"/>
              </w:rPr>
            </w:pPr>
            <w:r>
              <w:rPr>
                <w:rFonts w:ascii="Calibri" w:eastAsia="Calibri" w:hAnsi="Calibri" w:cs="Calibri"/>
                <w:sz w:val="20"/>
                <w:szCs w:val="20"/>
              </w:rPr>
              <w:t xml:space="preserve">Extraction </w:t>
            </w:r>
          </w:p>
          <w:p w14:paraId="01454D8E" w14:textId="77777777" w:rsidR="00F06542" w:rsidRDefault="00F41AEF">
            <w:pPr>
              <w:widowControl w:val="0"/>
              <w:spacing w:line="240" w:lineRule="auto"/>
              <w:jc w:val="center"/>
              <w:rPr>
                <w:rFonts w:ascii="Calibri" w:eastAsia="Calibri" w:hAnsi="Calibri" w:cs="Calibri"/>
                <w:sz w:val="20"/>
                <w:szCs w:val="20"/>
              </w:rPr>
            </w:pPr>
            <w:r>
              <w:rPr>
                <w:rFonts w:ascii="Calibri" w:eastAsia="Calibri" w:hAnsi="Calibri" w:cs="Calibri"/>
                <w:sz w:val="20"/>
                <w:szCs w:val="20"/>
              </w:rPr>
              <w:t>stage</w:t>
            </w:r>
          </w:p>
        </w:tc>
        <w:tc>
          <w:tcPr>
            <w:tcW w:w="3270" w:type="dxa"/>
            <w:gridSpan w:val="3"/>
          </w:tcPr>
          <w:p w14:paraId="5ABCE7B2" w14:textId="77777777" w:rsidR="00F06542" w:rsidRDefault="00F41AEF">
            <w:pPr>
              <w:widowControl w:val="0"/>
              <w:spacing w:line="240" w:lineRule="auto"/>
              <w:jc w:val="center"/>
              <w:rPr>
                <w:rFonts w:ascii="Calibri" w:eastAsia="Calibri" w:hAnsi="Calibri" w:cs="Calibri"/>
                <w:sz w:val="20"/>
                <w:szCs w:val="20"/>
              </w:rPr>
            </w:pPr>
            <w:r>
              <w:rPr>
                <w:rFonts w:ascii="Calibri" w:eastAsia="Calibri" w:hAnsi="Calibri" w:cs="Calibri"/>
                <w:sz w:val="20"/>
                <w:szCs w:val="20"/>
              </w:rPr>
              <w:t>Metabolite extraction in BME</w:t>
            </w:r>
          </w:p>
        </w:tc>
      </w:tr>
      <w:tr w:rsidR="00F06542" w14:paraId="14BB8E75" w14:textId="77777777">
        <w:trPr>
          <w:trHeight w:val="440"/>
        </w:trPr>
        <w:tc>
          <w:tcPr>
            <w:tcW w:w="1380" w:type="dxa"/>
            <w:vMerge/>
            <w:shd w:val="clear" w:color="auto" w:fill="auto"/>
            <w:tcMar>
              <w:top w:w="100" w:type="dxa"/>
              <w:left w:w="100" w:type="dxa"/>
              <w:bottom w:w="100" w:type="dxa"/>
              <w:right w:w="100" w:type="dxa"/>
            </w:tcMar>
          </w:tcPr>
          <w:p w14:paraId="68EDC8F0" w14:textId="77777777" w:rsidR="00F06542" w:rsidRDefault="00F06542">
            <w:pPr>
              <w:widowControl w:val="0"/>
              <w:spacing w:line="240" w:lineRule="auto"/>
              <w:jc w:val="center"/>
              <w:rPr>
                <w:rFonts w:ascii="Calibri" w:eastAsia="Calibri" w:hAnsi="Calibri" w:cs="Calibri"/>
                <w:sz w:val="20"/>
                <w:szCs w:val="20"/>
              </w:rPr>
            </w:pPr>
          </w:p>
        </w:tc>
        <w:tc>
          <w:tcPr>
            <w:tcW w:w="900" w:type="dxa"/>
          </w:tcPr>
          <w:p w14:paraId="05429AAC" w14:textId="77777777" w:rsidR="00F06542" w:rsidRDefault="00F41AEF">
            <w:pPr>
              <w:widowControl w:val="0"/>
              <w:spacing w:line="240" w:lineRule="auto"/>
              <w:jc w:val="center"/>
              <w:rPr>
                <w:rFonts w:ascii="Calibri" w:eastAsia="Calibri" w:hAnsi="Calibri" w:cs="Calibri"/>
                <w:sz w:val="20"/>
                <w:szCs w:val="20"/>
              </w:rPr>
            </w:pPr>
            <w:r>
              <w:rPr>
                <w:rFonts w:ascii="Calibri" w:eastAsia="Calibri" w:hAnsi="Calibri" w:cs="Calibri"/>
                <w:sz w:val="20"/>
                <w:szCs w:val="20"/>
              </w:rPr>
              <w:t>Proteins</w:t>
            </w:r>
          </w:p>
        </w:tc>
        <w:tc>
          <w:tcPr>
            <w:tcW w:w="945" w:type="dxa"/>
          </w:tcPr>
          <w:p w14:paraId="67347925" w14:textId="77777777" w:rsidR="00F06542" w:rsidRDefault="00F41AEF">
            <w:pPr>
              <w:widowControl w:val="0"/>
              <w:spacing w:line="240" w:lineRule="auto"/>
              <w:jc w:val="center"/>
              <w:rPr>
                <w:rFonts w:ascii="Calibri" w:eastAsia="Calibri" w:hAnsi="Calibri" w:cs="Calibri"/>
                <w:sz w:val="20"/>
                <w:szCs w:val="20"/>
              </w:rPr>
            </w:pPr>
            <w:r>
              <w:rPr>
                <w:rFonts w:ascii="Calibri" w:eastAsia="Calibri" w:hAnsi="Calibri" w:cs="Calibri"/>
                <w:sz w:val="20"/>
                <w:szCs w:val="20"/>
              </w:rPr>
              <w:t>Carbo-</w:t>
            </w:r>
            <w:r>
              <w:rPr>
                <w:rFonts w:ascii="Calibri" w:eastAsia="Calibri" w:hAnsi="Calibri" w:cs="Calibri"/>
                <w:sz w:val="20"/>
                <w:szCs w:val="20"/>
              </w:rPr>
              <w:br/>
              <w:t>hydrates</w:t>
            </w:r>
          </w:p>
        </w:tc>
        <w:tc>
          <w:tcPr>
            <w:tcW w:w="840" w:type="dxa"/>
          </w:tcPr>
          <w:p w14:paraId="63187747" w14:textId="77777777" w:rsidR="00F06542" w:rsidRDefault="00F41AEF">
            <w:pPr>
              <w:widowControl w:val="0"/>
              <w:spacing w:line="240" w:lineRule="auto"/>
              <w:jc w:val="center"/>
              <w:rPr>
                <w:rFonts w:ascii="Calibri" w:eastAsia="Calibri" w:hAnsi="Calibri" w:cs="Calibri"/>
                <w:sz w:val="20"/>
                <w:szCs w:val="20"/>
              </w:rPr>
            </w:pPr>
            <w:r>
              <w:rPr>
                <w:rFonts w:ascii="Calibri" w:eastAsia="Calibri" w:hAnsi="Calibri" w:cs="Calibri"/>
                <w:sz w:val="20"/>
                <w:szCs w:val="20"/>
              </w:rPr>
              <w:t>Lipids</w:t>
            </w:r>
          </w:p>
        </w:tc>
        <w:tc>
          <w:tcPr>
            <w:tcW w:w="1575" w:type="dxa"/>
            <w:vMerge/>
          </w:tcPr>
          <w:p w14:paraId="3CA4BBC8" w14:textId="77777777" w:rsidR="00F06542" w:rsidRDefault="00F06542">
            <w:pPr>
              <w:widowControl w:val="0"/>
              <w:spacing w:line="240" w:lineRule="auto"/>
              <w:jc w:val="center"/>
              <w:rPr>
                <w:rFonts w:ascii="Calibri" w:eastAsia="Calibri" w:hAnsi="Calibri" w:cs="Calibri"/>
                <w:sz w:val="20"/>
                <w:szCs w:val="20"/>
              </w:rPr>
            </w:pPr>
          </w:p>
        </w:tc>
        <w:tc>
          <w:tcPr>
            <w:tcW w:w="1035" w:type="dxa"/>
          </w:tcPr>
          <w:p w14:paraId="16C4AB18" w14:textId="77777777" w:rsidR="00F06542" w:rsidRDefault="00F41AEF">
            <w:pPr>
              <w:widowControl w:val="0"/>
              <w:spacing w:line="240" w:lineRule="auto"/>
              <w:jc w:val="center"/>
              <w:rPr>
                <w:rFonts w:ascii="Calibri" w:eastAsia="Calibri" w:hAnsi="Calibri" w:cs="Calibri"/>
                <w:sz w:val="20"/>
                <w:szCs w:val="20"/>
              </w:rPr>
            </w:pPr>
            <w:r>
              <w:rPr>
                <w:rFonts w:ascii="Calibri" w:eastAsia="Calibri" w:hAnsi="Calibri" w:cs="Calibri"/>
                <w:sz w:val="20"/>
                <w:szCs w:val="20"/>
              </w:rPr>
              <w:t>Proteins</w:t>
            </w:r>
          </w:p>
        </w:tc>
        <w:tc>
          <w:tcPr>
            <w:tcW w:w="975" w:type="dxa"/>
          </w:tcPr>
          <w:p w14:paraId="11E47D7B" w14:textId="77777777" w:rsidR="00F06542" w:rsidRDefault="00F41AEF">
            <w:pPr>
              <w:widowControl w:val="0"/>
              <w:spacing w:line="240" w:lineRule="auto"/>
              <w:jc w:val="center"/>
              <w:rPr>
                <w:rFonts w:ascii="Calibri" w:eastAsia="Calibri" w:hAnsi="Calibri" w:cs="Calibri"/>
                <w:sz w:val="20"/>
                <w:szCs w:val="20"/>
              </w:rPr>
            </w:pPr>
            <w:r>
              <w:rPr>
                <w:rFonts w:ascii="Calibri" w:eastAsia="Calibri" w:hAnsi="Calibri" w:cs="Calibri"/>
                <w:sz w:val="20"/>
                <w:szCs w:val="20"/>
              </w:rPr>
              <w:t>Carbo-</w:t>
            </w:r>
            <w:r>
              <w:rPr>
                <w:rFonts w:ascii="Calibri" w:eastAsia="Calibri" w:hAnsi="Calibri" w:cs="Calibri"/>
                <w:sz w:val="20"/>
                <w:szCs w:val="20"/>
              </w:rPr>
              <w:br/>
              <w:t>hydrates</w:t>
            </w:r>
          </w:p>
        </w:tc>
        <w:tc>
          <w:tcPr>
            <w:tcW w:w="1260" w:type="dxa"/>
          </w:tcPr>
          <w:p w14:paraId="05AE8F49" w14:textId="77777777" w:rsidR="00F06542" w:rsidRDefault="00F41AEF">
            <w:pPr>
              <w:widowControl w:val="0"/>
              <w:spacing w:line="240" w:lineRule="auto"/>
              <w:jc w:val="center"/>
              <w:rPr>
                <w:rFonts w:ascii="Calibri" w:eastAsia="Calibri" w:hAnsi="Calibri" w:cs="Calibri"/>
                <w:sz w:val="20"/>
                <w:szCs w:val="20"/>
              </w:rPr>
            </w:pPr>
            <w:r>
              <w:rPr>
                <w:rFonts w:ascii="Calibri" w:eastAsia="Calibri" w:hAnsi="Calibri" w:cs="Calibri"/>
                <w:sz w:val="20"/>
                <w:szCs w:val="20"/>
              </w:rPr>
              <w:t>Lipids</w:t>
            </w:r>
          </w:p>
        </w:tc>
      </w:tr>
      <w:tr w:rsidR="00F06542" w14:paraId="35CA0904" w14:textId="77777777">
        <w:tc>
          <w:tcPr>
            <w:tcW w:w="1380" w:type="dxa"/>
            <w:tcMar>
              <w:top w:w="0" w:type="dxa"/>
              <w:left w:w="40" w:type="dxa"/>
              <w:bottom w:w="0" w:type="dxa"/>
              <w:right w:w="40" w:type="dxa"/>
            </w:tcMar>
            <w:vAlign w:val="center"/>
          </w:tcPr>
          <w:p w14:paraId="7A54D50C" w14:textId="77777777" w:rsidR="00F06542" w:rsidRDefault="00F41AEF">
            <w:pPr>
              <w:spacing w:line="240" w:lineRule="auto"/>
              <w:jc w:val="left"/>
              <w:rPr>
                <w:rFonts w:ascii="Calibri" w:eastAsia="Calibri" w:hAnsi="Calibri" w:cs="Calibri"/>
                <w:sz w:val="20"/>
                <w:szCs w:val="20"/>
              </w:rPr>
            </w:pPr>
            <w:r>
              <w:rPr>
                <w:rFonts w:ascii="Calibri" w:eastAsia="Calibri" w:hAnsi="Calibri" w:cs="Calibri"/>
                <w:sz w:val="20"/>
                <w:szCs w:val="20"/>
              </w:rPr>
              <w:t>I - Hydrophobic</w:t>
            </w:r>
          </w:p>
        </w:tc>
        <w:tc>
          <w:tcPr>
            <w:tcW w:w="900" w:type="dxa"/>
            <w:shd w:val="clear" w:color="auto" w:fill="auto"/>
            <w:tcMar>
              <w:top w:w="100" w:type="dxa"/>
              <w:left w:w="100" w:type="dxa"/>
              <w:bottom w:w="100" w:type="dxa"/>
              <w:right w:w="100" w:type="dxa"/>
            </w:tcMar>
          </w:tcPr>
          <w:p w14:paraId="237E368E" w14:textId="77777777" w:rsidR="00F06542" w:rsidRDefault="00F41AEF">
            <w:pPr>
              <w:widowControl w:val="0"/>
              <w:spacing w:line="240" w:lineRule="auto"/>
              <w:jc w:val="right"/>
              <w:rPr>
                <w:rFonts w:ascii="Calibri" w:eastAsia="Calibri" w:hAnsi="Calibri" w:cs="Calibri"/>
                <w:sz w:val="20"/>
                <w:szCs w:val="20"/>
              </w:rPr>
            </w:pPr>
            <w:r>
              <w:rPr>
                <w:rFonts w:ascii="Calibri" w:eastAsia="Calibri" w:hAnsi="Calibri" w:cs="Calibri"/>
                <w:sz w:val="20"/>
                <w:szCs w:val="20"/>
              </w:rPr>
              <w:t>4 (7)</w:t>
            </w:r>
          </w:p>
        </w:tc>
        <w:tc>
          <w:tcPr>
            <w:tcW w:w="945" w:type="dxa"/>
            <w:shd w:val="clear" w:color="auto" w:fill="auto"/>
            <w:tcMar>
              <w:top w:w="100" w:type="dxa"/>
              <w:left w:w="100" w:type="dxa"/>
              <w:bottom w:w="100" w:type="dxa"/>
              <w:right w:w="100" w:type="dxa"/>
            </w:tcMar>
          </w:tcPr>
          <w:p w14:paraId="3BFFAF8A" w14:textId="77777777" w:rsidR="00F06542" w:rsidRDefault="00F41AEF">
            <w:pPr>
              <w:widowControl w:val="0"/>
              <w:spacing w:line="240" w:lineRule="auto"/>
              <w:jc w:val="right"/>
              <w:rPr>
                <w:rFonts w:ascii="Calibri" w:eastAsia="Calibri" w:hAnsi="Calibri" w:cs="Calibri"/>
                <w:sz w:val="20"/>
                <w:szCs w:val="20"/>
              </w:rPr>
            </w:pPr>
            <w:r>
              <w:rPr>
                <w:rFonts w:ascii="Calibri" w:eastAsia="Calibri" w:hAnsi="Calibri" w:cs="Calibri"/>
                <w:sz w:val="20"/>
                <w:szCs w:val="20"/>
              </w:rPr>
              <w:t>8 (42)</w:t>
            </w:r>
          </w:p>
        </w:tc>
        <w:tc>
          <w:tcPr>
            <w:tcW w:w="840" w:type="dxa"/>
            <w:shd w:val="clear" w:color="auto" w:fill="auto"/>
            <w:tcMar>
              <w:top w:w="100" w:type="dxa"/>
              <w:left w:w="100" w:type="dxa"/>
              <w:bottom w:w="100" w:type="dxa"/>
              <w:right w:w="100" w:type="dxa"/>
            </w:tcMar>
          </w:tcPr>
          <w:p w14:paraId="5AFE25AF" w14:textId="77777777" w:rsidR="00F06542" w:rsidRDefault="00F41AEF">
            <w:pPr>
              <w:widowControl w:val="0"/>
              <w:spacing w:line="240" w:lineRule="auto"/>
              <w:jc w:val="right"/>
              <w:rPr>
                <w:rFonts w:ascii="Calibri" w:eastAsia="Calibri" w:hAnsi="Calibri" w:cs="Calibri"/>
                <w:sz w:val="20"/>
                <w:szCs w:val="20"/>
              </w:rPr>
            </w:pPr>
            <w:r>
              <w:rPr>
                <w:rFonts w:ascii="Calibri" w:eastAsia="Calibri" w:hAnsi="Calibri" w:cs="Calibri"/>
                <w:sz w:val="20"/>
                <w:szCs w:val="20"/>
              </w:rPr>
              <w:t>88(96)</w:t>
            </w:r>
          </w:p>
        </w:tc>
        <w:tc>
          <w:tcPr>
            <w:tcW w:w="1575" w:type="dxa"/>
            <w:shd w:val="clear" w:color="auto" w:fill="auto"/>
            <w:tcMar>
              <w:top w:w="100" w:type="dxa"/>
              <w:left w:w="100" w:type="dxa"/>
              <w:bottom w:w="100" w:type="dxa"/>
              <w:right w:w="100" w:type="dxa"/>
            </w:tcMar>
          </w:tcPr>
          <w:p w14:paraId="62F8A1A2" w14:textId="77777777" w:rsidR="00F06542" w:rsidRDefault="00F41AEF">
            <w:pPr>
              <w:spacing w:line="240" w:lineRule="auto"/>
              <w:jc w:val="left"/>
              <w:rPr>
                <w:rFonts w:ascii="Calibri" w:eastAsia="Calibri" w:hAnsi="Calibri" w:cs="Calibri"/>
                <w:sz w:val="20"/>
                <w:szCs w:val="20"/>
              </w:rPr>
            </w:pPr>
            <w:r>
              <w:rPr>
                <w:rFonts w:ascii="Calibri" w:eastAsia="Calibri" w:hAnsi="Calibri" w:cs="Calibri"/>
                <w:sz w:val="20"/>
                <w:szCs w:val="20"/>
              </w:rPr>
              <w:t>I - Hydrophilic</w:t>
            </w:r>
          </w:p>
        </w:tc>
        <w:tc>
          <w:tcPr>
            <w:tcW w:w="1035" w:type="dxa"/>
            <w:shd w:val="clear" w:color="auto" w:fill="auto"/>
            <w:tcMar>
              <w:top w:w="100" w:type="dxa"/>
              <w:left w:w="100" w:type="dxa"/>
              <w:bottom w:w="100" w:type="dxa"/>
              <w:right w:w="100" w:type="dxa"/>
            </w:tcMar>
          </w:tcPr>
          <w:p w14:paraId="775DB5BD" w14:textId="77777777" w:rsidR="00F06542" w:rsidRDefault="00F41AEF">
            <w:pPr>
              <w:widowControl w:val="0"/>
              <w:spacing w:line="240" w:lineRule="auto"/>
              <w:jc w:val="right"/>
              <w:rPr>
                <w:rFonts w:ascii="Calibri" w:eastAsia="Calibri" w:hAnsi="Calibri" w:cs="Calibri"/>
                <w:sz w:val="20"/>
                <w:szCs w:val="20"/>
              </w:rPr>
            </w:pPr>
            <w:r>
              <w:rPr>
                <w:rFonts w:ascii="Calibri" w:eastAsia="Calibri" w:hAnsi="Calibri" w:cs="Calibri"/>
                <w:sz w:val="20"/>
                <w:szCs w:val="20"/>
              </w:rPr>
              <w:t>4 (7)</w:t>
            </w:r>
          </w:p>
        </w:tc>
        <w:tc>
          <w:tcPr>
            <w:tcW w:w="975" w:type="dxa"/>
            <w:shd w:val="clear" w:color="auto" w:fill="auto"/>
            <w:tcMar>
              <w:top w:w="100" w:type="dxa"/>
              <w:left w:w="100" w:type="dxa"/>
              <w:bottom w:w="100" w:type="dxa"/>
              <w:right w:w="100" w:type="dxa"/>
            </w:tcMar>
          </w:tcPr>
          <w:p w14:paraId="61121775" w14:textId="77777777" w:rsidR="00F06542" w:rsidRDefault="00F41AEF">
            <w:pPr>
              <w:widowControl w:val="0"/>
              <w:spacing w:line="240" w:lineRule="auto"/>
              <w:jc w:val="right"/>
              <w:rPr>
                <w:rFonts w:ascii="Calibri" w:eastAsia="Calibri" w:hAnsi="Calibri" w:cs="Calibri"/>
                <w:sz w:val="20"/>
                <w:szCs w:val="20"/>
              </w:rPr>
            </w:pPr>
            <w:r>
              <w:rPr>
                <w:rFonts w:ascii="Calibri" w:eastAsia="Calibri" w:hAnsi="Calibri" w:cs="Calibri"/>
                <w:sz w:val="20"/>
                <w:szCs w:val="20"/>
              </w:rPr>
              <w:t>8 (42)</w:t>
            </w:r>
          </w:p>
        </w:tc>
        <w:tc>
          <w:tcPr>
            <w:tcW w:w="1260" w:type="dxa"/>
            <w:shd w:val="clear" w:color="auto" w:fill="auto"/>
            <w:tcMar>
              <w:top w:w="100" w:type="dxa"/>
              <w:left w:w="100" w:type="dxa"/>
              <w:bottom w:w="100" w:type="dxa"/>
              <w:right w:w="100" w:type="dxa"/>
            </w:tcMar>
          </w:tcPr>
          <w:p w14:paraId="0E1AD0D4" w14:textId="77777777" w:rsidR="00F06542" w:rsidRDefault="00F41AEF">
            <w:pPr>
              <w:widowControl w:val="0"/>
              <w:spacing w:line="240" w:lineRule="auto"/>
              <w:jc w:val="right"/>
              <w:rPr>
                <w:rFonts w:ascii="Calibri" w:eastAsia="Calibri" w:hAnsi="Calibri" w:cs="Calibri"/>
                <w:sz w:val="20"/>
                <w:szCs w:val="20"/>
              </w:rPr>
            </w:pPr>
            <w:r>
              <w:rPr>
                <w:rFonts w:ascii="Calibri" w:eastAsia="Calibri" w:hAnsi="Calibri" w:cs="Calibri"/>
                <w:sz w:val="20"/>
                <w:szCs w:val="20"/>
              </w:rPr>
              <w:t>88(96)</w:t>
            </w:r>
          </w:p>
        </w:tc>
      </w:tr>
      <w:tr w:rsidR="00F06542" w14:paraId="2BBBE187" w14:textId="77777777">
        <w:tc>
          <w:tcPr>
            <w:tcW w:w="1380" w:type="dxa"/>
            <w:tcMar>
              <w:top w:w="0" w:type="dxa"/>
              <w:left w:w="40" w:type="dxa"/>
              <w:bottom w:w="0" w:type="dxa"/>
              <w:right w:w="40" w:type="dxa"/>
            </w:tcMar>
            <w:vAlign w:val="center"/>
          </w:tcPr>
          <w:p w14:paraId="22C8BA8B" w14:textId="77777777" w:rsidR="00F06542" w:rsidRDefault="00F41AEF">
            <w:pPr>
              <w:spacing w:line="240" w:lineRule="auto"/>
              <w:jc w:val="left"/>
              <w:rPr>
                <w:rFonts w:ascii="Calibri" w:eastAsia="Calibri" w:hAnsi="Calibri" w:cs="Calibri"/>
                <w:sz w:val="20"/>
                <w:szCs w:val="20"/>
              </w:rPr>
            </w:pPr>
            <w:r>
              <w:rPr>
                <w:rFonts w:ascii="Calibri" w:eastAsia="Calibri" w:hAnsi="Calibri" w:cs="Calibri"/>
                <w:sz w:val="20"/>
                <w:szCs w:val="20"/>
              </w:rPr>
              <w:t>II - Hydrophilic</w:t>
            </w:r>
          </w:p>
        </w:tc>
        <w:tc>
          <w:tcPr>
            <w:tcW w:w="900" w:type="dxa"/>
            <w:shd w:val="clear" w:color="auto" w:fill="auto"/>
            <w:tcMar>
              <w:top w:w="100" w:type="dxa"/>
              <w:left w:w="100" w:type="dxa"/>
              <w:bottom w:w="100" w:type="dxa"/>
              <w:right w:w="100" w:type="dxa"/>
            </w:tcMar>
          </w:tcPr>
          <w:p w14:paraId="09A9230B" w14:textId="77777777" w:rsidR="00F06542" w:rsidRDefault="00F41AEF">
            <w:pPr>
              <w:widowControl w:val="0"/>
              <w:spacing w:line="240" w:lineRule="auto"/>
              <w:jc w:val="right"/>
              <w:rPr>
                <w:rFonts w:ascii="Calibri" w:eastAsia="Calibri" w:hAnsi="Calibri" w:cs="Calibri"/>
                <w:sz w:val="20"/>
                <w:szCs w:val="20"/>
              </w:rPr>
            </w:pPr>
            <w:r>
              <w:rPr>
                <w:rFonts w:ascii="Calibri" w:eastAsia="Calibri" w:hAnsi="Calibri" w:cs="Calibri"/>
                <w:sz w:val="20"/>
                <w:szCs w:val="20"/>
              </w:rPr>
              <w:t>32 (34)</w:t>
            </w:r>
          </w:p>
        </w:tc>
        <w:tc>
          <w:tcPr>
            <w:tcW w:w="945" w:type="dxa"/>
            <w:shd w:val="clear" w:color="auto" w:fill="auto"/>
            <w:tcMar>
              <w:top w:w="100" w:type="dxa"/>
              <w:left w:w="100" w:type="dxa"/>
              <w:bottom w:w="100" w:type="dxa"/>
              <w:right w:w="100" w:type="dxa"/>
            </w:tcMar>
          </w:tcPr>
          <w:p w14:paraId="38B2077B" w14:textId="77777777" w:rsidR="00F06542" w:rsidRDefault="00F41AEF">
            <w:pPr>
              <w:widowControl w:val="0"/>
              <w:spacing w:line="240" w:lineRule="auto"/>
              <w:jc w:val="right"/>
              <w:rPr>
                <w:rFonts w:ascii="Calibri" w:eastAsia="Calibri" w:hAnsi="Calibri" w:cs="Calibri"/>
                <w:sz w:val="20"/>
                <w:szCs w:val="20"/>
              </w:rPr>
            </w:pPr>
            <w:r>
              <w:rPr>
                <w:rFonts w:ascii="Calibri" w:eastAsia="Calibri" w:hAnsi="Calibri" w:cs="Calibri"/>
                <w:sz w:val="20"/>
                <w:szCs w:val="20"/>
              </w:rPr>
              <w:t>25 (9)</w:t>
            </w:r>
          </w:p>
        </w:tc>
        <w:tc>
          <w:tcPr>
            <w:tcW w:w="840" w:type="dxa"/>
            <w:shd w:val="clear" w:color="auto" w:fill="auto"/>
            <w:tcMar>
              <w:top w:w="100" w:type="dxa"/>
              <w:left w:w="100" w:type="dxa"/>
              <w:bottom w:w="100" w:type="dxa"/>
              <w:right w:w="100" w:type="dxa"/>
            </w:tcMar>
          </w:tcPr>
          <w:p w14:paraId="20D5D326" w14:textId="77777777" w:rsidR="00F06542" w:rsidRDefault="00F41AEF">
            <w:pPr>
              <w:widowControl w:val="0"/>
              <w:spacing w:line="240" w:lineRule="auto"/>
              <w:jc w:val="right"/>
              <w:rPr>
                <w:rFonts w:ascii="Calibri" w:eastAsia="Calibri" w:hAnsi="Calibri" w:cs="Calibri"/>
                <w:sz w:val="20"/>
                <w:szCs w:val="20"/>
              </w:rPr>
            </w:pPr>
            <w:r>
              <w:rPr>
                <w:rFonts w:ascii="Calibri" w:eastAsia="Calibri" w:hAnsi="Calibri" w:cs="Calibri"/>
                <w:sz w:val="20"/>
                <w:szCs w:val="20"/>
              </w:rPr>
              <w:t>0 (0)</w:t>
            </w:r>
          </w:p>
        </w:tc>
        <w:tc>
          <w:tcPr>
            <w:tcW w:w="1575" w:type="dxa"/>
            <w:shd w:val="clear" w:color="auto" w:fill="auto"/>
            <w:tcMar>
              <w:top w:w="100" w:type="dxa"/>
              <w:left w:w="100" w:type="dxa"/>
              <w:bottom w:w="100" w:type="dxa"/>
              <w:right w:w="100" w:type="dxa"/>
            </w:tcMar>
          </w:tcPr>
          <w:p w14:paraId="46122E00" w14:textId="77777777" w:rsidR="00F06542" w:rsidRDefault="00F41AEF">
            <w:pPr>
              <w:widowControl w:val="0"/>
              <w:spacing w:line="240" w:lineRule="auto"/>
              <w:jc w:val="left"/>
              <w:rPr>
                <w:rFonts w:ascii="Calibri" w:eastAsia="Calibri" w:hAnsi="Calibri" w:cs="Calibri"/>
                <w:sz w:val="20"/>
                <w:szCs w:val="20"/>
              </w:rPr>
            </w:pPr>
            <w:r>
              <w:rPr>
                <w:rFonts w:ascii="Calibri" w:eastAsia="Calibri" w:hAnsi="Calibri" w:cs="Calibri"/>
                <w:sz w:val="20"/>
                <w:szCs w:val="20"/>
              </w:rPr>
              <w:t>II - Hydrophobic</w:t>
            </w:r>
          </w:p>
        </w:tc>
        <w:tc>
          <w:tcPr>
            <w:tcW w:w="1035" w:type="dxa"/>
            <w:shd w:val="clear" w:color="auto" w:fill="auto"/>
            <w:tcMar>
              <w:top w:w="100" w:type="dxa"/>
              <w:left w:w="100" w:type="dxa"/>
              <w:bottom w:w="100" w:type="dxa"/>
              <w:right w:w="100" w:type="dxa"/>
            </w:tcMar>
          </w:tcPr>
          <w:p w14:paraId="427B7DA2" w14:textId="77777777" w:rsidR="00F06542" w:rsidRDefault="00F41AEF">
            <w:pPr>
              <w:widowControl w:val="0"/>
              <w:spacing w:line="240" w:lineRule="auto"/>
              <w:jc w:val="right"/>
              <w:rPr>
                <w:rFonts w:ascii="Calibri" w:eastAsia="Calibri" w:hAnsi="Calibri" w:cs="Calibri"/>
                <w:sz w:val="20"/>
                <w:szCs w:val="20"/>
              </w:rPr>
            </w:pPr>
            <w:r>
              <w:rPr>
                <w:rFonts w:ascii="Calibri" w:eastAsia="Calibri" w:hAnsi="Calibri" w:cs="Calibri"/>
                <w:sz w:val="20"/>
                <w:szCs w:val="20"/>
              </w:rPr>
              <w:t>32 (34)</w:t>
            </w:r>
          </w:p>
        </w:tc>
        <w:tc>
          <w:tcPr>
            <w:tcW w:w="975" w:type="dxa"/>
            <w:shd w:val="clear" w:color="auto" w:fill="auto"/>
            <w:tcMar>
              <w:top w:w="100" w:type="dxa"/>
              <w:left w:w="100" w:type="dxa"/>
              <w:bottom w:w="100" w:type="dxa"/>
              <w:right w:w="100" w:type="dxa"/>
            </w:tcMar>
          </w:tcPr>
          <w:p w14:paraId="168F7C35" w14:textId="77777777" w:rsidR="00F06542" w:rsidRDefault="00F41AEF">
            <w:pPr>
              <w:widowControl w:val="0"/>
              <w:spacing w:line="240" w:lineRule="auto"/>
              <w:jc w:val="right"/>
              <w:rPr>
                <w:rFonts w:ascii="Calibri" w:eastAsia="Calibri" w:hAnsi="Calibri" w:cs="Calibri"/>
                <w:sz w:val="20"/>
                <w:szCs w:val="20"/>
              </w:rPr>
            </w:pPr>
            <w:r>
              <w:rPr>
                <w:rFonts w:ascii="Calibri" w:eastAsia="Calibri" w:hAnsi="Calibri" w:cs="Calibri"/>
                <w:sz w:val="20"/>
                <w:szCs w:val="20"/>
              </w:rPr>
              <w:t>25 (9)</w:t>
            </w:r>
          </w:p>
        </w:tc>
        <w:tc>
          <w:tcPr>
            <w:tcW w:w="1260" w:type="dxa"/>
            <w:shd w:val="clear" w:color="auto" w:fill="auto"/>
            <w:tcMar>
              <w:top w:w="100" w:type="dxa"/>
              <w:left w:w="100" w:type="dxa"/>
              <w:bottom w:w="100" w:type="dxa"/>
              <w:right w:w="100" w:type="dxa"/>
            </w:tcMar>
          </w:tcPr>
          <w:p w14:paraId="199CB441" w14:textId="77777777" w:rsidR="00F06542" w:rsidRDefault="00F41AEF">
            <w:pPr>
              <w:widowControl w:val="0"/>
              <w:spacing w:line="240" w:lineRule="auto"/>
              <w:jc w:val="right"/>
              <w:rPr>
                <w:rFonts w:ascii="Calibri" w:eastAsia="Calibri" w:hAnsi="Calibri" w:cs="Calibri"/>
                <w:sz w:val="20"/>
                <w:szCs w:val="20"/>
              </w:rPr>
            </w:pPr>
            <w:r>
              <w:rPr>
                <w:rFonts w:ascii="Calibri" w:eastAsia="Calibri" w:hAnsi="Calibri" w:cs="Calibri"/>
                <w:sz w:val="20"/>
                <w:szCs w:val="20"/>
              </w:rPr>
              <w:t>0 (0)</w:t>
            </w:r>
          </w:p>
        </w:tc>
      </w:tr>
      <w:tr w:rsidR="00F06542" w14:paraId="681E9FD3" w14:textId="77777777">
        <w:tc>
          <w:tcPr>
            <w:tcW w:w="1380" w:type="dxa"/>
            <w:tcMar>
              <w:top w:w="0" w:type="dxa"/>
              <w:left w:w="40" w:type="dxa"/>
              <w:bottom w:w="0" w:type="dxa"/>
              <w:right w:w="40" w:type="dxa"/>
            </w:tcMar>
            <w:vAlign w:val="center"/>
          </w:tcPr>
          <w:p w14:paraId="61C7CF8F" w14:textId="77777777" w:rsidR="00F06542" w:rsidRDefault="00F41AEF">
            <w:pPr>
              <w:spacing w:line="240" w:lineRule="auto"/>
              <w:jc w:val="left"/>
              <w:rPr>
                <w:rFonts w:ascii="Calibri" w:eastAsia="Calibri" w:hAnsi="Calibri" w:cs="Calibri"/>
                <w:sz w:val="20"/>
                <w:szCs w:val="20"/>
              </w:rPr>
            </w:pPr>
            <w:r>
              <w:rPr>
                <w:rFonts w:ascii="Calibri" w:eastAsia="Calibri" w:hAnsi="Calibri" w:cs="Calibri"/>
                <w:sz w:val="20"/>
                <w:szCs w:val="20"/>
              </w:rPr>
              <w:t>Total</w:t>
            </w:r>
          </w:p>
        </w:tc>
        <w:tc>
          <w:tcPr>
            <w:tcW w:w="900" w:type="dxa"/>
            <w:shd w:val="clear" w:color="auto" w:fill="auto"/>
            <w:tcMar>
              <w:top w:w="100" w:type="dxa"/>
              <w:left w:w="100" w:type="dxa"/>
              <w:bottom w:w="100" w:type="dxa"/>
              <w:right w:w="100" w:type="dxa"/>
            </w:tcMar>
          </w:tcPr>
          <w:p w14:paraId="497280C8" w14:textId="77777777" w:rsidR="00F06542" w:rsidRDefault="00F41AEF">
            <w:pPr>
              <w:widowControl w:val="0"/>
              <w:spacing w:line="240" w:lineRule="auto"/>
              <w:jc w:val="right"/>
              <w:rPr>
                <w:rFonts w:ascii="Calibri" w:eastAsia="Calibri" w:hAnsi="Calibri" w:cs="Calibri"/>
                <w:sz w:val="20"/>
                <w:szCs w:val="20"/>
              </w:rPr>
            </w:pPr>
            <w:r>
              <w:rPr>
                <w:rFonts w:ascii="Calibri" w:eastAsia="Calibri" w:hAnsi="Calibri" w:cs="Calibri"/>
                <w:sz w:val="20"/>
                <w:szCs w:val="20"/>
              </w:rPr>
              <w:t>36 (41)</w:t>
            </w:r>
          </w:p>
        </w:tc>
        <w:tc>
          <w:tcPr>
            <w:tcW w:w="945" w:type="dxa"/>
            <w:shd w:val="clear" w:color="auto" w:fill="auto"/>
            <w:tcMar>
              <w:top w:w="100" w:type="dxa"/>
              <w:left w:w="100" w:type="dxa"/>
              <w:bottom w:w="100" w:type="dxa"/>
              <w:right w:w="100" w:type="dxa"/>
            </w:tcMar>
          </w:tcPr>
          <w:p w14:paraId="48C35EB5" w14:textId="77777777" w:rsidR="00F06542" w:rsidRDefault="00F41AEF">
            <w:pPr>
              <w:widowControl w:val="0"/>
              <w:spacing w:line="240" w:lineRule="auto"/>
              <w:jc w:val="right"/>
              <w:rPr>
                <w:rFonts w:ascii="Calibri" w:eastAsia="Calibri" w:hAnsi="Calibri" w:cs="Calibri"/>
                <w:sz w:val="20"/>
                <w:szCs w:val="20"/>
              </w:rPr>
            </w:pPr>
            <w:r>
              <w:rPr>
                <w:rFonts w:ascii="Calibri" w:eastAsia="Calibri" w:hAnsi="Calibri" w:cs="Calibri"/>
                <w:sz w:val="20"/>
                <w:szCs w:val="20"/>
              </w:rPr>
              <w:t>33 (51)</w:t>
            </w:r>
          </w:p>
        </w:tc>
        <w:tc>
          <w:tcPr>
            <w:tcW w:w="840" w:type="dxa"/>
            <w:shd w:val="clear" w:color="auto" w:fill="auto"/>
            <w:tcMar>
              <w:top w:w="100" w:type="dxa"/>
              <w:left w:w="100" w:type="dxa"/>
              <w:bottom w:w="100" w:type="dxa"/>
              <w:right w:w="100" w:type="dxa"/>
            </w:tcMar>
          </w:tcPr>
          <w:p w14:paraId="0A152EBB" w14:textId="77777777" w:rsidR="00F06542" w:rsidRDefault="00F41AEF">
            <w:pPr>
              <w:widowControl w:val="0"/>
              <w:spacing w:line="240" w:lineRule="auto"/>
              <w:jc w:val="right"/>
              <w:rPr>
                <w:rFonts w:ascii="Calibri" w:eastAsia="Calibri" w:hAnsi="Calibri" w:cs="Calibri"/>
                <w:sz w:val="20"/>
                <w:szCs w:val="20"/>
              </w:rPr>
            </w:pPr>
            <w:r>
              <w:rPr>
                <w:rFonts w:ascii="Calibri" w:eastAsia="Calibri" w:hAnsi="Calibri" w:cs="Calibri"/>
                <w:sz w:val="20"/>
                <w:szCs w:val="20"/>
              </w:rPr>
              <w:t>88 (96)</w:t>
            </w:r>
          </w:p>
        </w:tc>
        <w:tc>
          <w:tcPr>
            <w:tcW w:w="1575" w:type="dxa"/>
            <w:tcMar>
              <w:top w:w="0" w:type="dxa"/>
              <w:left w:w="40" w:type="dxa"/>
              <w:bottom w:w="0" w:type="dxa"/>
              <w:right w:w="40" w:type="dxa"/>
            </w:tcMar>
            <w:vAlign w:val="center"/>
          </w:tcPr>
          <w:p w14:paraId="69AE81C4" w14:textId="77777777" w:rsidR="00F06542" w:rsidRDefault="00F41AEF">
            <w:pPr>
              <w:spacing w:line="240" w:lineRule="auto"/>
              <w:jc w:val="left"/>
              <w:rPr>
                <w:rFonts w:ascii="Calibri" w:eastAsia="Calibri" w:hAnsi="Calibri" w:cs="Calibri"/>
                <w:sz w:val="20"/>
                <w:szCs w:val="20"/>
              </w:rPr>
            </w:pPr>
            <w:r>
              <w:rPr>
                <w:rFonts w:ascii="Calibri" w:eastAsia="Calibri" w:hAnsi="Calibri" w:cs="Calibri"/>
                <w:sz w:val="20"/>
                <w:szCs w:val="20"/>
              </w:rPr>
              <w:t>Total</w:t>
            </w:r>
          </w:p>
        </w:tc>
        <w:tc>
          <w:tcPr>
            <w:tcW w:w="1035" w:type="dxa"/>
            <w:shd w:val="clear" w:color="auto" w:fill="auto"/>
            <w:tcMar>
              <w:top w:w="100" w:type="dxa"/>
              <w:left w:w="100" w:type="dxa"/>
              <w:bottom w:w="100" w:type="dxa"/>
              <w:right w:w="100" w:type="dxa"/>
            </w:tcMar>
          </w:tcPr>
          <w:p w14:paraId="66B52121" w14:textId="77777777" w:rsidR="00F06542" w:rsidRDefault="00F41AEF">
            <w:pPr>
              <w:widowControl w:val="0"/>
              <w:spacing w:line="240" w:lineRule="auto"/>
              <w:jc w:val="right"/>
              <w:rPr>
                <w:rFonts w:ascii="Calibri" w:eastAsia="Calibri" w:hAnsi="Calibri" w:cs="Calibri"/>
                <w:sz w:val="20"/>
                <w:szCs w:val="20"/>
              </w:rPr>
            </w:pPr>
            <w:r>
              <w:rPr>
                <w:rFonts w:ascii="Calibri" w:eastAsia="Calibri" w:hAnsi="Calibri" w:cs="Calibri"/>
                <w:sz w:val="20"/>
                <w:szCs w:val="20"/>
              </w:rPr>
              <w:t>36 (41)</w:t>
            </w:r>
          </w:p>
        </w:tc>
        <w:tc>
          <w:tcPr>
            <w:tcW w:w="975" w:type="dxa"/>
            <w:shd w:val="clear" w:color="auto" w:fill="auto"/>
            <w:tcMar>
              <w:top w:w="100" w:type="dxa"/>
              <w:left w:w="100" w:type="dxa"/>
              <w:bottom w:w="100" w:type="dxa"/>
              <w:right w:w="100" w:type="dxa"/>
            </w:tcMar>
          </w:tcPr>
          <w:p w14:paraId="4DC4E287" w14:textId="77777777" w:rsidR="00F06542" w:rsidRDefault="00F41AEF">
            <w:pPr>
              <w:widowControl w:val="0"/>
              <w:spacing w:line="240" w:lineRule="auto"/>
              <w:jc w:val="right"/>
              <w:rPr>
                <w:rFonts w:ascii="Calibri" w:eastAsia="Calibri" w:hAnsi="Calibri" w:cs="Calibri"/>
                <w:sz w:val="20"/>
                <w:szCs w:val="20"/>
              </w:rPr>
            </w:pPr>
            <w:r>
              <w:rPr>
                <w:rFonts w:ascii="Calibri" w:eastAsia="Calibri" w:hAnsi="Calibri" w:cs="Calibri"/>
                <w:sz w:val="20"/>
                <w:szCs w:val="20"/>
              </w:rPr>
              <w:t>33 (51)</w:t>
            </w:r>
          </w:p>
        </w:tc>
        <w:tc>
          <w:tcPr>
            <w:tcW w:w="1260" w:type="dxa"/>
            <w:shd w:val="clear" w:color="auto" w:fill="auto"/>
            <w:tcMar>
              <w:top w:w="100" w:type="dxa"/>
              <w:left w:w="100" w:type="dxa"/>
              <w:bottom w:w="100" w:type="dxa"/>
              <w:right w:w="100" w:type="dxa"/>
            </w:tcMar>
          </w:tcPr>
          <w:p w14:paraId="15333255" w14:textId="77777777" w:rsidR="00F06542" w:rsidRDefault="00F41AEF">
            <w:pPr>
              <w:widowControl w:val="0"/>
              <w:spacing w:line="240" w:lineRule="auto"/>
              <w:jc w:val="right"/>
              <w:rPr>
                <w:rFonts w:ascii="Calibri" w:eastAsia="Calibri" w:hAnsi="Calibri" w:cs="Calibri"/>
                <w:sz w:val="20"/>
                <w:szCs w:val="20"/>
              </w:rPr>
            </w:pPr>
            <w:r>
              <w:rPr>
                <w:rFonts w:ascii="Calibri" w:eastAsia="Calibri" w:hAnsi="Calibri" w:cs="Calibri"/>
                <w:sz w:val="20"/>
                <w:szCs w:val="20"/>
              </w:rPr>
              <w:t>88 (96)</w:t>
            </w:r>
          </w:p>
        </w:tc>
      </w:tr>
    </w:tbl>
    <w:p w14:paraId="79E63D49" w14:textId="77777777" w:rsidR="00F06542" w:rsidRDefault="00F41AEF">
      <w:pPr>
        <w:spacing w:after="120"/>
        <w:jc w:val="center"/>
        <w:rPr>
          <w:rFonts w:ascii="Calibri" w:eastAsia="Calibri" w:hAnsi="Calibri" w:cs="Calibri"/>
        </w:rPr>
      </w:pPr>
      <w:r>
        <w:rPr>
          <w:rFonts w:ascii="Calibri" w:eastAsia="Calibri" w:hAnsi="Calibri" w:cs="Calibri"/>
          <w:b/>
          <w:sz w:val="22"/>
          <w:szCs w:val="22"/>
        </w:rPr>
        <w:t>T</w:t>
      </w:r>
      <w:r>
        <w:rPr>
          <w:rFonts w:ascii="Calibri" w:eastAsia="Calibri" w:hAnsi="Calibri" w:cs="Calibri"/>
          <w:b/>
        </w:rPr>
        <w:t>able</w:t>
      </w:r>
      <w:r>
        <w:rPr>
          <w:rFonts w:ascii="Calibri" w:eastAsia="Calibri" w:hAnsi="Calibri" w:cs="Calibri"/>
          <w:b/>
          <w:color w:val="000000"/>
        </w:rPr>
        <w:t xml:space="preserve"> 1.</w:t>
      </w:r>
      <w:r>
        <w:rPr>
          <w:rFonts w:ascii="Calibri" w:eastAsia="Calibri" w:hAnsi="Calibri" w:cs="Calibri"/>
          <w:color w:val="000000"/>
        </w:rPr>
        <w:t xml:space="preserve"> </w:t>
      </w:r>
      <w:r>
        <w:rPr>
          <w:rFonts w:ascii="Calibri" w:eastAsia="Calibri" w:hAnsi="Calibri" w:cs="Calibri"/>
        </w:rPr>
        <w:t xml:space="preserve"> Extraction efficiency in FME with </w:t>
      </w:r>
      <w:proofErr w:type="spellStart"/>
      <w:r>
        <w:rPr>
          <w:rFonts w:ascii="Calibri" w:eastAsia="Calibri" w:hAnsi="Calibri" w:cs="Calibri"/>
        </w:rPr>
        <w:t>NaDES</w:t>
      </w:r>
      <w:proofErr w:type="spellEnd"/>
      <w:r>
        <w:rPr>
          <w:rFonts w:ascii="Calibri" w:eastAsia="Calibri" w:hAnsi="Calibri" w:cs="Calibri"/>
        </w:rPr>
        <w:t>-Y compared to (DMCHA)</w:t>
      </w:r>
    </w:p>
    <w:p w14:paraId="10CA1F58" w14:textId="77777777" w:rsidR="00F06542" w:rsidRDefault="00F41AEF">
      <w:pPr>
        <w:widowControl w:val="0"/>
        <w:tabs>
          <w:tab w:val="left" w:pos="284"/>
        </w:tabs>
        <w:spacing w:line="240" w:lineRule="auto"/>
        <w:rPr>
          <w:rFonts w:ascii="Calibri" w:eastAsia="Calibri" w:hAnsi="Calibri" w:cs="Calibri"/>
          <w:sz w:val="22"/>
          <w:szCs w:val="22"/>
        </w:rPr>
      </w:pPr>
      <w:r>
        <w:rPr>
          <w:rFonts w:ascii="Calibri" w:eastAsia="Calibri" w:hAnsi="Calibri" w:cs="Calibri"/>
          <w:sz w:val="22"/>
          <w:szCs w:val="22"/>
        </w:rPr>
        <w:t xml:space="preserve">LCM </w:t>
      </w:r>
      <w:proofErr w:type="spellStart"/>
      <w:r>
        <w:rPr>
          <w:rFonts w:ascii="Calibri" w:eastAsia="Calibri" w:hAnsi="Calibri" w:cs="Calibri"/>
          <w:sz w:val="22"/>
          <w:szCs w:val="22"/>
        </w:rPr>
        <w:t>biorefining</w:t>
      </w:r>
      <w:proofErr w:type="spellEnd"/>
      <w:r>
        <w:rPr>
          <w:rFonts w:ascii="Calibri" w:eastAsia="Calibri" w:hAnsi="Calibri" w:cs="Calibri"/>
          <w:sz w:val="22"/>
          <w:szCs w:val="22"/>
        </w:rPr>
        <w:t xml:space="preserve"> by </w:t>
      </w:r>
      <w:proofErr w:type="spellStart"/>
      <w:r>
        <w:rPr>
          <w:rFonts w:ascii="Calibri" w:eastAsia="Calibri" w:hAnsi="Calibri" w:cs="Calibri"/>
          <w:sz w:val="22"/>
          <w:szCs w:val="22"/>
        </w:rPr>
        <w:t>NaDES</w:t>
      </w:r>
      <w:proofErr w:type="spellEnd"/>
      <w:r>
        <w:rPr>
          <w:rFonts w:ascii="Calibri" w:eastAsia="Calibri" w:hAnsi="Calibri" w:cs="Calibri"/>
          <w:sz w:val="22"/>
          <w:szCs w:val="22"/>
        </w:rPr>
        <w:t xml:space="preserve"> can be carried out in closed-cycle [3] based on a first extraction, which </w:t>
      </w:r>
      <w:r w:rsidR="00A73ECD">
        <w:rPr>
          <w:rFonts w:ascii="Calibri" w:eastAsia="Calibri" w:hAnsi="Calibri" w:cs="Calibri"/>
          <w:sz w:val="22"/>
          <w:szCs w:val="22"/>
        </w:rPr>
        <w:t>dissolves</w:t>
      </w:r>
      <w:r>
        <w:rPr>
          <w:rFonts w:ascii="Calibri" w:eastAsia="Calibri" w:hAnsi="Calibri" w:cs="Calibri"/>
          <w:sz w:val="22"/>
          <w:szCs w:val="22"/>
        </w:rPr>
        <w:t xml:space="preserve"> lignin and hemicellulose, followed by two selective precipitations, the former obtained by tuning </w:t>
      </w:r>
      <w:proofErr w:type="spellStart"/>
      <w:r>
        <w:rPr>
          <w:rFonts w:ascii="Calibri" w:eastAsia="Calibri" w:hAnsi="Calibri" w:cs="Calibri"/>
          <w:sz w:val="22"/>
          <w:szCs w:val="22"/>
        </w:rPr>
        <w:t>NaDES</w:t>
      </w:r>
      <w:proofErr w:type="spellEnd"/>
      <w:r>
        <w:rPr>
          <w:rFonts w:ascii="Calibri" w:eastAsia="Calibri" w:hAnsi="Calibri" w:cs="Calibri"/>
          <w:sz w:val="22"/>
          <w:szCs w:val="22"/>
        </w:rPr>
        <w:t xml:space="preserve"> polarity by adding water (lignin precipitates), and the latter obtained by adding acetonitrile as an </w:t>
      </w:r>
      <w:proofErr w:type="spellStart"/>
      <w:r>
        <w:rPr>
          <w:rFonts w:ascii="Calibri" w:eastAsia="Calibri" w:hAnsi="Calibri" w:cs="Calibri"/>
          <w:sz w:val="22"/>
          <w:szCs w:val="22"/>
        </w:rPr>
        <w:t>antisolvent</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xylan</w:t>
      </w:r>
      <w:proofErr w:type="spellEnd"/>
      <w:r>
        <w:rPr>
          <w:rFonts w:ascii="Calibri" w:eastAsia="Calibri" w:hAnsi="Calibri" w:cs="Calibri"/>
          <w:sz w:val="22"/>
          <w:szCs w:val="22"/>
        </w:rPr>
        <w:t xml:space="preserve"> precipitates) (Figure 1B). Although acetonitrile still taints the “intrinsically bio-safe” concept, researchers will hopefully find a bio-safe antisolvent alternative.</w:t>
      </w:r>
    </w:p>
    <w:p w14:paraId="35213655" w14:textId="77777777" w:rsidR="00F06542" w:rsidRDefault="00F41AEF">
      <w:pPr>
        <w:widowControl w:val="0"/>
        <w:tabs>
          <w:tab w:val="left" w:pos="284"/>
        </w:tabs>
        <w:spacing w:line="240" w:lineRule="auto"/>
        <w:rPr>
          <w:rFonts w:ascii="Calibri" w:eastAsia="Calibri" w:hAnsi="Calibri" w:cs="Calibri"/>
          <w:sz w:val="22"/>
          <w:szCs w:val="22"/>
        </w:rPr>
      </w:pPr>
      <w:r>
        <w:rPr>
          <w:rFonts w:ascii="Calibri" w:eastAsia="Calibri" w:hAnsi="Calibri" w:cs="Calibri"/>
          <w:noProof/>
          <w:sz w:val="22"/>
          <w:szCs w:val="22"/>
          <w:lang w:val="it-IT"/>
        </w:rPr>
        <w:drawing>
          <wp:inline distT="114300" distB="114300" distL="114300" distR="114300" wp14:anchorId="4CD38904" wp14:editId="6A3C4B19">
            <wp:extent cx="2579797" cy="19304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579797" cy="1930400"/>
                    </a:xfrm>
                    <a:prstGeom prst="rect">
                      <a:avLst/>
                    </a:prstGeom>
                    <a:ln/>
                  </pic:spPr>
                </pic:pic>
              </a:graphicData>
            </a:graphic>
          </wp:inline>
        </w:drawing>
      </w:r>
      <w:r>
        <w:rPr>
          <w:rFonts w:ascii="Calibri" w:eastAsia="Calibri" w:hAnsi="Calibri" w:cs="Calibri"/>
          <w:noProof/>
          <w:sz w:val="22"/>
          <w:szCs w:val="22"/>
          <w:lang w:val="it-IT"/>
        </w:rPr>
        <w:drawing>
          <wp:inline distT="114300" distB="114300" distL="114300" distR="114300" wp14:anchorId="2619E676" wp14:editId="4AAAF151">
            <wp:extent cx="2690495" cy="2013357"/>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690495" cy="2013357"/>
                    </a:xfrm>
                    <a:prstGeom prst="rect">
                      <a:avLst/>
                    </a:prstGeom>
                    <a:ln/>
                  </pic:spPr>
                </pic:pic>
              </a:graphicData>
            </a:graphic>
          </wp:inline>
        </w:drawing>
      </w:r>
    </w:p>
    <w:p w14:paraId="562E19AB" w14:textId="77777777" w:rsidR="00F06542" w:rsidRDefault="00F41AEF">
      <w:pPr>
        <w:spacing w:after="120"/>
        <w:jc w:val="center"/>
        <w:rPr>
          <w:rFonts w:ascii="Calibri" w:eastAsia="Calibri" w:hAnsi="Calibri" w:cs="Calibri"/>
          <w:sz w:val="22"/>
          <w:szCs w:val="22"/>
        </w:rPr>
      </w:pPr>
      <w:r>
        <w:rPr>
          <w:rFonts w:ascii="Calibri" w:eastAsia="Calibri" w:hAnsi="Calibri" w:cs="Calibri"/>
          <w:b/>
          <w:sz w:val="22"/>
          <w:szCs w:val="22"/>
        </w:rPr>
        <w:t>Figure</w:t>
      </w:r>
      <w:r>
        <w:rPr>
          <w:rFonts w:ascii="Calibri" w:eastAsia="Calibri" w:hAnsi="Calibri" w:cs="Calibri"/>
          <w:b/>
        </w:rPr>
        <w:t xml:space="preserve"> 1.</w:t>
      </w:r>
      <w:r>
        <w:rPr>
          <w:rFonts w:ascii="Calibri" w:eastAsia="Calibri" w:hAnsi="Calibri" w:cs="Calibri"/>
        </w:rPr>
        <w:t xml:space="preserve"> FME and BME approaches (A) and </w:t>
      </w:r>
      <w:proofErr w:type="spellStart"/>
      <w:r>
        <w:rPr>
          <w:rFonts w:ascii="Calibri" w:eastAsia="Calibri" w:hAnsi="Calibri" w:cs="Calibri"/>
        </w:rPr>
        <w:t>NaDES</w:t>
      </w:r>
      <w:proofErr w:type="spellEnd"/>
      <w:r>
        <w:rPr>
          <w:rFonts w:ascii="Calibri" w:eastAsia="Calibri" w:hAnsi="Calibri" w:cs="Calibri"/>
        </w:rPr>
        <w:t xml:space="preserve">-based LCM </w:t>
      </w:r>
      <w:proofErr w:type="spellStart"/>
      <w:r>
        <w:rPr>
          <w:rFonts w:ascii="Calibri" w:eastAsia="Calibri" w:hAnsi="Calibri" w:cs="Calibri"/>
        </w:rPr>
        <w:t>biorefining</w:t>
      </w:r>
      <w:proofErr w:type="spellEnd"/>
      <w:r>
        <w:rPr>
          <w:rFonts w:ascii="Calibri" w:eastAsia="Calibri" w:hAnsi="Calibri" w:cs="Calibri"/>
        </w:rPr>
        <w:t xml:space="preserve"> (B).</w:t>
      </w:r>
    </w:p>
    <w:p w14:paraId="419B9734" w14:textId="77777777" w:rsidR="00F06542" w:rsidRDefault="00F41AEF" w:rsidP="008B64AC">
      <w:pPr>
        <w:spacing w:line="240" w:lineRule="auto"/>
        <w:rPr>
          <w:rFonts w:ascii="Calibri" w:eastAsia="Calibri" w:hAnsi="Calibri" w:cs="Calibri"/>
          <w:color w:val="000000"/>
          <w:sz w:val="22"/>
          <w:szCs w:val="22"/>
        </w:rPr>
      </w:pPr>
      <w:r>
        <w:rPr>
          <w:rFonts w:ascii="Calibri" w:eastAsia="Calibri" w:hAnsi="Calibri" w:cs="Calibri"/>
          <w:b/>
          <w:color w:val="000000"/>
          <w:sz w:val="22"/>
          <w:szCs w:val="22"/>
        </w:rPr>
        <w:t>4. Conclusions</w:t>
      </w:r>
    </w:p>
    <w:p w14:paraId="090476D1" w14:textId="77777777" w:rsidR="00F06542" w:rsidRDefault="00F41AEF" w:rsidP="008B64AC">
      <w:pPr>
        <w:spacing w:line="240" w:lineRule="auto"/>
        <w:rPr>
          <w:rFonts w:ascii="Calibri" w:eastAsia="Calibri" w:hAnsi="Calibri" w:cs="Calibri"/>
          <w:color w:val="000000"/>
          <w:sz w:val="22"/>
          <w:szCs w:val="22"/>
        </w:rPr>
      </w:pPr>
      <w:r>
        <w:rPr>
          <w:rFonts w:ascii="Calibri" w:eastAsia="Calibri" w:hAnsi="Calibri" w:cs="Calibri"/>
          <w:sz w:val="22"/>
          <w:szCs w:val="22"/>
        </w:rPr>
        <w:t>Solvent extraction of a complex biomass containing an array of compounds should be treated with an array of solvents. With the aid of novel solvents which may change intrinsic features at the user’s will the “one-solvents-fits-all” target might come into the biorefinery range.</w:t>
      </w:r>
    </w:p>
    <w:p w14:paraId="0B4EEA00" w14:textId="77777777" w:rsidR="00F06542" w:rsidRDefault="00F41AEF" w:rsidP="008B64AC">
      <w:pPr>
        <w:spacing w:before="240" w:line="240" w:lineRule="auto"/>
        <w:rPr>
          <w:rFonts w:ascii="Calibri" w:eastAsia="Calibri" w:hAnsi="Calibri" w:cs="Calibri"/>
          <w:b/>
          <w:color w:val="000000"/>
          <w:sz w:val="20"/>
          <w:szCs w:val="20"/>
        </w:rPr>
      </w:pPr>
      <w:r>
        <w:rPr>
          <w:rFonts w:ascii="Calibri" w:eastAsia="Calibri" w:hAnsi="Calibri" w:cs="Calibri"/>
          <w:b/>
          <w:color w:val="000000"/>
          <w:sz w:val="20"/>
          <w:szCs w:val="20"/>
        </w:rPr>
        <w:t>References</w:t>
      </w:r>
    </w:p>
    <w:p w14:paraId="6D73ACB5" w14:textId="77777777" w:rsidR="00F06542" w:rsidRDefault="00F41AEF" w:rsidP="008B64AC">
      <w:pPr>
        <w:widowControl w:val="0"/>
        <w:numPr>
          <w:ilvl w:val="0"/>
          <w:numId w:val="1"/>
        </w:numPr>
        <w:spacing w:line="240" w:lineRule="auto"/>
        <w:jc w:val="left"/>
        <w:rPr>
          <w:rFonts w:ascii="Calibri" w:eastAsia="Calibri" w:hAnsi="Calibri" w:cs="Calibri"/>
          <w:sz w:val="20"/>
          <w:szCs w:val="20"/>
        </w:rPr>
      </w:pPr>
      <w:r w:rsidRPr="00A73ECD">
        <w:rPr>
          <w:rFonts w:ascii="Calibri" w:eastAsia="Calibri" w:hAnsi="Calibri" w:cs="Calibri"/>
          <w:sz w:val="20"/>
          <w:szCs w:val="20"/>
          <w:highlight w:val="white"/>
          <w:lang w:val="it-IT"/>
        </w:rPr>
        <w:t xml:space="preserve">Cicci, A., </w:t>
      </w:r>
      <w:proofErr w:type="spellStart"/>
      <w:r w:rsidRPr="00A73ECD">
        <w:rPr>
          <w:rFonts w:ascii="Calibri" w:eastAsia="Calibri" w:hAnsi="Calibri" w:cs="Calibri"/>
          <w:sz w:val="20"/>
          <w:szCs w:val="20"/>
          <w:highlight w:val="white"/>
          <w:lang w:val="it-IT"/>
        </w:rPr>
        <w:t>Sed</w:t>
      </w:r>
      <w:proofErr w:type="spellEnd"/>
      <w:r w:rsidRPr="00A73ECD">
        <w:rPr>
          <w:rFonts w:ascii="Calibri" w:eastAsia="Calibri" w:hAnsi="Calibri" w:cs="Calibri"/>
          <w:sz w:val="20"/>
          <w:szCs w:val="20"/>
          <w:highlight w:val="white"/>
          <w:lang w:val="it-IT"/>
        </w:rPr>
        <w:t xml:space="preserve">, G., </w:t>
      </w:r>
      <w:proofErr w:type="spellStart"/>
      <w:r w:rsidRPr="00A73ECD">
        <w:rPr>
          <w:rFonts w:ascii="Calibri" w:eastAsia="Calibri" w:hAnsi="Calibri" w:cs="Calibri"/>
          <w:sz w:val="20"/>
          <w:szCs w:val="20"/>
          <w:highlight w:val="white"/>
          <w:lang w:val="it-IT"/>
        </w:rPr>
        <w:t>Jessop</w:t>
      </w:r>
      <w:proofErr w:type="spellEnd"/>
      <w:r w:rsidRPr="00A73ECD">
        <w:rPr>
          <w:rFonts w:ascii="Calibri" w:eastAsia="Calibri" w:hAnsi="Calibri" w:cs="Calibri"/>
          <w:sz w:val="20"/>
          <w:szCs w:val="20"/>
          <w:highlight w:val="white"/>
          <w:lang w:val="it-IT"/>
        </w:rPr>
        <w:t xml:space="preserve">, P. G., Bravi, M. (2018). </w:t>
      </w:r>
      <w:r>
        <w:rPr>
          <w:rFonts w:ascii="Calibri" w:eastAsia="Calibri" w:hAnsi="Calibri" w:cs="Calibri"/>
          <w:sz w:val="20"/>
          <w:szCs w:val="20"/>
          <w:highlight w:val="white"/>
        </w:rPr>
        <w:t>Circular extraction: an innovative use of switchable solvents for the biomass biorefinery. Green Chemistry, 20(17), 3908-3911.</w:t>
      </w:r>
    </w:p>
    <w:p w14:paraId="09B58A20" w14:textId="77777777" w:rsidR="00F06542" w:rsidRDefault="00F41AEF" w:rsidP="008B64AC">
      <w:pPr>
        <w:widowControl w:val="0"/>
        <w:numPr>
          <w:ilvl w:val="0"/>
          <w:numId w:val="1"/>
        </w:numPr>
        <w:spacing w:line="240" w:lineRule="auto"/>
        <w:jc w:val="left"/>
        <w:rPr>
          <w:rFonts w:ascii="Calibri" w:eastAsia="Calibri" w:hAnsi="Calibri" w:cs="Calibri"/>
          <w:sz w:val="20"/>
          <w:szCs w:val="20"/>
          <w:highlight w:val="white"/>
        </w:rPr>
      </w:pPr>
      <w:proofErr w:type="spellStart"/>
      <w:r w:rsidRPr="00A73ECD">
        <w:rPr>
          <w:rFonts w:ascii="Calibri" w:eastAsia="Calibri" w:hAnsi="Calibri" w:cs="Calibri"/>
          <w:sz w:val="20"/>
          <w:szCs w:val="20"/>
          <w:highlight w:val="white"/>
          <w:lang w:val="it-IT"/>
        </w:rPr>
        <w:t>Sed</w:t>
      </w:r>
      <w:proofErr w:type="spellEnd"/>
      <w:r w:rsidRPr="00A73ECD">
        <w:rPr>
          <w:rFonts w:ascii="Calibri" w:eastAsia="Calibri" w:hAnsi="Calibri" w:cs="Calibri"/>
          <w:sz w:val="20"/>
          <w:szCs w:val="20"/>
          <w:highlight w:val="white"/>
          <w:lang w:val="it-IT"/>
        </w:rPr>
        <w:t xml:space="preserve">, G., Cicci, A., </w:t>
      </w:r>
      <w:proofErr w:type="spellStart"/>
      <w:r w:rsidRPr="00A73ECD">
        <w:rPr>
          <w:rFonts w:ascii="Calibri" w:eastAsia="Calibri" w:hAnsi="Calibri" w:cs="Calibri"/>
          <w:sz w:val="20"/>
          <w:szCs w:val="20"/>
          <w:highlight w:val="white"/>
          <w:lang w:val="it-IT"/>
        </w:rPr>
        <w:t>Jessop</w:t>
      </w:r>
      <w:proofErr w:type="spellEnd"/>
      <w:r w:rsidRPr="00A73ECD">
        <w:rPr>
          <w:rFonts w:ascii="Calibri" w:eastAsia="Calibri" w:hAnsi="Calibri" w:cs="Calibri"/>
          <w:sz w:val="20"/>
          <w:szCs w:val="20"/>
          <w:highlight w:val="white"/>
          <w:lang w:val="it-IT"/>
        </w:rPr>
        <w:t xml:space="preserve">, P. G., Bravi, M. (2018). </w:t>
      </w:r>
      <w:r>
        <w:rPr>
          <w:rFonts w:ascii="Calibri" w:eastAsia="Calibri" w:hAnsi="Calibri" w:cs="Calibri"/>
          <w:sz w:val="20"/>
          <w:szCs w:val="20"/>
          <w:highlight w:val="white"/>
        </w:rPr>
        <w:t>A novel switchable-hydrophilicity, natural deep eutectic</w:t>
      </w:r>
    </w:p>
    <w:p w14:paraId="1480B689" w14:textId="77777777" w:rsidR="00F06542" w:rsidRDefault="00F41AEF" w:rsidP="008B64AC">
      <w:pPr>
        <w:widowControl w:val="0"/>
        <w:spacing w:line="240" w:lineRule="auto"/>
        <w:ind w:left="360"/>
        <w:jc w:val="left"/>
        <w:rPr>
          <w:rFonts w:ascii="Calibri" w:eastAsia="Calibri" w:hAnsi="Calibri" w:cs="Calibri"/>
          <w:sz w:val="20"/>
          <w:szCs w:val="20"/>
          <w:highlight w:val="white"/>
        </w:rPr>
      </w:pPr>
      <w:r>
        <w:rPr>
          <w:rFonts w:ascii="Calibri" w:eastAsia="Calibri" w:hAnsi="Calibri" w:cs="Calibri"/>
          <w:sz w:val="20"/>
          <w:szCs w:val="20"/>
          <w:highlight w:val="white"/>
        </w:rPr>
        <w:t>solvent (</w:t>
      </w:r>
      <w:proofErr w:type="spellStart"/>
      <w:r>
        <w:rPr>
          <w:rFonts w:ascii="Calibri" w:eastAsia="Calibri" w:hAnsi="Calibri" w:cs="Calibri"/>
          <w:sz w:val="20"/>
          <w:szCs w:val="20"/>
          <w:highlight w:val="white"/>
        </w:rPr>
        <w:t>NaDES</w:t>
      </w:r>
      <w:proofErr w:type="spellEnd"/>
      <w:r>
        <w:rPr>
          <w:rFonts w:ascii="Calibri" w:eastAsia="Calibri" w:hAnsi="Calibri" w:cs="Calibri"/>
          <w:sz w:val="20"/>
          <w:szCs w:val="20"/>
          <w:highlight w:val="white"/>
        </w:rPr>
        <w:t>)-based system for bio-safe biorefinery. RSC Advances, 8(65), 37092-37097.</w:t>
      </w:r>
    </w:p>
    <w:p w14:paraId="28E74F22" w14:textId="77777777" w:rsidR="00F06542" w:rsidRDefault="00F41AEF" w:rsidP="008B64AC">
      <w:pPr>
        <w:widowControl w:val="0"/>
        <w:spacing w:line="240" w:lineRule="auto"/>
        <w:ind w:left="284" w:hanging="284"/>
        <w:jc w:val="left"/>
        <w:rPr>
          <w:rFonts w:ascii="Calibri" w:eastAsia="Calibri" w:hAnsi="Calibri" w:cs="Calibri"/>
          <w:sz w:val="20"/>
          <w:szCs w:val="20"/>
        </w:rPr>
      </w:pPr>
      <w:r>
        <w:rPr>
          <w:rFonts w:ascii="Calibri" w:eastAsia="Calibri" w:hAnsi="Calibri" w:cs="Calibri"/>
          <w:sz w:val="20"/>
          <w:szCs w:val="20"/>
          <w:highlight w:val="white"/>
        </w:rPr>
        <w:t>[3]   Kumar, A.K., Sharma, S., Shah, E. and Patel, A., 2018. Technical assessment of natural deep eutectic solvent (NADES) mediated bior</w:t>
      </w:r>
      <w:bookmarkStart w:id="1" w:name="_GoBack"/>
      <w:bookmarkEnd w:id="1"/>
      <w:r>
        <w:rPr>
          <w:rFonts w:ascii="Calibri" w:eastAsia="Calibri" w:hAnsi="Calibri" w:cs="Calibri"/>
          <w:sz w:val="20"/>
          <w:szCs w:val="20"/>
          <w:highlight w:val="white"/>
        </w:rPr>
        <w:t>efinery process: A case study. Journal of Molecular Liquids, 260, pp.313-322.</w:t>
      </w:r>
    </w:p>
    <w:p w14:paraId="30FDC508" w14:textId="77777777" w:rsidR="008B64AC" w:rsidRDefault="008B64AC" w:rsidP="008B64AC">
      <w:pPr>
        <w:widowControl w:val="0"/>
        <w:spacing w:line="240" w:lineRule="auto"/>
        <w:jc w:val="left"/>
        <w:rPr>
          <w:rFonts w:ascii="Calibri" w:eastAsia="Calibri" w:hAnsi="Calibri" w:cs="Calibri"/>
          <w:color w:val="000000"/>
          <w:sz w:val="22"/>
          <w:szCs w:val="22"/>
        </w:rPr>
      </w:pPr>
    </w:p>
    <w:sectPr w:rsidR="008B64AC">
      <w:type w:val="continuous"/>
      <w:pgSz w:w="11906" w:h="16838"/>
      <w:pgMar w:top="1985" w:right="1418" w:bottom="1701" w:left="1418" w:header="99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B2C07" w14:textId="77777777" w:rsidR="00DF3B9E" w:rsidRDefault="00DF3B9E">
      <w:pPr>
        <w:spacing w:line="240" w:lineRule="auto"/>
      </w:pPr>
      <w:r>
        <w:separator/>
      </w:r>
    </w:p>
  </w:endnote>
  <w:endnote w:type="continuationSeparator" w:id="0">
    <w:p w14:paraId="3387808F" w14:textId="77777777" w:rsidR="00DF3B9E" w:rsidRDefault="00DF3B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70723" w14:textId="77777777" w:rsidR="00DF3B9E" w:rsidRDefault="00DF3B9E">
      <w:pPr>
        <w:spacing w:line="240" w:lineRule="auto"/>
      </w:pPr>
      <w:r>
        <w:separator/>
      </w:r>
    </w:p>
  </w:footnote>
  <w:footnote w:type="continuationSeparator" w:id="0">
    <w:p w14:paraId="567C884C" w14:textId="77777777" w:rsidR="00DF3B9E" w:rsidRDefault="00DF3B9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B51D4" w14:textId="77777777" w:rsidR="00F06542" w:rsidRDefault="00F41AEF">
    <w:pPr>
      <w:pBdr>
        <w:top w:val="nil"/>
        <w:left w:val="nil"/>
        <w:bottom w:val="nil"/>
        <w:right w:val="nil"/>
        <w:between w:val="nil"/>
      </w:pBdr>
      <w:tabs>
        <w:tab w:val="center" w:pos="4819"/>
        <w:tab w:val="right" w:pos="9638"/>
      </w:tabs>
      <w:spacing w:line="240" w:lineRule="auto"/>
      <w:rPr>
        <w:color w:val="000000"/>
      </w:rPr>
    </w:pPr>
    <w:r>
      <w:rPr>
        <w:noProof/>
        <w:lang w:val="it-IT"/>
      </w:rPr>
      <w:drawing>
        <wp:anchor distT="0" distB="0" distL="114300" distR="114300" simplePos="0" relativeHeight="251658240" behindDoc="0" locked="0" layoutInCell="1" hidden="0" allowOverlap="1" wp14:anchorId="67711EFC" wp14:editId="79BEA70C">
          <wp:simplePos x="0" y="0"/>
          <wp:positionH relativeFrom="column">
            <wp:posOffset>28576</wp:posOffset>
          </wp:positionH>
          <wp:positionV relativeFrom="paragraph">
            <wp:posOffset>-208914</wp:posOffset>
          </wp:positionV>
          <wp:extent cx="1104900" cy="914153"/>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04900" cy="914153"/>
                  </a:xfrm>
                  <a:prstGeom prst="rect">
                    <a:avLst/>
                  </a:prstGeom>
                  <a:ln/>
                </pic:spPr>
              </pic:pic>
            </a:graphicData>
          </a:graphic>
        </wp:anchor>
      </w:drawing>
    </w:r>
    <w:r>
      <w:rPr>
        <w:noProof/>
        <w:lang w:val="it-IT"/>
      </w:rPr>
      <mc:AlternateContent>
        <mc:Choice Requires="wps">
          <w:drawing>
            <wp:anchor distT="0" distB="0" distL="114300" distR="114300" simplePos="0" relativeHeight="251659264" behindDoc="0" locked="0" layoutInCell="1" hidden="0" allowOverlap="1" wp14:anchorId="221B8114" wp14:editId="1433B0B6">
              <wp:simplePos x="0" y="0"/>
              <wp:positionH relativeFrom="column">
                <wp:posOffset>25401</wp:posOffset>
              </wp:positionH>
              <wp:positionV relativeFrom="paragraph">
                <wp:posOffset>774700</wp:posOffset>
              </wp:positionV>
              <wp:extent cx="5581650" cy="25400"/>
              <wp:effectExtent l="0" t="0" r="0" b="0"/>
              <wp:wrapNone/>
              <wp:docPr id="1" name="Connettore 2 1"/>
              <wp:cNvGraphicFramePr/>
              <a:graphic xmlns:a="http://schemas.openxmlformats.org/drawingml/2006/main">
                <a:graphicData uri="http://schemas.microsoft.com/office/word/2010/wordprocessingShape">
                  <wps:wsp>
                    <wps:cNvCnPr/>
                    <wps:spPr>
                      <a:xfrm>
                        <a:off x="2555175" y="3780000"/>
                        <a:ext cx="5581650" cy="0"/>
                      </a:xfrm>
                      <a:prstGeom prst="straightConnector1">
                        <a:avLst/>
                      </a:prstGeom>
                      <a:noFill/>
                      <a:ln w="25400" cap="flat" cmpd="sng">
                        <a:solidFill>
                          <a:srgbClr val="002060"/>
                        </a:solidFill>
                        <a:prstDash val="solid"/>
                        <a:round/>
                        <a:headEnd type="none" w="sm" len="sm"/>
                        <a:tailEnd type="none" w="sm" len="sm"/>
                      </a:ln>
                    </wps:spPr>
                    <wps:bodyPr/>
                  </wps:wsp>
                </a:graphicData>
              </a:graphic>
            </wp:anchor>
          </w:drawing>
        </mc:Choice>
        <mc:Fallback>
          <w:pict>
            <v:shapetype w14:anchorId="2F74086B" id="_x0000_t32" coordsize="21600,21600" o:spt="32" o:oned="t" path="m,l21600,21600e" filled="f">
              <v:path arrowok="t" fillok="f" o:connecttype="none"/>
              <o:lock v:ext="edit" shapetype="t"/>
            </v:shapetype>
            <v:shape id="Connettore 2 1" o:spid="_x0000_s1026" type="#_x0000_t32" style="position:absolute;margin-left:2pt;margin-top:61pt;width:439.5pt;height:2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" strokecolor="#002060" strokeweight="2pt">
              <v:stroke startarrowwidth="narrow" startarrowlength="short" endarrowwidth="narrow" endarrowlength="short"/>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0F932" w14:textId="77777777" w:rsidR="00F06542" w:rsidRDefault="00F41AEF">
    <w:pPr>
      <w:ind w:left="-426" w:right="-285"/>
      <w:jc w:val="center"/>
      <w:rPr>
        <w:rFonts w:ascii="Calibri" w:eastAsia="Calibri" w:hAnsi="Calibri" w:cs="Calibri"/>
        <w:b/>
        <w:i/>
        <w:color w:val="002060"/>
        <w:sz w:val="24"/>
        <w:szCs w:val="24"/>
      </w:rPr>
    </w:pPr>
    <w:r>
      <w:rPr>
        <w:b/>
        <w:i/>
        <w:color w:val="8A046D"/>
        <w:sz w:val="28"/>
        <w:szCs w:val="28"/>
      </w:rPr>
      <w:t xml:space="preserve">           </w:t>
    </w:r>
    <w:r>
      <w:rPr>
        <w:rFonts w:ascii="Calibri" w:eastAsia="Calibri" w:hAnsi="Calibri" w:cs="Calibri"/>
        <w:b/>
        <w:i/>
        <w:color w:val="002060"/>
        <w:sz w:val="24"/>
        <w:szCs w:val="24"/>
      </w:rPr>
      <w:t>ECCE12</w:t>
    </w:r>
    <w:r>
      <w:rPr>
        <w:rFonts w:ascii="Calibri" w:eastAsia="Calibri" w:hAnsi="Calibri" w:cs="Calibri"/>
        <w:b/>
        <w:i/>
        <w:color w:val="002060"/>
        <w:sz w:val="24"/>
        <w:szCs w:val="24"/>
      </w:rPr>
      <w:br/>
      <w:t xml:space="preserve">                              The 12</w:t>
    </w:r>
    <w:r>
      <w:rPr>
        <w:rFonts w:ascii="Calibri" w:eastAsia="Calibri" w:hAnsi="Calibri" w:cs="Calibri"/>
        <w:b/>
        <w:i/>
        <w:color w:val="002060"/>
        <w:sz w:val="24"/>
        <w:szCs w:val="24"/>
        <w:vertAlign w:val="superscript"/>
      </w:rPr>
      <w:t xml:space="preserve">th </w:t>
    </w:r>
    <w:r>
      <w:rPr>
        <w:rFonts w:ascii="Calibri" w:eastAsia="Calibri" w:hAnsi="Calibri" w:cs="Calibri"/>
        <w:b/>
        <w:i/>
        <w:color w:val="002060"/>
        <w:sz w:val="24"/>
        <w:szCs w:val="24"/>
      </w:rPr>
      <w:t>EUROPEAN CONGRESS OF CHEMICAL ENGINEERING</w:t>
    </w:r>
    <w:r>
      <w:rPr>
        <w:rFonts w:ascii="Calibri" w:eastAsia="Calibri" w:hAnsi="Calibri" w:cs="Calibri"/>
        <w:b/>
        <w:i/>
        <w:color w:val="002060"/>
        <w:sz w:val="24"/>
        <w:szCs w:val="24"/>
      </w:rPr>
      <w:br/>
      <w:t xml:space="preserve">                               Florence 15-19 September 2019</w:t>
    </w:r>
    <w:r>
      <w:rPr>
        <w:noProof/>
        <w:lang w:val="it-IT"/>
      </w:rPr>
      <w:drawing>
        <wp:anchor distT="0" distB="0" distL="114300" distR="114300" simplePos="0" relativeHeight="251660288" behindDoc="0" locked="0" layoutInCell="1" hidden="0" allowOverlap="1" wp14:anchorId="1E0F04CB" wp14:editId="4137AEF2">
          <wp:simplePos x="0" y="0"/>
          <wp:positionH relativeFrom="column">
            <wp:posOffset>142875</wp:posOffset>
          </wp:positionH>
          <wp:positionV relativeFrom="paragraph">
            <wp:posOffset>-144779</wp:posOffset>
          </wp:positionV>
          <wp:extent cx="1104900" cy="914153"/>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04900" cy="914153"/>
                  </a:xfrm>
                  <a:prstGeom prst="rect">
                    <a:avLst/>
                  </a:prstGeom>
                  <a:ln/>
                </pic:spPr>
              </pic:pic>
            </a:graphicData>
          </a:graphic>
        </wp:anchor>
      </w:drawing>
    </w:r>
  </w:p>
  <w:p w14:paraId="1C14BF4B" w14:textId="77777777" w:rsidR="00F06542" w:rsidRDefault="00F06542">
    <w:pPr>
      <w:pBdr>
        <w:top w:val="nil"/>
        <w:left w:val="nil"/>
        <w:bottom w:val="nil"/>
        <w:right w:val="nil"/>
        <w:between w:val="nil"/>
      </w:pBdr>
      <w:tabs>
        <w:tab w:val="center" w:pos="4819"/>
        <w:tab w:val="right" w:pos="9638"/>
      </w:tabs>
      <w:spacing w:line="240" w:lineRule="auto"/>
      <w:rPr>
        <w:color w:val="000000"/>
      </w:rPr>
    </w:pPr>
  </w:p>
  <w:p w14:paraId="62FB68B3" w14:textId="77777777" w:rsidR="00F06542" w:rsidRDefault="00F41AEF">
    <w:pPr>
      <w:pBdr>
        <w:top w:val="nil"/>
        <w:left w:val="nil"/>
        <w:bottom w:val="nil"/>
        <w:right w:val="nil"/>
        <w:between w:val="nil"/>
      </w:pBdr>
      <w:tabs>
        <w:tab w:val="center" w:pos="4819"/>
        <w:tab w:val="right" w:pos="9638"/>
      </w:tabs>
      <w:spacing w:line="240" w:lineRule="auto"/>
      <w:rPr>
        <w:color w:val="000000"/>
      </w:rPr>
    </w:pPr>
    <w:r>
      <w:rPr>
        <w:noProof/>
        <w:lang w:val="it-IT"/>
      </w:rPr>
      <mc:AlternateContent>
        <mc:Choice Requires="wps">
          <w:drawing>
            <wp:anchor distT="0" distB="0" distL="114300" distR="114300" simplePos="0" relativeHeight="251661312" behindDoc="0" locked="0" layoutInCell="1" hidden="0" allowOverlap="1" wp14:anchorId="103F5388" wp14:editId="6874452C">
              <wp:simplePos x="0" y="0"/>
              <wp:positionH relativeFrom="column">
                <wp:posOffset>127000</wp:posOffset>
              </wp:positionH>
              <wp:positionV relativeFrom="paragraph">
                <wp:posOffset>63500</wp:posOffset>
              </wp:positionV>
              <wp:extent cx="5581650" cy="25400"/>
              <wp:effectExtent l="0" t="0" r="0" b="0"/>
              <wp:wrapNone/>
              <wp:docPr id="2" name="Connettore 2 2"/>
              <wp:cNvGraphicFramePr/>
              <a:graphic xmlns:a="http://schemas.openxmlformats.org/drawingml/2006/main">
                <a:graphicData uri="http://schemas.microsoft.com/office/word/2010/wordprocessingShape">
                  <wps:wsp>
                    <wps:cNvCnPr/>
                    <wps:spPr>
                      <a:xfrm>
                        <a:off x="2555175" y="3780000"/>
                        <a:ext cx="5581650" cy="0"/>
                      </a:xfrm>
                      <a:prstGeom prst="straightConnector1">
                        <a:avLst/>
                      </a:prstGeom>
                      <a:noFill/>
                      <a:ln w="25400" cap="flat" cmpd="sng">
                        <a:solidFill>
                          <a:srgbClr val="002060"/>
                        </a:solidFill>
                        <a:prstDash val="solid"/>
                        <a:round/>
                        <a:headEnd type="none" w="sm" len="sm"/>
                        <a:tailEnd type="none" w="sm" len="sm"/>
                      </a:ln>
                    </wps:spPr>
                    <wps:bodyPr/>
                  </wps:wsp>
                </a:graphicData>
              </a:graphic>
            </wp:anchor>
          </w:drawing>
        </mc:Choice>
        <mc:Fallback>
          <w:pict>
            <v:shapetype w14:anchorId="1E7314BA" id="_x0000_t32" coordsize="21600,21600" o:spt="32" o:oned="t" path="m,l21600,21600e" filled="f">
              <v:path arrowok="t" fillok="f" o:connecttype="none"/>
              <o:lock v:ext="edit" shapetype="t"/>
            </v:shapetype>
            <v:shape id="Connettore 2 2" o:spid="_x0000_s1026" type="#_x0000_t32" style="position:absolute;margin-left:10pt;margin-top:5pt;width:439.5pt;height:2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" strokecolor="#002060" strokeweight="2pt">
              <v:stroke startarrowwidth="narrow" startarrowlength="short" endarrowwidth="narrow" endarrowlength="short"/>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F2089"/>
    <w:multiLevelType w:val="multilevel"/>
    <w:tmpl w:val="C152ED9A"/>
    <w:lvl w:ilvl="0">
      <w:start w:val="1"/>
      <w:numFmt w:val="decimal"/>
      <w:lvlText w:val="[%1]"/>
      <w:lvlJc w:val="left"/>
      <w:pPr>
        <w:ind w:left="360" w:hanging="360"/>
      </w:pPr>
      <w:rPr>
        <w:sz w:val="18"/>
        <w:szCs w:val="18"/>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F06542"/>
    <w:rsid w:val="00256B1B"/>
    <w:rsid w:val="003459EE"/>
    <w:rsid w:val="003D5718"/>
    <w:rsid w:val="007B2ECD"/>
    <w:rsid w:val="008B64AC"/>
    <w:rsid w:val="00A73ECD"/>
    <w:rsid w:val="00DF3B9E"/>
    <w:rsid w:val="00F06542"/>
    <w:rsid w:val="00F41A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6B5C3"/>
  <w15:docId w15:val="{5F4E3B8C-3AFF-D547-8074-A3C062E5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18"/>
        <w:szCs w:val="18"/>
        <w:lang w:val="en-US" w:eastAsia="it-IT" w:bidi="ar-SA"/>
      </w:rPr>
    </w:rPrDefault>
    <w:pPrDefault>
      <w:pPr>
        <w:tabs>
          <w:tab w:val="right" w:pos="7100"/>
        </w:tabs>
        <w:spacing w:line="264"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uiPriority w:val="9"/>
    <w:qFormat/>
    <w:pPr>
      <w:keepNext/>
      <w:pBdr>
        <w:top w:val="nil"/>
        <w:left w:val="nil"/>
        <w:bottom w:val="nil"/>
        <w:right w:val="nil"/>
        <w:between w:val="nil"/>
      </w:pBdr>
      <w:spacing w:before="240" w:after="120" w:line="240" w:lineRule="auto"/>
      <w:outlineLvl w:val="0"/>
    </w:pPr>
    <w:rPr>
      <w:b/>
      <w:color w:val="000000"/>
      <w:sz w:val="20"/>
      <w:szCs w:val="20"/>
    </w:rPr>
  </w:style>
  <w:style w:type="paragraph" w:styleId="Titolo2">
    <w:name w:val="heading 2"/>
    <w:basedOn w:val="Normale"/>
    <w:next w:val="Normale"/>
    <w:uiPriority w:val="9"/>
    <w:semiHidden/>
    <w:unhideWhenUsed/>
    <w:qFormat/>
    <w:pPr>
      <w:keepNext/>
      <w:keepLines/>
      <w:spacing w:before="200"/>
      <w:outlineLvl w:val="1"/>
    </w:pPr>
    <w:rPr>
      <w:rFonts w:ascii="Cambria" w:eastAsia="Cambria" w:hAnsi="Cambria" w:cs="Cambria"/>
      <w:b/>
      <w:color w:val="4F81BD"/>
      <w:sz w:val="26"/>
      <w:szCs w:val="26"/>
    </w:rPr>
  </w:style>
  <w:style w:type="paragraph" w:styleId="Titolo3">
    <w:name w:val="heading 3"/>
    <w:basedOn w:val="Normale"/>
    <w:next w:val="Normale"/>
    <w:uiPriority w:val="9"/>
    <w:semiHidden/>
    <w:unhideWhenUsed/>
    <w:qFormat/>
    <w:pPr>
      <w:keepNext/>
      <w:keepLines/>
      <w:spacing w:before="200"/>
      <w:outlineLvl w:val="2"/>
    </w:pPr>
    <w:rPr>
      <w:rFonts w:ascii="Cambria" w:eastAsia="Cambria" w:hAnsi="Cambria" w:cs="Cambria"/>
      <w:b/>
      <w:color w:val="4F81BD"/>
    </w:rPr>
  </w:style>
  <w:style w:type="paragraph" w:styleId="Titolo4">
    <w:name w:val="heading 4"/>
    <w:basedOn w:val="Normale"/>
    <w:next w:val="Normale"/>
    <w:uiPriority w:val="9"/>
    <w:semiHidden/>
    <w:unhideWhenUsed/>
    <w:qFormat/>
    <w:pPr>
      <w:keepNext/>
      <w:keepLines/>
      <w:spacing w:before="200"/>
      <w:outlineLvl w:val="3"/>
    </w:pPr>
    <w:rPr>
      <w:rFonts w:ascii="Cambria" w:eastAsia="Cambria" w:hAnsi="Cambria" w:cs="Cambria"/>
      <w:b/>
      <w:i/>
      <w:color w:val="4F81BD"/>
    </w:rPr>
  </w:style>
  <w:style w:type="paragraph" w:styleId="Titolo5">
    <w:name w:val="heading 5"/>
    <w:basedOn w:val="Normale"/>
    <w:next w:val="Normale"/>
    <w:uiPriority w:val="9"/>
    <w:semiHidden/>
    <w:unhideWhenUsed/>
    <w:qFormat/>
    <w:pPr>
      <w:keepNext/>
      <w:keepLines/>
      <w:spacing w:before="200"/>
      <w:outlineLvl w:val="4"/>
    </w:pPr>
    <w:rPr>
      <w:rFonts w:ascii="Cambria" w:eastAsia="Cambria" w:hAnsi="Cambria" w:cs="Cambria"/>
      <w:color w:val="243F61"/>
    </w:rPr>
  </w:style>
  <w:style w:type="paragraph" w:styleId="Titolo6">
    <w:name w:val="heading 6"/>
    <w:basedOn w:val="Normale"/>
    <w:next w:val="Normale"/>
    <w:uiPriority w:val="9"/>
    <w:semiHidden/>
    <w:unhideWhenUsed/>
    <w:qFormat/>
    <w:pPr>
      <w:keepNext/>
      <w:keepLines/>
      <w:spacing w:before="200"/>
      <w:outlineLvl w:val="5"/>
    </w:pPr>
    <w:rPr>
      <w:rFonts w:ascii="Cambria" w:eastAsia="Cambria" w:hAnsi="Cambria" w:cs="Cambria"/>
      <w:i/>
      <w:color w:val="243F6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812</Words>
  <Characters>4633</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Sauro</cp:lastModifiedBy>
  <cp:revision>5</cp:revision>
  <dcterms:created xsi:type="dcterms:W3CDTF">2019-03-31T12:33:00Z</dcterms:created>
  <dcterms:modified xsi:type="dcterms:W3CDTF">2019-08-25T05:26:00Z</dcterms:modified>
</cp:coreProperties>
</file>