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D46EAD" w:rsidRPr="00782F94" w:rsidRDefault="00D46EAD" w:rsidP="00D46EAD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 w:rsidRPr="00782F94">
        <w:rPr>
          <w:rFonts w:asciiTheme="minorHAnsi" w:eastAsia="MS PGothic" w:hAnsiTheme="minorHAnsi"/>
          <w:b/>
          <w:bCs/>
          <w:sz w:val="28"/>
          <w:szCs w:val="28"/>
          <w:lang w:val="en-US"/>
        </w:rPr>
        <w:t>Hydrolytic enzymes immobilization on silicate mesoporous materials or carbon nanomaterials: impact on N-acylation performances</w:t>
      </w:r>
    </w:p>
    <w:bookmarkEnd w:id="0"/>
    <w:p w:rsidR="00D46EAD" w:rsidRPr="00E448CA" w:rsidRDefault="00D46EAD" w:rsidP="00D46EAD">
      <w:pPr>
        <w:pStyle w:val="CHISA"/>
        <w:spacing w:after="120" w:line="276" w:lineRule="auto"/>
        <w:contextualSpacing/>
        <w:jc w:val="both"/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</w:pPr>
      <w:r w:rsidRPr="00782F9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C. Bourkaib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gramStart"/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  <w:proofErr w:type="gramEnd"/>
      <w:r w:rsidRPr="00782F9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010CE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B. Vigolo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</w:t>
      </w:r>
      <w:r w:rsidRPr="00782F9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Y. Guiavarc’h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S.Delaunay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="00E448C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A. Desforges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2F76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C. Humeau</w:t>
      </w:r>
      <w:r w:rsidR="002F76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="002F76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782F94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J-L. </w:t>
      </w:r>
      <w:r w:rsidRPr="00E448C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Blin</w:t>
      </w:r>
      <w:r w:rsidRPr="00E448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4</w:t>
      </w:r>
      <w:r w:rsidRPr="00E448C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I.</w:t>
      </w:r>
      <w:r w:rsidR="0075170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Pr="00E448C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Chevalot</w:t>
      </w:r>
      <w:r w:rsidRPr="00E448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gramStart"/>
      <w:r w:rsidRPr="00E448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,2</w:t>
      </w:r>
      <w:proofErr w:type="gramEnd"/>
    </w:p>
    <w:p w:rsidR="00D46EAD" w:rsidRPr="002E318F" w:rsidRDefault="00D46EAD" w:rsidP="00D46EAD">
      <w:pPr>
        <w:pStyle w:val="CHISA"/>
        <w:spacing w:after="120" w:line="276" w:lineRule="auto"/>
        <w:contextualSpacing/>
        <w:rPr>
          <w:rFonts w:asciiTheme="minorHAnsi" w:hAnsiTheme="minorHAnsi" w:cstheme="minorHAnsi"/>
          <w:i/>
          <w:iCs/>
          <w:color w:val="000000"/>
          <w:sz w:val="20"/>
          <w:lang w:val="fr-FR"/>
        </w:rPr>
      </w:pPr>
      <w:r w:rsidRPr="00FB7389"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1</w:t>
      </w:r>
      <w:r w:rsidRPr="00FB7389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FB7389">
        <w:rPr>
          <w:rFonts w:asciiTheme="minorHAnsi" w:hAnsiTheme="minorHAnsi" w:cstheme="minorHAnsi"/>
          <w:i/>
          <w:sz w:val="20"/>
          <w:lang w:val="fr-FR"/>
        </w:rPr>
        <w:t xml:space="preserve">CNRS, Laboratoire Réactions et Génie des Procédés, UMR 7274, 2 avenue de la forêt de Haye, TSA 40602, Vandœuvre-lès-Nancy, 54518, </w:t>
      </w:r>
      <w:r>
        <w:rPr>
          <w:rFonts w:asciiTheme="minorHAnsi" w:hAnsiTheme="minorHAnsi" w:cstheme="minorHAnsi"/>
          <w:i/>
          <w:sz w:val="20"/>
          <w:lang w:val="fr-FR"/>
        </w:rPr>
        <w:t>France</w:t>
      </w:r>
      <w:r>
        <w:rPr>
          <w:i/>
          <w:iCs/>
          <w:color w:val="000000"/>
          <w:sz w:val="20"/>
          <w:vertAlign w:val="superscript"/>
          <w:lang w:val="fr-FR"/>
        </w:rPr>
        <w:t> 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  <w:r w:rsidRPr="00FB7389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Pr="00FB7389">
        <w:rPr>
          <w:rFonts w:asciiTheme="minorHAnsi" w:hAnsiTheme="minorHAnsi" w:cstheme="minorHAnsi"/>
          <w:i/>
          <w:sz w:val="20"/>
          <w:lang w:val="fr-FR"/>
        </w:rPr>
        <w:t xml:space="preserve">Université de Lorraine, LRGP, CNRS UMR 7274, 2 avenue de la forêt de Haye, TSA 40602, Vandœuvre-lès-Nancy, 54518, </w:t>
      </w:r>
      <w:r>
        <w:rPr>
          <w:rFonts w:asciiTheme="minorHAnsi" w:hAnsiTheme="minorHAnsi" w:cstheme="minorHAnsi"/>
          <w:i/>
          <w:sz w:val="20"/>
          <w:lang w:val="fr-FR"/>
        </w:rPr>
        <w:t>France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 ;</w:t>
      </w:r>
      <w:r w:rsidRPr="00775C54">
        <w:rPr>
          <w:i/>
          <w:iCs/>
          <w:color w:val="000000"/>
          <w:sz w:val="20"/>
          <w:lang w:val="fr-FR"/>
        </w:rPr>
        <w:t xml:space="preserve"> </w:t>
      </w:r>
      <w:r w:rsidRPr="00FB7389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3 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Institut Jean Lamour, IJL, CNRS UMR, </w:t>
      </w:r>
      <w:r w:rsidRPr="001E1C53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2 al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lée André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Guinier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, Campus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Artem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, BP 50840, </w:t>
      </w:r>
      <w:r w:rsidRPr="001E1C53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54011 Nancy Cedex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; </w:t>
      </w:r>
      <w:r w:rsidRPr="00FB7389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4 </w:t>
      </w:r>
      <w:r w:rsidRPr="002E318F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Laboratoir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e Lorrain de Chimie Moléculaire,</w:t>
      </w:r>
      <w:r w:rsidRPr="001E1C53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 xml:space="preserve">L2CM, CNRS UMR 7053, BP 70239, </w:t>
      </w:r>
      <w:r w:rsidRPr="002E318F"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54506 Vandoeuvre les Nancy cedex</w:t>
      </w:r>
      <w:r>
        <w:rPr>
          <w:rFonts w:asciiTheme="minorHAnsi" w:hAnsiTheme="minorHAnsi" w:cstheme="minorHAnsi"/>
          <w:i/>
          <w:iCs/>
          <w:color w:val="000000"/>
          <w:sz w:val="20"/>
          <w:lang w:val="fr-FR"/>
        </w:rPr>
        <w:t>.</w:t>
      </w:r>
    </w:p>
    <w:p w:rsidR="00D46EAD" w:rsidRPr="00644FA6" w:rsidRDefault="00D46EAD" w:rsidP="00D46EAD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644FA6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644FA6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644FA6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</w:rPr>
        <w:t>Isabelle.chevalot</w:t>
      </w:r>
      <w:r w:rsidRPr="00644FA6">
        <w:rPr>
          <w:rFonts w:asciiTheme="minorHAnsi" w:eastAsia="MS PGothic" w:hAnsiTheme="minorHAnsi"/>
          <w:bCs/>
          <w:i/>
          <w:iCs/>
          <w:sz w:val="20"/>
        </w:rPr>
        <w:t>@univ-lorraine.fr</w:t>
      </w:r>
    </w:p>
    <w:p w:rsidR="00D46EAD" w:rsidRPr="00EC66CC" w:rsidRDefault="00D46EAD" w:rsidP="00D46EAD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46EAD" w:rsidRPr="00D46EAD" w:rsidRDefault="00804DA5" w:rsidP="00D46EAD">
      <w:pPr>
        <w:pStyle w:val="Paragraphedeliste"/>
        <w:numPr>
          <w:ilvl w:val="0"/>
          <w:numId w:val="16"/>
        </w:numPr>
        <w:rPr>
          <w:rFonts w:eastAsia="SimSun"/>
          <w:bCs/>
          <w:i/>
          <w:iCs/>
          <w:sz w:val="20"/>
          <w:lang w:val="en-US" w:eastAsia="zh-CN"/>
        </w:rPr>
      </w:pPr>
      <w:r>
        <w:rPr>
          <w:rFonts w:asciiTheme="minorHAnsi" w:hAnsiTheme="minorHAnsi"/>
          <w:sz w:val="20"/>
          <w:lang w:val="en-US"/>
        </w:rPr>
        <w:t>E</w:t>
      </w:r>
      <w:r w:rsidR="00645717">
        <w:rPr>
          <w:rFonts w:asciiTheme="minorHAnsi" w:hAnsiTheme="minorHAnsi"/>
          <w:sz w:val="20"/>
          <w:lang w:val="en-US"/>
        </w:rPr>
        <w:t xml:space="preserve">nzymes </w:t>
      </w:r>
      <w:r>
        <w:rPr>
          <w:rFonts w:asciiTheme="minorHAnsi" w:hAnsiTheme="minorHAnsi"/>
          <w:sz w:val="20"/>
          <w:lang w:val="en-US"/>
        </w:rPr>
        <w:t xml:space="preserve">immobilized </w:t>
      </w:r>
      <w:r w:rsidR="003C6801">
        <w:rPr>
          <w:rFonts w:asciiTheme="minorHAnsi" w:hAnsiTheme="minorHAnsi"/>
          <w:sz w:val="20"/>
          <w:lang w:val="en-US"/>
        </w:rPr>
        <w:t>on carbon n</w:t>
      </w:r>
      <w:r w:rsidR="003F28FC">
        <w:rPr>
          <w:rFonts w:asciiTheme="minorHAnsi" w:hAnsiTheme="minorHAnsi"/>
          <w:sz w:val="20"/>
          <w:lang w:val="en-US"/>
        </w:rPr>
        <w:t>anotubes and mesoporous silica</w:t>
      </w:r>
      <w:r w:rsidR="003C6801">
        <w:rPr>
          <w:rFonts w:asciiTheme="minorHAnsi" w:hAnsiTheme="minorHAnsi"/>
          <w:sz w:val="20"/>
          <w:lang w:val="en-US"/>
        </w:rPr>
        <w:t xml:space="preserve"> SBA15 </w:t>
      </w:r>
      <w:r w:rsidR="00645717">
        <w:rPr>
          <w:rFonts w:asciiTheme="minorHAnsi" w:hAnsiTheme="minorHAnsi"/>
          <w:sz w:val="20"/>
          <w:lang w:val="en-US"/>
        </w:rPr>
        <w:t xml:space="preserve">maintained their </w:t>
      </w:r>
      <w:proofErr w:type="spellStart"/>
      <w:r w:rsidR="00645717">
        <w:rPr>
          <w:rFonts w:asciiTheme="minorHAnsi" w:hAnsiTheme="minorHAnsi"/>
          <w:sz w:val="20"/>
          <w:lang w:val="en-US"/>
        </w:rPr>
        <w:t>regioselectivity</w:t>
      </w:r>
      <w:proofErr w:type="spellEnd"/>
      <w:r w:rsidR="00645717">
        <w:rPr>
          <w:rFonts w:asciiTheme="minorHAnsi" w:hAnsiTheme="minorHAnsi"/>
          <w:sz w:val="20"/>
          <w:lang w:val="en-US"/>
        </w:rPr>
        <w:t xml:space="preserve"> towards N-acylation of lysine</w:t>
      </w:r>
      <w:r>
        <w:rPr>
          <w:rFonts w:asciiTheme="minorHAnsi" w:hAnsiTheme="minorHAnsi"/>
          <w:sz w:val="20"/>
          <w:lang w:val="en-US"/>
        </w:rPr>
        <w:t>.</w:t>
      </w:r>
    </w:p>
    <w:p w:rsidR="00B51F32" w:rsidRPr="00D46EAD" w:rsidRDefault="00B51F32" w:rsidP="00B51F32">
      <w:pPr>
        <w:pStyle w:val="Paragraphedeliste"/>
        <w:numPr>
          <w:ilvl w:val="0"/>
          <w:numId w:val="16"/>
        </w:numPr>
        <w:rPr>
          <w:rFonts w:asciiTheme="minorHAnsi" w:hAnsiTheme="minorHAnsi"/>
          <w:sz w:val="22"/>
          <w:lang w:val="en-US"/>
        </w:rPr>
      </w:pPr>
      <w:r w:rsidRPr="00D46EAD">
        <w:rPr>
          <w:rFonts w:asciiTheme="minorHAnsi" w:hAnsiTheme="minorHAnsi"/>
          <w:sz w:val="20"/>
          <w:lang w:val="en-US"/>
        </w:rPr>
        <w:t>Enzymatic N-acylation performances depend</w:t>
      </w:r>
      <w:r w:rsidR="00996B57">
        <w:rPr>
          <w:rFonts w:asciiTheme="minorHAnsi" w:hAnsiTheme="minorHAnsi"/>
          <w:sz w:val="20"/>
          <w:lang w:val="en-US"/>
        </w:rPr>
        <w:t>ed</w:t>
      </w:r>
      <w:r w:rsidRPr="00D46EAD">
        <w:rPr>
          <w:rFonts w:asciiTheme="minorHAnsi" w:hAnsiTheme="minorHAnsi"/>
          <w:sz w:val="20"/>
          <w:lang w:val="en-US"/>
        </w:rPr>
        <w:t xml:space="preserve"> on immobilization materials.</w:t>
      </w:r>
    </w:p>
    <w:p w:rsidR="00D46EAD" w:rsidRDefault="00804DA5" w:rsidP="00D8369A">
      <w:pPr>
        <w:pStyle w:val="Paragraphedeliste"/>
        <w:numPr>
          <w:ilvl w:val="0"/>
          <w:numId w:val="16"/>
        </w:numPr>
        <w:rPr>
          <w:rFonts w:asciiTheme="minorHAnsi" w:eastAsia="SimSun" w:hAnsiTheme="minorHAnsi"/>
          <w:bCs/>
          <w:iCs/>
          <w:sz w:val="20"/>
          <w:lang w:val="en-US" w:eastAsia="zh-CN"/>
        </w:rPr>
      </w:pPr>
      <w:r w:rsidRPr="00804DA5">
        <w:rPr>
          <w:rFonts w:asciiTheme="minorHAnsi" w:eastAsia="SimSun" w:hAnsiTheme="minorHAnsi"/>
          <w:bCs/>
          <w:iCs/>
          <w:sz w:val="20"/>
          <w:lang w:val="en-US" w:eastAsia="zh-CN"/>
        </w:rPr>
        <w:t xml:space="preserve">Functionalization of SBA15 with APTES </w:t>
      </w:r>
      <w:r w:rsidR="00996B57">
        <w:rPr>
          <w:rFonts w:asciiTheme="minorHAnsi" w:eastAsia="SimSun" w:hAnsiTheme="minorHAnsi"/>
          <w:bCs/>
          <w:iCs/>
          <w:sz w:val="20"/>
          <w:lang w:val="en-US" w:eastAsia="zh-CN"/>
        </w:rPr>
        <w:t>improved enzyme loading and</w:t>
      </w:r>
      <w:r w:rsidR="00241549">
        <w:rPr>
          <w:rFonts w:asciiTheme="minorHAnsi" w:eastAsia="SimSun" w:hAnsiTheme="minorHAnsi"/>
          <w:bCs/>
          <w:iCs/>
          <w:sz w:val="20"/>
          <w:lang w:val="en-US" w:eastAsia="zh-CN"/>
        </w:rPr>
        <w:t xml:space="preserve"> </w:t>
      </w:r>
      <w:r w:rsidR="00996B57">
        <w:rPr>
          <w:rFonts w:asciiTheme="minorHAnsi" w:eastAsia="SimSun" w:hAnsiTheme="minorHAnsi"/>
          <w:bCs/>
          <w:iCs/>
          <w:sz w:val="20"/>
          <w:lang w:val="en-US" w:eastAsia="zh-CN"/>
        </w:rPr>
        <w:t xml:space="preserve">N-acylation </w:t>
      </w:r>
      <w:r w:rsidR="00241549">
        <w:rPr>
          <w:rFonts w:asciiTheme="minorHAnsi" w:eastAsia="SimSun" w:hAnsiTheme="minorHAnsi"/>
          <w:bCs/>
          <w:iCs/>
          <w:sz w:val="20"/>
          <w:lang w:val="en-US" w:eastAsia="zh-CN"/>
        </w:rPr>
        <w:t>performances</w:t>
      </w:r>
    </w:p>
    <w:p w:rsidR="00D8369A" w:rsidRPr="00D8369A" w:rsidRDefault="00D8369A" w:rsidP="00D8369A">
      <w:pPr>
        <w:pStyle w:val="Paragraphedeliste"/>
        <w:ind w:left="1440"/>
        <w:rPr>
          <w:rFonts w:asciiTheme="minorHAnsi" w:eastAsia="SimSun" w:hAnsiTheme="minorHAnsi"/>
          <w:bCs/>
          <w:iCs/>
          <w:sz w:val="20"/>
          <w:lang w:val="en-US" w:eastAsia="zh-CN"/>
        </w:rPr>
      </w:pPr>
    </w:p>
    <w:p w:rsidR="00D46EAD" w:rsidRPr="00D46EAD" w:rsidRDefault="00D46EAD" w:rsidP="00D46EAD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D46EAD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:rsidR="00D46EAD" w:rsidRPr="00637F68" w:rsidRDefault="00D46EAD" w:rsidP="00D46EAD">
      <w:pPr>
        <w:snapToGrid w:val="0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N-acylation reactions allow the synthesis of amino acids/peptide derivatives</w:t>
      </w:r>
      <w:r w:rsidRPr="00281FF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called </w:t>
      </w:r>
      <w:proofErr w:type="spellStart"/>
      <w:r>
        <w:rPr>
          <w:rFonts w:asciiTheme="minorHAnsi" w:hAnsiTheme="minorHAnsi" w:cstheme="minorHAnsi"/>
          <w:sz w:val="22"/>
          <w:szCs w:val="22"/>
        </w:rPr>
        <w:t>lipo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-amino acids/peptides belonging to the class of </w:t>
      </w:r>
      <w:r w:rsidRPr="00281FF0">
        <w:rPr>
          <w:rFonts w:asciiTheme="minorHAnsi" w:hAnsiTheme="minorHAnsi" w:cstheme="minorHAnsi"/>
          <w:sz w:val="22"/>
          <w:szCs w:val="22"/>
        </w:rPr>
        <w:t xml:space="preserve">surfactants </w:t>
      </w:r>
      <w:r>
        <w:rPr>
          <w:rFonts w:asciiTheme="minorHAnsi" w:hAnsiTheme="minorHAnsi" w:cstheme="minorHAnsi"/>
          <w:sz w:val="22"/>
          <w:szCs w:val="22"/>
        </w:rPr>
        <w:t>used in</w:t>
      </w:r>
      <w:r w:rsidRPr="00281FF0">
        <w:rPr>
          <w:rFonts w:asciiTheme="minorHAnsi" w:hAnsiTheme="minorHAnsi" w:cstheme="minorHAnsi"/>
          <w:sz w:val="22"/>
          <w:szCs w:val="22"/>
        </w:rPr>
        <w:t xml:space="preserve"> food and non-food applications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281FF0">
        <w:rPr>
          <w:rFonts w:asciiTheme="minorHAnsi" w:hAnsiTheme="minorHAnsi" w:cstheme="minorHAnsi"/>
          <w:sz w:val="22"/>
          <w:szCs w:val="22"/>
        </w:rPr>
        <w:t xml:space="preserve"> their good foaming and emulsion stabilization properties</w:t>
      </w:r>
      <w:r>
        <w:rPr>
          <w:rFonts w:asciiTheme="minorHAnsi" w:hAnsiTheme="minorHAnsi" w:cstheme="minorHAnsi"/>
          <w:sz w:val="22"/>
          <w:szCs w:val="22"/>
        </w:rPr>
        <w:t>. Furthermore, as</w:t>
      </w:r>
      <w:r w:rsidRPr="00637F68">
        <w:rPr>
          <w:rFonts w:asciiTheme="minorHAnsi" w:hAnsiTheme="minorHAnsi" w:cstheme="minorHAnsi"/>
          <w:sz w:val="22"/>
          <w:szCs w:val="22"/>
        </w:rPr>
        <w:t xml:space="preserve"> amino acids and peptides are molecules that may possess biological activities, the </w:t>
      </w:r>
      <w:proofErr w:type="spellStart"/>
      <w:r w:rsidRPr="00637F68">
        <w:rPr>
          <w:rFonts w:asciiTheme="minorHAnsi" w:hAnsiTheme="minorHAnsi" w:cstheme="minorHAnsi"/>
          <w:sz w:val="22"/>
          <w:szCs w:val="22"/>
        </w:rPr>
        <w:t>acylated</w:t>
      </w:r>
      <w:proofErr w:type="spellEnd"/>
      <w:r w:rsidRPr="00637F68">
        <w:rPr>
          <w:rFonts w:asciiTheme="minorHAnsi" w:hAnsiTheme="minorHAnsi" w:cstheme="minorHAnsi"/>
          <w:sz w:val="22"/>
          <w:szCs w:val="22"/>
        </w:rPr>
        <w:t xml:space="preserve"> derivatives of these molecules may also exhibit these bioactivities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81F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making</w:t>
      </w:r>
      <w:r w:rsidRPr="00281F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them </w:t>
      </w:r>
      <w:r w:rsidRPr="00281FF0">
        <w:rPr>
          <w:rFonts w:asciiTheme="minorHAnsi" w:hAnsiTheme="minorHAnsi" w:cstheme="minorHAnsi"/>
          <w:sz w:val="22"/>
          <w:szCs w:val="22"/>
        </w:rPr>
        <w:t xml:space="preserve">detergents of choice in the cosmetic or pharmaceutical </w:t>
      </w:r>
      <w:r>
        <w:rPr>
          <w:rFonts w:asciiTheme="minorHAnsi" w:hAnsiTheme="minorHAnsi" w:cstheme="minorHAnsi"/>
          <w:sz w:val="22"/>
          <w:szCs w:val="22"/>
        </w:rPr>
        <w:t>formulations.</w:t>
      </w:r>
      <w:r w:rsidRPr="00637F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20193">
        <w:rPr>
          <w:rFonts w:asciiTheme="minorHAnsi" w:hAnsiTheme="minorHAnsi" w:cstheme="minorHAnsi"/>
          <w:sz w:val="22"/>
          <w:szCs w:val="22"/>
        </w:rPr>
        <w:t xml:space="preserve">ndustrially, the </w:t>
      </w:r>
      <w:r>
        <w:rPr>
          <w:rFonts w:asciiTheme="minorHAnsi" w:hAnsiTheme="minorHAnsi" w:cstheme="minorHAnsi"/>
          <w:sz w:val="22"/>
          <w:szCs w:val="22"/>
        </w:rPr>
        <w:t xml:space="preserve">chemical </w:t>
      </w:r>
      <w:r w:rsidRPr="00420193">
        <w:rPr>
          <w:rFonts w:asciiTheme="minorHAnsi" w:hAnsiTheme="minorHAnsi" w:cstheme="minorHAnsi"/>
          <w:sz w:val="22"/>
          <w:szCs w:val="22"/>
        </w:rPr>
        <w:t xml:space="preserve">reaction conditions </w:t>
      </w:r>
      <w:proofErr w:type="gramStart"/>
      <w:r w:rsidRPr="00420193">
        <w:rPr>
          <w:rFonts w:asciiTheme="minorHAnsi" w:hAnsiTheme="minorHAnsi" w:cstheme="minorHAnsi"/>
          <w:sz w:val="22"/>
          <w:szCs w:val="22"/>
        </w:rPr>
        <w:t xml:space="preserve">are well </w:t>
      </w:r>
      <w:r>
        <w:rPr>
          <w:rFonts w:asciiTheme="minorHAnsi" w:hAnsiTheme="minorHAnsi" w:cstheme="minorHAnsi"/>
          <w:sz w:val="22"/>
          <w:szCs w:val="22"/>
        </w:rPr>
        <w:t>known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with </w:t>
      </w:r>
      <w:r w:rsidRPr="00420193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420193">
        <w:rPr>
          <w:rFonts w:asciiTheme="minorHAnsi" w:hAnsiTheme="minorHAnsi" w:cstheme="minorHAnsi"/>
          <w:sz w:val="22"/>
          <w:szCs w:val="22"/>
        </w:rPr>
        <w:t>Schotten</w:t>
      </w:r>
      <w:proofErr w:type="spellEnd"/>
      <w:r w:rsidRPr="00420193">
        <w:rPr>
          <w:rFonts w:asciiTheme="minorHAnsi" w:hAnsiTheme="minorHAnsi" w:cstheme="minorHAnsi"/>
          <w:sz w:val="22"/>
          <w:szCs w:val="22"/>
        </w:rPr>
        <w:t xml:space="preserve">-Baumann reaction, but require the use of fatty acid chlorides in the presence of an organic </w:t>
      </w:r>
      <w:proofErr w:type="spellStart"/>
      <w:r w:rsidRPr="00420193">
        <w:rPr>
          <w:rFonts w:asciiTheme="minorHAnsi" w:hAnsiTheme="minorHAnsi" w:cstheme="minorHAnsi"/>
          <w:sz w:val="22"/>
          <w:szCs w:val="22"/>
        </w:rPr>
        <w:t>cosolvent</w:t>
      </w:r>
      <w:proofErr w:type="spellEnd"/>
      <w:r w:rsidRPr="00420193">
        <w:rPr>
          <w:rFonts w:asciiTheme="minorHAnsi" w:hAnsiTheme="minorHAnsi" w:cstheme="minorHAnsi"/>
          <w:sz w:val="22"/>
          <w:szCs w:val="22"/>
        </w:rPr>
        <w:t xml:space="preserve"> and ge</w:t>
      </w:r>
      <w:r>
        <w:rPr>
          <w:rFonts w:asciiTheme="minorHAnsi" w:hAnsiTheme="minorHAnsi" w:cstheme="minorHAnsi"/>
          <w:sz w:val="22"/>
          <w:szCs w:val="22"/>
        </w:rPr>
        <w:t xml:space="preserve">nerate effluents rich in salts. </w:t>
      </w:r>
      <w:r w:rsidRPr="00420193">
        <w:rPr>
          <w:rFonts w:asciiTheme="minorHAnsi" w:hAnsiTheme="minorHAnsi" w:cstheme="minorHAnsi"/>
          <w:sz w:val="22"/>
          <w:szCs w:val="22"/>
        </w:rPr>
        <w:t xml:space="preserve">An alternative to this chemical route may be the use of </w:t>
      </w:r>
      <w:r>
        <w:rPr>
          <w:rFonts w:asciiTheme="minorHAnsi" w:hAnsiTheme="minorHAnsi" w:cstheme="minorHAnsi"/>
          <w:sz w:val="22"/>
          <w:szCs w:val="22"/>
        </w:rPr>
        <w:t>hydrolytic enzymes</w:t>
      </w:r>
      <w:r w:rsidRPr="004201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 catalyse this</w:t>
      </w:r>
      <w:r w:rsidRPr="00420193">
        <w:rPr>
          <w:rFonts w:asciiTheme="minorHAnsi" w:hAnsiTheme="minorHAnsi" w:cstheme="minorHAnsi"/>
          <w:sz w:val="22"/>
          <w:szCs w:val="22"/>
        </w:rPr>
        <w:t xml:space="preserve"> reaction in </w:t>
      </w:r>
      <w:r>
        <w:rPr>
          <w:rFonts w:asciiTheme="minorHAnsi" w:hAnsiTheme="minorHAnsi" w:cstheme="minorHAnsi"/>
          <w:sz w:val="22"/>
          <w:szCs w:val="22"/>
        </w:rPr>
        <w:t xml:space="preserve">aqueous or </w:t>
      </w:r>
      <w:r w:rsidRPr="00420193">
        <w:rPr>
          <w:rFonts w:asciiTheme="minorHAnsi" w:hAnsiTheme="minorHAnsi" w:cstheme="minorHAnsi"/>
          <w:sz w:val="22"/>
          <w:szCs w:val="22"/>
        </w:rPr>
        <w:t>non-aqueous solvents</w:t>
      </w:r>
      <w:r>
        <w:rPr>
          <w:rFonts w:asciiTheme="minorHAnsi" w:hAnsiTheme="minorHAnsi" w:cstheme="minorHAnsi"/>
          <w:sz w:val="22"/>
          <w:szCs w:val="22"/>
        </w:rPr>
        <w:t xml:space="preserve"> depending on the enzyme. The use of lipases in non-aqueous media such as organic solvents or ionic liquids have already been reported [1]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aminoacylases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aqueous medium </w:t>
      </w:r>
      <w:proofErr w:type="gramStart"/>
      <w:r>
        <w:rPr>
          <w:rFonts w:asciiTheme="minorHAnsi" w:hAnsiTheme="minorHAnsi" w:cstheme="minorHAnsi"/>
          <w:sz w:val="22"/>
          <w:szCs w:val="22"/>
        </w:rPr>
        <w:t>ha</w:t>
      </w:r>
      <w:r w:rsidR="003C4B3F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also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been described for the synthesis of </w:t>
      </w:r>
      <w:proofErr w:type="spellStart"/>
      <w:r>
        <w:rPr>
          <w:rFonts w:asciiTheme="minorHAnsi" w:hAnsiTheme="minorHAnsi" w:cstheme="minorHAnsi"/>
          <w:sz w:val="22"/>
          <w:szCs w:val="22"/>
        </w:rPr>
        <w:t>acylated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amino acids</w:t>
      </w:r>
      <w:r w:rsidR="003C4B3F">
        <w:rPr>
          <w:rFonts w:asciiTheme="minorHAnsi" w:hAnsiTheme="minorHAnsi" w:cstheme="minorHAnsi"/>
          <w:sz w:val="22"/>
          <w:szCs w:val="22"/>
        </w:rPr>
        <w:t xml:space="preserve"> [2]</w:t>
      </w:r>
      <w:r>
        <w:rPr>
          <w:rFonts w:asciiTheme="minorHAnsi" w:hAnsiTheme="minorHAnsi" w:cstheme="minorHAnsi"/>
          <w:sz w:val="22"/>
          <w:szCs w:val="22"/>
        </w:rPr>
        <w:t>. However to develop enzymatic process</w:t>
      </w:r>
      <w:r w:rsidR="003C4B3F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to replace the chemical one</w:t>
      </w:r>
      <w:r w:rsidR="003C4B3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, the immobilization of the biocatalyst is required to improve its stability and </w:t>
      </w:r>
      <w:r w:rsidR="003C4B3F">
        <w:rPr>
          <w:rFonts w:asciiTheme="minorHAnsi" w:hAnsiTheme="minorHAnsi" w:cstheme="minorHAnsi"/>
          <w:sz w:val="22"/>
          <w:szCs w:val="22"/>
        </w:rPr>
        <w:t xml:space="preserve">allow its </w:t>
      </w:r>
      <w:r>
        <w:rPr>
          <w:rFonts w:asciiTheme="minorHAnsi" w:hAnsiTheme="minorHAnsi" w:cstheme="minorHAnsi"/>
          <w:sz w:val="22"/>
          <w:szCs w:val="22"/>
        </w:rPr>
        <w:t xml:space="preserve">recycling. In this context, the aim of this work is to develop immobilization materials and conditions to improve enzymatic performances of both lipase in non-aqueous system or </w:t>
      </w:r>
      <w:proofErr w:type="spellStart"/>
      <w:r>
        <w:rPr>
          <w:rFonts w:asciiTheme="minorHAnsi" w:hAnsiTheme="minorHAnsi" w:cstheme="minorHAnsi"/>
          <w:sz w:val="22"/>
          <w:szCs w:val="22"/>
        </w:rPr>
        <w:t>aminoacylases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aqueous medium for the synthesis of </w:t>
      </w:r>
      <w:proofErr w:type="spellStart"/>
      <w:r>
        <w:rPr>
          <w:rFonts w:asciiTheme="minorHAnsi" w:hAnsiTheme="minorHAnsi" w:cstheme="minorHAnsi"/>
          <w:sz w:val="22"/>
          <w:szCs w:val="22"/>
        </w:rPr>
        <w:t>acylated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amino acids. </w:t>
      </w:r>
    </w:p>
    <w:p w:rsidR="00D46EAD" w:rsidRPr="008D0BEB" w:rsidRDefault="00D46EAD" w:rsidP="00D46EA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46EAD" w:rsidRPr="00E448CA" w:rsidRDefault="00D46EAD" w:rsidP="004D0898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lipase B of </w:t>
      </w:r>
      <w:r w:rsidRPr="001E5C8A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 xml:space="preserve">Candida </w:t>
      </w:r>
      <w:proofErr w:type="spellStart"/>
      <w:proofErr w:type="gramStart"/>
      <w:r w:rsidRPr="001E5C8A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antarctica</w:t>
      </w:r>
      <w:proofErr w:type="spellEnd"/>
      <w:proofErr w:type="gram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aminoacylases</w:t>
      </w:r>
      <w:proofErr w:type="spell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from </w:t>
      </w:r>
      <w:r w:rsidRPr="001E5C8A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 xml:space="preserve">Streptomyces </w:t>
      </w:r>
      <w:proofErr w:type="spellStart"/>
      <w:r w:rsidRPr="001E5C8A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ambofaciens</w:t>
      </w:r>
      <w:proofErr w:type="spell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4D5F6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were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immobilized</w:t>
      </w:r>
      <w:r w:rsidRPr="004D5F6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either </w:t>
      </w:r>
      <w:r w:rsidRPr="004D5F6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on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SBA15 or on carbon nanotubes by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physisorption</w:t>
      </w:r>
      <w:proofErr w:type="spell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or chemisorption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Preliminary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functionalizations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38B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SBA15 with APTES (from 10 up to 50</w:t>
      </w:r>
      <w:r w:rsidR="003C4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38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%) </w:t>
      </w:r>
      <w:proofErr w:type="gramStart"/>
      <w:r w:rsidR="008C38B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performed</w:t>
      </w:r>
      <w:proofErr w:type="gramEnd"/>
      <w:r w:rsidR="008C38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synthesis of </w:t>
      </w:r>
      <w:proofErr w:type="spellStart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lauroyl</w:t>
      </w:r>
      <w:proofErr w:type="spell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-lysine was carried out with L-lysine (0.12 M) and </w:t>
      </w:r>
      <w:proofErr w:type="spellStart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Lauric</w:t>
      </w:r>
      <w:proofErr w:type="spell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(0.24 M) in 2 mL of </w:t>
      </w:r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2-methyl-2-butanol previously dehydrated on </w:t>
      </w:r>
      <w:proofErr w:type="gramStart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proofErr w:type="gram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Å molecular sieves</w:t>
      </w:r>
      <w:r w:rsidR="003C6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CALB and in </w:t>
      </w:r>
      <w:proofErr w:type="spellStart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Tris-HCl</w:t>
      </w:r>
      <w:proofErr w:type="spellEnd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25 </w:t>
      </w:r>
      <w:proofErr w:type="spellStart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50 </w:t>
      </w:r>
      <w:proofErr w:type="spellStart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="00036C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(pH 8) </w:t>
      </w:r>
      <w:r w:rsidR="003C6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 w:rsidR="003C6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aminoacylases</w:t>
      </w:r>
      <w:proofErr w:type="spell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acylation reaction was performed in an agitated parallel system (Carousel 12 P</w:t>
      </w:r>
      <w:r w:rsidR="002749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lus Reaction Station™, </w:t>
      </w:r>
      <w:proofErr w:type="spellStart"/>
      <w:r w:rsidR="00274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Radleys</w:t>
      </w:r>
      <w:proofErr w:type="spell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is initiated by the addition of lipase B of </w:t>
      </w:r>
      <w:r w:rsidR="00E448CA" w:rsidRPr="00E448C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proofErr w:type="spellStart"/>
      <w:proofErr w:type="gramStart"/>
      <w:r w:rsidR="00E448CA" w:rsidRPr="00E448C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antarctica</w:t>
      </w:r>
      <w:proofErr w:type="spellEnd"/>
      <w:proofErr w:type="gram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immobilized on carbon nanotubes by </w:t>
      </w:r>
      <w:proofErr w:type="spellStart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</w:t>
      </w:r>
      <w:proofErr w:type="spellEnd"/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- or chemisorption</w:t>
      </w:r>
      <w:r w:rsidR="002749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by the addition of </w:t>
      </w:r>
      <w:proofErr w:type="spellStart"/>
      <w:r w:rsidR="002749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aminoacylases</w:t>
      </w:r>
      <w:proofErr w:type="spellEnd"/>
      <w:r w:rsidR="002749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immobilized on SBA15</w:t>
      </w:r>
      <w:r w:rsidR="00E448CA" w:rsidRPr="00E4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quantity of supported enzymes was determined depending on the immobilization yield in order to add 1 mg of protein in the reaction medium. </w:t>
      </w:r>
    </w:p>
    <w:p w:rsidR="00D46EAD" w:rsidRDefault="00D46EAD" w:rsidP="00D46EAD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4D0898" w:rsidRDefault="008C38B9" w:rsidP="004D0898">
      <w:pPr>
        <w:snapToGrid w:val="0"/>
        <w:spacing w:before="240" w:line="24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synthesis of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lauroyl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-lysine was investigated using the lipase B of </w:t>
      </w:r>
      <w:r w:rsidRPr="008C38B9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 xml:space="preserve">Candida </w:t>
      </w:r>
      <w:proofErr w:type="spellStart"/>
      <w:proofErr w:type="gramStart"/>
      <w:r w:rsidRPr="008C38B9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antarctica</w:t>
      </w:r>
      <w:proofErr w:type="spellEnd"/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immobilized on carbon nanotubes and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aminoacylases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immobilized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on</w:t>
      </w:r>
      <w:r w:rsidR="0084331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mesoporous silicate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448C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SBA15 functionalized with APTES.</w:t>
      </w:r>
      <w:r w:rsidR="0064571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Both enzymes </w:t>
      </w:r>
      <w:r w:rsidR="00E15B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immobilized on carbon nanotubes or SBA15 </w:t>
      </w:r>
      <w:r w:rsidR="0064571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maintained their </w:t>
      </w:r>
      <w:proofErr w:type="spellStart"/>
      <w:r w:rsidR="0064571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regioselectivity</w:t>
      </w:r>
      <w:proofErr w:type="spellEnd"/>
      <w:r w:rsidR="0064571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towards N-acylation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</w:t>
      </w:r>
      <w:r w:rsidR="00D402A0" w:rsidRPr="00D402A0">
        <w:rPr>
          <w:rFonts w:ascii="Symbol" w:eastAsia="MS PGothic" w:hAnsi="Symbol"/>
          <w:bCs/>
          <w:color w:val="000000"/>
          <w:sz w:val="22"/>
          <w:szCs w:val="22"/>
          <w:lang w:val="en-US"/>
        </w:rPr>
        <w:t>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or </w:t>
      </w:r>
      <w:r w:rsidR="00D402A0" w:rsidRPr="00D402A0">
        <w:rPr>
          <w:rFonts w:ascii="Symbol" w:eastAsia="MS PGothic" w:hAnsi="Symbol"/>
          <w:bCs/>
          <w:color w:val="000000"/>
          <w:sz w:val="22"/>
          <w:szCs w:val="22"/>
          <w:lang w:val="en-US"/>
        </w:rPr>
        <w:t></w:t>
      </w:r>
      <w:proofErr w:type="spellEnd"/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position</w:t>
      </w:r>
      <w:r w:rsidR="00E15B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By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adsorption on SBA15, 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increas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ed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APTES concentration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led to an improvement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</w:t>
      </w:r>
      <w:proofErr w:type="spellStart"/>
      <w:r w:rsidR="00036C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aminoacylases</w:t>
      </w:r>
      <w:proofErr w:type="spellEnd"/>
      <w:r w:rsidR="0023052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loading up to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0.07 mg/mg </w:t>
      </w:r>
      <w:r w:rsidR="00036C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material</w:t>
      </w:r>
      <w:r w:rsidR="0027496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increased N-acylation performances 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(Fig</w:t>
      </w:r>
      <w:r w:rsidR="005D0D0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ure 1</w:t>
      </w:r>
      <w:r w:rsidR="004D0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</w:t>
      </w:r>
      <w:r w:rsidR="00036C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</w:p>
    <w:tbl>
      <w:tblPr>
        <w:tblStyle w:val="Grilledutableau"/>
        <w:tblW w:w="8922" w:type="dxa"/>
        <w:tblLook w:val="04A0" w:firstRow="1" w:lastRow="0" w:firstColumn="1" w:lastColumn="0" w:noHBand="0" w:noVBand="1"/>
      </w:tblPr>
      <w:tblGrid>
        <w:gridCol w:w="4468"/>
        <w:gridCol w:w="4454"/>
      </w:tblGrid>
      <w:tr w:rsidR="00184EFD" w:rsidTr="00EC35ED">
        <w:trPr>
          <w:trHeight w:val="2812"/>
        </w:trPr>
        <w:tc>
          <w:tcPr>
            <w:tcW w:w="4468" w:type="dxa"/>
          </w:tcPr>
          <w:p w:rsidR="002F768F" w:rsidRDefault="00D502CC" w:rsidP="00996B57">
            <w:pPr>
              <w:pBdr>
                <w:between w:val="single" w:sz="4" w:space="1" w:color="auto"/>
              </w:pBdr>
              <w:snapToGrid w:val="0"/>
              <w:spacing w:before="240" w:line="300" w:lineRule="auto"/>
              <w:rPr>
                <w:rFonts w:asciiTheme="minorHAnsi" w:eastAsia="MS PGothic" w:hAnsiTheme="minorHAnsi"/>
                <w:bCs/>
                <w:color w:val="000000"/>
                <w:sz w:val="22"/>
                <w:szCs w:val="22"/>
                <w:lang w:val="en-US"/>
              </w:rPr>
            </w:pPr>
            <w:r w:rsidRPr="00D502CC">
              <w:rPr>
                <w:rFonts w:asciiTheme="minorHAnsi" w:eastAsia="MS PGothic" w:hAnsiTheme="minorHAnsi"/>
                <w:bCs/>
                <w:color w:val="000000"/>
                <w:sz w:val="2"/>
                <w:szCs w:val="22"/>
                <w:lang w:val="fr-FR"/>
              </w:rPr>
              <w:drawing>
                <wp:inline distT="0" distB="0" distL="0" distR="0" wp14:anchorId="01B3B5E1" wp14:editId="0ADA97D4">
                  <wp:extent cx="2676525" cy="1981200"/>
                  <wp:effectExtent l="0" t="0" r="9525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2F768F" w:rsidRPr="00D502CC" w:rsidRDefault="00D502CC" w:rsidP="00996B57">
            <w:pPr>
              <w:pBdr>
                <w:between w:val="single" w:sz="4" w:space="1" w:color="auto"/>
              </w:pBdr>
              <w:snapToGrid w:val="0"/>
              <w:spacing w:before="240" w:line="300" w:lineRule="auto"/>
              <w:rPr>
                <w:rFonts w:asciiTheme="minorHAnsi" w:eastAsia="MS PGothic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502CC">
              <w:rPr>
                <w:rFonts w:asciiTheme="minorHAnsi" w:eastAsia="MS PGothic" w:hAnsiTheme="minorHAnsi"/>
                <w:b/>
                <w:bCs/>
                <w:color w:val="000000"/>
                <w:sz w:val="16"/>
                <w:szCs w:val="22"/>
                <w:lang w:val="fr-FR"/>
              </w:rPr>
              <w:drawing>
                <wp:inline distT="0" distB="0" distL="0" distR="0" wp14:anchorId="369D563C" wp14:editId="75003BA1">
                  <wp:extent cx="2581275" cy="2000250"/>
                  <wp:effectExtent l="0" t="0" r="0" b="0"/>
                  <wp:docPr id="2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2F768F" w:rsidRDefault="00184EFD" w:rsidP="00074A4B">
      <w:pPr>
        <w:snapToGrid w:val="0"/>
        <w:spacing w:before="240" w:line="24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Fig</w:t>
      </w:r>
      <w:r w:rsidR="005D0D0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ure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1.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Aminoacylases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loading enzyme on SBA15 functionalized with</w:t>
      </w:r>
      <w:r w:rsidR="00074A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different APTES</w:t>
      </w:r>
      <w:r w:rsidR="00E15B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concentrations</w:t>
      </w:r>
      <w:r w:rsidR="00074A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proofErr w:type="spellStart"/>
      <w:r w:rsidR="00074A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lauroyl</w:t>
      </w:r>
      <w:proofErr w:type="spellEnd"/>
      <w:r w:rsidR="00074A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-lysine concentration obtained after</w:t>
      </w:r>
      <w:r w:rsidR="003C68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48h reaction</w:t>
      </w:r>
      <w:r w:rsidR="0023052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</w:p>
    <w:p w:rsidR="000A2898" w:rsidRPr="008C38B9" w:rsidRDefault="00274967" w:rsidP="00074A4B">
      <w:pPr>
        <w:snapToGrid w:val="0"/>
        <w:spacing w:before="240" w:line="24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Alternatively, </w:t>
      </w:r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D836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N-acylation of lysine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was </w:t>
      </w:r>
      <w:r w:rsidR="00D836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carried out</w:t>
      </w:r>
      <w:proofErr w:type="gramEnd"/>
      <w:r w:rsidR="00D836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with CALB immobilized on carbon nanotubes. Enzyme loading </w:t>
      </w:r>
      <w:r w:rsidR="00EC35E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reached </w:t>
      </w:r>
      <w:r w:rsidR="0020429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0.16 mg/mg carbon nanotubes by direct adsorption whereas </w:t>
      </w:r>
      <w:r w:rsidR="000A28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0.25 mg/mg carbon nanotubes</w:t>
      </w:r>
      <w:r w:rsidR="0020429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="006C187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can be achieved</w:t>
      </w:r>
      <w:proofErr w:type="gramEnd"/>
      <w:r w:rsidR="006C187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by covalent bonding</w:t>
      </w:r>
      <w:r w:rsidR="00EC35E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However, th</w:t>
      </w:r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 activity of CALB </w:t>
      </w:r>
      <w:r w:rsidR="005D0D0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covalently </w:t>
      </w:r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immobilized on carbon nanotubes was 20 fold less than with </w:t>
      </w:r>
      <w:proofErr w:type="spellStart"/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Novozyme</w:t>
      </w:r>
      <w:proofErr w:type="spellEnd"/>
      <w:r w:rsidR="00605E0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435.</w:t>
      </w:r>
    </w:p>
    <w:p w:rsidR="0067169B" w:rsidRDefault="00D46EAD" w:rsidP="004D0898">
      <w:pPr>
        <w:snapToGrid w:val="0"/>
        <w:spacing w:before="24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7169B" w:rsidRPr="005D0D0F" w:rsidRDefault="009B4E2B" w:rsidP="004D0898">
      <w:pPr>
        <w:snapToGrid w:val="0"/>
        <w:spacing w:before="240" w:line="24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regioselectivity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of N-acylation </w:t>
      </w: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was maintained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whatever the enzyme and immobilization support. However, the p</w:t>
      </w:r>
      <w:r w:rsidR="006350A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erformances </w:t>
      </w:r>
      <w:r w:rsidR="004D089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of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both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enzymes</w:t>
      </w:r>
      <w:r w:rsidR="0075170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depended on </w:t>
      </w:r>
      <w:r w:rsidR="0075170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immobiliz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ation supports</w:t>
      </w:r>
      <w:r w:rsidR="0075170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4D089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by adsorption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or covalent bond </w:t>
      </w:r>
      <w:r w:rsidR="0075170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on SBA15 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or carbon nanotubes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  <w:r w:rsidR="00D402A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</w:p>
    <w:p w:rsidR="00D46EAD" w:rsidRDefault="00D46EAD" w:rsidP="00D46EAD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9C7EDA" w:rsidRPr="0067169B" w:rsidRDefault="009C7EDA" w:rsidP="0067169B">
      <w:pPr>
        <w:rPr>
          <w:lang w:val="en-US"/>
        </w:rPr>
      </w:pPr>
      <w:r w:rsidRPr="009C7ED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[1] </w:t>
      </w:r>
      <w:proofErr w:type="spellStart"/>
      <w:r w:rsidRPr="009C7EDA">
        <w:rPr>
          <w:lang w:val="en-US"/>
        </w:rPr>
        <w:t>Husson</w:t>
      </w:r>
      <w:proofErr w:type="spellEnd"/>
      <w:r w:rsidRPr="009C7EDA">
        <w:rPr>
          <w:lang w:val="en-US"/>
        </w:rPr>
        <w:t xml:space="preserve"> E., </w:t>
      </w:r>
      <w:r w:rsidRPr="009C7EDA">
        <w:rPr>
          <w:lang w:val="en-US"/>
        </w:rPr>
        <w:t>et al.</w:t>
      </w:r>
      <w:r>
        <w:rPr>
          <w:lang w:val="en-US"/>
        </w:rPr>
        <w:t xml:space="preserve"> </w:t>
      </w:r>
      <w:r w:rsidR="0067169B">
        <w:rPr>
          <w:lang w:val="en-US"/>
        </w:rPr>
        <w:t xml:space="preserve">(2009). </w:t>
      </w:r>
      <w:r w:rsidRPr="00795475">
        <w:t xml:space="preserve">Enzymatic </w:t>
      </w:r>
      <w:r w:rsidRPr="00795475">
        <w:rPr>
          <w:i/>
          <w:iCs/>
        </w:rPr>
        <w:t>N</w:t>
      </w:r>
      <w:r w:rsidRPr="00795475">
        <w:t>-acylation of polar dip</w:t>
      </w:r>
      <w:r w:rsidR="006350A8">
        <w:t>eptides</w:t>
      </w:r>
      <w:r>
        <w:t>: influence of reaction media and molecular environment of functional groups.</w:t>
      </w:r>
      <w:r w:rsidR="0067169B">
        <w:rPr>
          <w:lang w:val="en-US"/>
        </w:rPr>
        <w:t xml:space="preserve"> </w:t>
      </w:r>
      <w:r w:rsidRPr="00181EA5">
        <w:t>Proc</w:t>
      </w:r>
      <w:r w:rsidRPr="008C3826">
        <w:t>ess Biochemistry, 44, 428-434</w:t>
      </w:r>
    </w:p>
    <w:p w:rsidR="004D1162" w:rsidRPr="005D0D0F" w:rsidRDefault="009C7EDA" w:rsidP="005D0D0F">
      <w:pPr>
        <w:rPr>
          <w:rFonts w:cs="Arial"/>
          <w:color w:val="000000"/>
          <w:lang w:val="en-US"/>
        </w:rPr>
      </w:pPr>
      <w:r w:rsidRPr="009C7EDA">
        <w:rPr>
          <w:rFonts w:asciiTheme="minorHAnsi" w:eastAsia="SimSun" w:hAnsiTheme="minorHAnsi"/>
          <w:sz w:val="22"/>
          <w:szCs w:val="22"/>
          <w:lang w:val="en-US" w:eastAsia="zh-CN"/>
        </w:rPr>
        <w:t>[2]</w:t>
      </w:r>
      <w:r w:rsidRPr="009C7EDA">
        <w:rPr>
          <w:rFonts w:cs="Arial"/>
          <w:color w:val="000000"/>
          <w:lang w:val="en-US"/>
        </w:rPr>
        <w:t xml:space="preserve"> </w:t>
      </w:r>
      <w:proofErr w:type="spellStart"/>
      <w:r w:rsidRPr="009C7EDA">
        <w:rPr>
          <w:rFonts w:cs="Arial"/>
          <w:color w:val="000000"/>
          <w:lang w:val="en-US"/>
        </w:rPr>
        <w:t>Dettori</w:t>
      </w:r>
      <w:proofErr w:type="spellEnd"/>
      <w:r w:rsidRPr="009C7EDA">
        <w:rPr>
          <w:rFonts w:cs="Arial"/>
          <w:color w:val="000000"/>
          <w:lang w:val="en-US"/>
        </w:rPr>
        <w:t xml:space="preserve"> L</w:t>
      </w:r>
      <w:r>
        <w:rPr>
          <w:rFonts w:cs="Arial"/>
          <w:color w:val="000000"/>
          <w:lang w:val="en-US"/>
        </w:rPr>
        <w:t>., et al.</w:t>
      </w:r>
      <w:r w:rsidR="0075170A">
        <w:rPr>
          <w:rFonts w:cs="Arial"/>
          <w:color w:val="000000"/>
          <w:lang w:val="en-US"/>
        </w:rPr>
        <w:t xml:space="preserve"> </w:t>
      </w:r>
      <w:r w:rsidRPr="009C7EDA">
        <w:rPr>
          <w:rFonts w:cs="Arial"/>
          <w:color w:val="000000"/>
          <w:lang w:val="en-US"/>
        </w:rPr>
        <w:t>(2018)</w:t>
      </w:r>
      <w:r w:rsidR="0067169B">
        <w:rPr>
          <w:rFonts w:cs="Arial"/>
          <w:color w:val="000000"/>
          <w:lang w:val="en-US"/>
        </w:rPr>
        <w:t>.</w:t>
      </w:r>
      <w:r w:rsidRPr="009C7EDA">
        <w:rPr>
          <w:rFonts w:cs="Arial"/>
          <w:color w:val="000000"/>
          <w:lang w:val="en-US"/>
        </w:rPr>
        <w:t xml:space="preserve"> </w:t>
      </w:r>
      <w:r w:rsidRPr="006961FF">
        <w:rPr>
          <w:rFonts w:cs="Arial"/>
          <w:color w:val="000000"/>
          <w:lang w:val="en-US"/>
        </w:rPr>
        <w:t xml:space="preserve">An </w:t>
      </w:r>
      <w:proofErr w:type="spellStart"/>
      <w:r w:rsidRPr="006961FF">
        <w:rPr>
          <w:rFonts w:cs="Arial"/>
          <w:color w:val="000000"/>
          <w:lang w:val="en-US"/>
        </w:rPr>
        <w:t>aminoacylase</w:t>
      </w:r>
      <w:proofErr w:type="spellEnd"/>
      <w:r w:rsidRPr="006961FF">
        <w:rPr>
          <w:rFonts w:cs="Arial"/>
          <w:color w:val="000000"/>
          <w:lang w:val="en-US"/>
        </w:rPr>
        <w:t xml:space="preserve"> activity from Streptomyces </w:t>
      </w:r>
      <w:proofErr w:type="spellStart"/>
      <w:r w:rsidRPr="006961FF">
        <w:rPr>
          <w:rFonts w:cs="Arial"/>
          <w:color w:val="000000"/>
          <w:lang w:val="en-US"/>
        </w:rPr>
        <w:t>ambofaciens</w:t>
      </w:r>
      <w:proofErr w:type="spellEnd"/>
      <w:r w:rsidRPr="006961FF">
        <w:rPr>
          <w:rFonts w:cs="Arial"/>
          <w:color w:val="000000"/>
          <w:lang w:val="en-US"/>
        </w:rPr>
        <w:t xml:space="preserve"> catalyzes the acylation of lysine on </w:t>
      </w:r>
      <w:r w:rsidRPr="006961FF">
        <w:rPr>
          <w:rFonts w:cs="Arial" w:hint="eastAsia"/>
          <w:color w:val="000000"/>
          <w:lang w:val="en-US"/>
        </w:rPr>
        <w:t>α</w:t>
      </w:r>
      <w:r w:rsidRPr="006961FF">
        <w:rPr>
          <w:rFonts w:ascii="Cambria Math" w:hAnsi="Cambria Math" w:cs="Cambria Math"/>
          <w:color w:val="000000"/>
          <w:lang w:val="en-US"/>
        </w:rPr>
        <w:t>‐</w:t>
      </w:r>
      <w:r w:rsidRPr="006961FF">
        <w:rPr>
          <w:rFonts w:cs="Arial"/>
          <w:color w:val="000000"/>
          <w:lang w:val="en-US"/>
        </w:rPr>
        <w:t>position and peptides on N</w:t>
      </w:r>
      <w:r w:rsidRPr="006961FF">
        <w:rPr>
          <w:rFonts w:ascii="Cambria Math" w:hAnsi="Cambria Math" w:cs="Cambria Math"/>
          <w:color w:val="000000"/>
          <w:lang w:val="en-US"/>
        </w:rPr>
        <w:t>‐</w:t>
      </w:r>
      <w:r w:rsidRPr="006961FF">
        <w:rPr>
          <w:rFonts w:cs="Arial"/>
          <w:color w:val="000000"/>
          <w:lang w:val="en-US"/>
        </w:rPr>
        <w:t>terminal position</w:t>
      </w:r>
      <w:r>
        <w:rPr>
          <w:rFonts w:cs="Arial"/>
          <w:color w:val="000000"/>
          <w:lang w:val="en-US"/>
        </w:rPr>
        <w:t>.</w:t>
      </w:r>
      <w:r>
        <w:rPr>
          <w:rFonts w:cs="Arial"/>
          <w:color w:val="000000"/>
          <w:lang w:val="en-US"/>
        </w:rPr>
        <w:t xml:space="preserve"> </w:t>
      </w:r>
      <w:r w:rsidRPr="00BA34C9">
        <w:rPr>
          <w:rFonts w:cs="Arial"/>
          <w:color w:val="000000"/>
          <w:lang w:val="en-US"/>
        </w:rPr>
        <w:t>Eng</w:t>
      </w:r>
      <w:r>
        <w:rPr>
          <w:rFonts w:cs="Arial"/>
          <w:color w:val="000000"/>
          <w:lang w:val="en-US"/>
        </w:rPr>
        <w:t>ineering in</w:t>
      </w:r>
      <w:r w:rsidRPr="00BA34C9">
        <w:rPr>
          <w:rFonts w:cs="Arial"/>
          <w:color w:val="000000"/>
          <w:lang w:val="en-US"/>
        </w:rPr>
        <w:t xml:space="preserve"> Life Sci</w:t>
      </w:r>
      <w:r>
        <w:rPr>
          <w:rFonts w:cs="Arial"/>
          <w:color w:val="000000"/>
          <w:lang w:val="en-US"/>
        </w:rPr>
        <w:t>ences,</w:t>
      </w:r>
      <w:r w:rsidRPr="00BA34C9">
        <w:rPr>
          <w:rFonts w:cs="Arial"/>
          <w:color w:val="000000"/>
          <w:lang w:val="en-US"/>
        </w:rPr>
        <w:t xml:space="preserve"> 2018, 18, 589–599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52" w:rsidRDefault="00BD6C52" w:rsidP="004F5E36">
      <w:r>
        <w:separator/>
      </w:r>
    </w:p>
  </w:endnote>
  <w:endnote w:type="continuationSeparator" w:id="0">
    <w:p w:rsidR="00BD6C52" w:rsidRDefault="00BD6C5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52" w:rsidRDefault="00BD6C52" w:rsidP="004F5E36">
      <w:r>
        <w:separator/>
      </w:r>
    </w:p>
  </w:footnote>
  <w:footnote w:type="continuationSeparator" w:id="0">
    <w:p w:rsidR="00BD6C52" w:rsidRDefault="00BD6C5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A0A2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422C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6CA2"/>
    <w:rsid w:val="00062A9A"/>
    <w:rsid w:val="00074A4B"/>
    <w:rsid w:val="000A03B2"/>
    <w:rsid w:val="000A2898"/>
    <w:rsid w:val="000D34BE"/>
    <w:rsid w:val="000E36F1"/>
    <w:rsid w:val="000E3A73"/>
    <w:rsid w:val="000E414A"/>
    <w:rsid w:val="000E61FC"/>
    <w:rsid w:val="0013121F"/>
    <w:rsid w:val="00134DE4"/>
    <w:rsid w:val="00150E59"/>
    <w:rsid w:val="00184AD6"/>
    <w:rsid w:val="00184EFD"/>
    <w:rsid w:val="001B65C1"/>
    <w:rsid w:val="001C684B"/>
    <w:rsid w:val="001D53FC"/>
    <w:rsid w:val="001F2EC7"/>
    <w:rsid w:val="0020429C"/>
    <w:rsid w:val="002065DB"/>
    <w:rsid w:val="0023052C"/>
    <w:rsid w:val="00241549"/>
    <w:rsid w:val="002447EF"/>
    <w:rsid w:val="00251550"/>
    <w:rsid w:val="0027221A"/>
    <w:rsid w:val="00274967"/>
    <w:rsid w:val="00275B61"/>
    <w:rsid w:val="002D1F12"/>
    <w:rsid w:val="002F768F"/>
    <w:rsid w:val="003009B7"/>
    <w:rsid w:val="0030469C"/>
    <w:rsid w:val="003723D4"/>
    <w:rsid w:val="003A7D1C"/>
    <w:rsid w:val="003C4B3F"/>
    <w:rsid w:val="003C6801"/>
    <w:rsid w:val="003F28FC"/>
    <w:rsid w:val="0046164A"/>
    <w:rsid w:val="00462DCD"/>
    <w:rsid w:val="004D0898"/>
    <w:rsid w:val="004D1162"/>
    <w:rsid w:val="004D4AF5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0D0F"/>
    <w:rsid w:val="005D6A2F"/>
    <w:rsid w:val="005E1A82"/>
    <w:rsid w:val="005F0A28"/>
    <w:rsid w:val="005F0E5E"/>
    <w:rsid w:val="00605E06"/>
    <w:rsid w:val="00620DEE"/>
    <w:rsid w:val="00625639"/>
    <w:rsid w:val="006350A8"/>
    <w:rsid w:val="006366F8"/>
    <w:rsid w:val="0064184D"/>
    <w:rsid w:val="00645717"/>
    <w:rsid w:val="00660E3E"/>
    <w:rsid w:val="00662E74"/>
    <w:rsid w:val="0067169B"/>
    <w:rsid w:val="006B01AC"/>
    <w:rsid w:val="006C1870"/>
    <w:rsid w:val="006C5579"/>
    <w:rsid w:val="00704BDF"/>
    <w:rsid w:val="00736B13"/>
    <w:rsid w:val="007447F3"/>
    <w:rsid w:val="0075170A"/>
    <w:rsid w:val="007661C8"/>
    <w:rsid w:val="00796942"/>
    <w:rsid w:val="007D52CD"/>
    <w:rsid w:val="00804DA5"/>
    <w:rsid w:val="00813288"/>
    <w:rsid w:val="008168FC"/>
    <w:rsid w:val="00843313"/>
    <w:rsid w:val="008479A2"/>
    <w:rsid w:val="0087637F"/>
    <w:rsid w:val="008A1512"/>
    <w:rsid w:val="008C38B9"/>
    <w:rsid w:val="008D0BEB"/>
    <w:rsid w:val="008E566E"/>
    <w:rsid w:val="00901EB6"/>
    <w:rsid w:val="00907D37"/>
    <w:rsid w:val="00933C57"/>
    <w:rsid w:val="009450CE"/>
    <w:rsid w:val="0095164B"/>
    <w:rsid w:val="00996483"/>
    <w:rsid w:val="00996B57"/>
    <w:rsid w:val="009B4E2B"/>
    <w:rsid w:val="009C7EDA"/>
    <w:rsid w:val="009D22C9"/>
    <w:rsid w:val="009E788A"/>
    <w:rsid w:val="00A1763D"/>
    <w:rsid w:val="00A17CEC"/>
    <w:rsid w:val="00A27EF0"/>
    <w:rsid w:val="00A76EFC"/>
    <w:rsid w:val="00A97F29"/>
    <w:rsid w:val="00AB0964"/>
    <w:rsid w:val="00AE377D"/>
    <w:rsid w:val="00B51F32"/>
    <w:rsid w:val="00B61DBF"/>
    <w:rsid w:val="00BC30C9"/>
    <w:rsid w:val="00BD6C52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402A0"/>
    <w:rsid w:val="00D46EAD"/>
    <w:rsid w:val="00D502CC"/>
    <w:rsid w:val="00D526B3"/>
    <w:rsid w:val="00D8369A"/>
    <w:rsid w:val="00D84576"/>
    <w:rsid w:val="00DE0019"/>
    <w:rsid w:val="00DE264A"/>
    <w:rsid w:val="00E041E7"/>
    <w:rsid w:val="00E15BA5"/>
    <w:rsid w:val="00E23CA1"/>
    <w:rsid w:val="00E409A8"/>
    <w:rsid w:val="00E448CA"/>
    <w:rsid w:val="00E47211"/>
    <w:rsid w:val="00E7209D"/>
    <w:rsid w:val="00EA50E1"/>
    <w:rsid w:val="00EB17C1"/>
    <w:rsid w:val="00EC35ED"/>
    <w:rsid w:val="00EE0131"/>
    <w:rsid w:val="00F30C64"/>
    <w:rsid w:val="00F92A6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9840E"/>
  <w15:docId w15:val="{BCC981E6-A86F-46FF-9A84-572028D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HISA">
    <w:name w:val="CHISA"/>
    <w:rsid w:val="00D46EAD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Cs w:val="20"/>
      <w:lang w:val="en-GB" w:eastAsia="ar-SA"/>
    </w:rPr>
  </w:style>
  <w:style w:type="paragraph" w:styleId="Paragraphedeliste">
    <w:name w:val="List Paragraph"/>
    <w:basedOn w:val="Normal"/>
    <w:uiPriority w:val="34"/>
    <w:qFormat/>
    <w:locked/>
    <w:rsid w:val="00D4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BOURKAIB\Downloads\quanti%20prot%20immob%20aptes%20(1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BOURKAIB\Downloads\r&#233;sultats%20supports%20APTES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72632405380222"/>
          <c:y val="0.14165742735072914"/>
          <c:w val="0.8635236002353972"/>
          <c:h val="0.6718887044948977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'[quanti prot immob aptes (1).xlsx]Feuil1'!$C$24</c:f>
              <c:strCache>
                <c:ptCount val="1"/>
                <c:pt idx="0">
                  <c:v>Loading enzyme (mg protein / mg material)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xVal>
            <c:numRef>
              <c:f>'[quanti prot immob aptes (1).xlsx]Feuil1'!$A$26:$A$31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25</c:v>
                </c:pt>
                <c:pt idx="5">
                  <c:v>50</c:v>
                </c:pt>
              </c:numCache>
            </c:numRef>
          </c:xVal>
          <c:yVal>
            <c:numRef>
              <c:f>'[quanti prot immob aptes (1).xlsx]Feuil1'!$C$26:$C$31</c:f>
              <c:numCache>
                <c:formatCode>0.00%</c:formatCode>
                <c:ptCount val="6"/>
                <c:pt idx="0">
                  <c:v>3.707522697795073E-2</c:v>
                </c:pt>
                <c:pt idx="1">
                  <c:v>4.3692960735762301E-2</c:v>
                </c:pt>
                <c:pt idx="2">
                  <c:v>4.8542624690484634E-2</c:v>
                </c:pt>
                <c:pt idx="3">
                  <c:v>6.1022285107888229E-2</c:v>
                </c:pt>
                <c:pt idx="4">
                  <c:v>6.9255983964155193E-2</c:v>
                </c:pt>
                <c:pt idx="5">
                  <c:v>7.2923004362693084E-2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9FB-46E7-8C41-5EE51F673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402704"/>
        <c:axId val="35405424"/>
      </c:scatterChart>
      <c:valAx>
        <c:axId val="35402704"/>
        <c:scaling>
          <c:orientation val="minMax"/>
          <c:max val="5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% APTES</a:t>
                </a:r>
              </a:p>
            </c:rich>
          </c:tx>
          <c:layout>
            <c:manualLayout>
              <c:xMode val="edge"/>
              <c:yMode val="edge"/>
              <c:x val="0.44195290535302306"/>
              <c:y val="0.902552587625111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405424"/>
        <c:crosses val="autoZero"/>
        <c:crossBetween val="midCat"/>
      </c:valAx>
      <c:valAx>
        <c:axId val="3540542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5402704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11069387086492"/>
          <c:y val="0.11919760029996251"/>
          <c:w val="0.87091644037495763"/>
          <c:h val="0.578371766029246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'[résultats supports APTES 1.xlsx]Feuille1'!$A$20:$B$25</c:f>
              <c:multiLvlStrCache>
                <c:ptCount val="6"/>
                <c:lvl>
                  <c:pt idx="0">
                    <c:v>SBA15 </c:v>
                  </c:pt>
                  <c:pt idx="1">
                    <c:v>SBA15 </c:v>
                  </c:pt>
                  <c:pt idx="2">
                    <c:v>SBA15 </c:v>
                  </c:pt>
                  <c:pt idx="3">
                    <c:v>SBA15 </c:v>
                  </c:pt>
                  <c:pt idx="4">
                    <c:v>SBA15 </c:v>
                  </c:pt>
                  <c:pt idx="5">
                    <c:v>SBA15 </c:v>
                  </c:pt>
                </c:lvl>
                <c:lvl>
                  <c:pt idx="1">
                    <c:v>1% APTES</c:v>
                  </c:pt>
                  <c:pt idx="2">
                    <c:v>5% APTES</c:v>
                  </c:pt>
                  <c:pt idx="3">
                    <c:v>10% APTES</c:v>
                  </c:pt>
                  <c:pt idx="4">
                    <c:v>25% APTES</c:v>
                  </c:pt>
                  <c:pt idx="5">
                    <c:v>50% APTES</c:v>
                  </c:pt>
                </c:lvl>
              </c:multiLvlStrCache>
            </c:multiLvlStrRef>
          </c:cat>
          <c:val>
            <c:numRef>
              <c:f>'[résultats supports APTES 1.xlsx]Feuille1'!$C$20:$C$25</c:f>
              <c:numCache>
                <c:formatCode>0.0000</c:formatCode>
                <c:ptCount val="6"/>
                <c:pt idx="0">
                  <c:v>3.2500000000000001E-2</c:v>
                </c:pt>
                <c:pt idx="1">
                  <c:v>1.7500000000000002E-2</c:v>
                </c:pt>
                <c:pt idx="2">
                  <c:v>6.7500000000000004E-2</c:v>
                </c:pt>
                <c:pt idx="3">
                  <c:v>7.4999999999999997E-2</c:v>
                </c:pt>
                <c:pt idx="4">
                  <c:v>8.5000000000000006E-2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0-4E81-A11A-CE1C5F3C8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505824"/>
        <c:axId val="219516704"/>
      </c:barChart>
      <c:valAx>
        <c:axId val="219516704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0.00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fr-FR"/>
          </a:p>
        </c:txPr>
        <c:crossAx val="219505824"/>
        <c:crosses val="autoZero"/>
        <c:crossBetween val="between"/>
      </c:valAx>
      <c:catAx>
        <c:axId val="21950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fr-FR"/>
          </a:p>
        </c:txPr>
        <c:crossAx val="219516704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0.82972</cdr:x>
      <cdr:y>0.11822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0" y="0"/>
          <a:ext cx="2418354" cy="248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fr-FR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000" dirty="0"/>
            <a:t>Enzyme loading (mg </a:t>
          </a:r>
          <a:r>
            <a:rPr lang="fr-FR" sz="1000" dirty="0" err="1"/>
            <a:t>protein</a:t>
          </a:r>
          <a:r>
            <a:rPr lang="fr-FR" sz="1000" dirty="0"/>
            <a:t> / mg </a:t>
          </a:r>
          <a:r>
            <a:rPr lang="fr-FR" sz="1000" dirty="0" err="1" smtClean="0"/>
            <a:t>material</a:t>
          </a:r>
          <a:r>
            <a:rPr lang="fr-FR" sz="1000" dirty="0" smtClean="0"/>
            <a:t>)</a:t>
          </a:r>
          <a:endParaRPr lang="fr-FR" sz="10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0.62589</cdr:x>
      <cdr:y>0.11213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0"/>
          <a:ext cx="1949444" cy="248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fr-FR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000" dirty="0" smtClean="0"/>
            <a:t>Lauroyl-lysine</a:t>
          </a:r>
          <a:r>
            <a:rPr lang="fr-FR" sz="1000" baseline="0" dirty="0" smtClean="0"/>
            <a:t> c</a:t>
          </a:r>
          <a:r>
            <a:rPr lang="fr-FR" sz="1000" dirty="0" smtClean="0"/>
            <a:t>oncentration (g/L)</a:t>
          </a:r>
          <a:endParaRPr lang="fr-FR" sz="1000" dirty="0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93B2-ECA9-4905-8962-91D301A0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Isabelle Chevalot</cp:lastModifiedBy>
  <cp:revision>2</cp:revision>
  <cp:lastPrinted>2015-05-12T18:31:00Z</cp:lastPrinted>
  <dcterms:created xsi:type="dcterms:W3CDTF">2019-03-30T09:41:00Z</dcterms:created>
  <dcterms:modified xsi:type="dcterms:W3CDTF">2019-03-30T09:41:00Z</dcterms:modified>
</cp:coreProperties>
</file>