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6009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843" w:right="1418" w:bottom="1276" w:left="1418" w:header="709" w:footer="0" w:gutter="0"/>
          <w:cols w:space="708"/>
          <w:titlePg/>
          <w:docGrid w:linePitch="360"/>
        </w:sectPr>
      </w:pPr>
    </w:p>
    <w:p w:rsidR="00704BDF" w:rsidRPr="00DE0019" w:rsidRDefault="00202131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Determination of nucleation kinetics from </w:t>
      </w:r>
      <w:r w:rsidR="0028118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metastable zone width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and induction time </w:t>
      </w:r>
      <w:r w:rsidR="00900F89">
        <w:rPr>
          <w:rFonts w:asciiTheme="minorHAnsi" w:eastAsia="MS PGothic" w:hAnsiTheme="minorHAnsi"/>
          <w:b/>
          <w:bCs/>
          <w:sz w:val="28"/>
          <w:szCs w:val="28"/>
          <w:lang w:val="en-US"/>
        </w:rPr>
        <w:t>data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for </w:t>
      </w:r>
      <w:proofErr w:type="spellStart"/>
      <w:r w:rsidR="00900F89">
        <w:rPr>
          <w:rFonts w:asciiTheme="minorHAnsi" w:eastAsia="MS PGothic" w:hAnsiTheme="minorHAnsi"/>
          <w:b/>
          <w:bCs/>
          <w:sz w:val="28"/>
          <w:szCs w:val="28"/>
          <w:lang w:val="en-US"/>
        </w:rPr>
        <w:t>sono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crystallization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pyrazinamide. </w:t>
      </w:r>
    </w:p>
    <w:p w:rsidR="00DE0019" w:rsidRPr="00DE0019" w:rsidRDefault="00202131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proofErr w:type="gram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Abhishek  Maharana</w:t>
      </w:r>
      <w:proofErr w:type="gramEnd"/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Debasis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Sarkar</w:t>
      </w:r>
      <w:r w:rsidR="00704BDF" w:rsidRPr="00A15B93">
        <w:rPr>
          <w:rFonts w:eastAsia="SimSun"/>
          <w:color w:val="000000"/>
          <w:vertAlign w:val="superscript"/>
          <w:lang w:val="en-US" w:eastAsia="zh-CN"/>
        </w:rPr>
        <w:t>2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977CB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="009757E9">
        <w:rPr>
          <w:rFonts w:eastAsia="MS PGothic"/>
          <w:i/>
          <w:iCs/>
          <w:color w:val="000000"/>
          <w:sz w:val="20"/>
          <w:vertAlign w:val="superscript"/>
          <w:lang w:val="en-US"/>
        </w:rPr>
        <w:t>,2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20213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Dept</w:t>
      </w:r>
      <w:proofErr w:type="spellEnd"/>
      <w:r w:rsidR="0020213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of Chemical </w:t>
      </w:r>
      <w:proofErr w:type="spellStart"/>
      <w:r w:rsidR="0020213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Engg</w:t>
      </w:r>
      <w:proofErr w:type="spellEnd"/>
      <w:r w:rsidR="009757E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IIT </w:t>
      </w:r>
      <w:proofErr w:type="spellStart"/>
      <w:r w:rsidR="0020213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Kharagpur</w:t>
      </w:r>
      <w:proofErr w:type="spellEnd"/>
      <w:r w:rsidR="0020213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</w:t>
      </w:r>
      <w:r w:rsidR="009757E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West Bengal,</w:t>
      </w:r>
      <w:r w:rsidR="0020213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India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202131">
        <w:rPr>
          <w:rFonts w:asciiTheme="minorHAnsi" w:eastAsia="MS PGothic" w:hAnsiTheme="minorHAnsi"/>
          <w:bCs/>
          <w:i/>
          <w:iCs/>
          <w:sz w:val="20"/>
          <w:lang w:val="en-US"/>
        </w:rPr>
        <w:t>abhi.mrana@gmail.com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Default="008A51E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Nucleation </w:t>
      </w:r>
      <w:r w:rsidR="00900F89">
        <w:rPr>
          <w:rFonts w:asciiTheme="minorHAnsi" w:hAnsiTheme="minorHAnsi"/>
        </w:rPr>
        <w:t xml:space="preserve">kinetics </w:t>
      </w:r>
      <w:r w:rsidR="009757E9">
        <w:rPr>
          <w:rFonts w:asciiTheme="minorHAnsi" w:hAnsiTheme="minorHAnsi"/>
        </w:rPr>
        <w:t>is</w:t>
      </w:r>
      <w:r w:rsidR="00900F89">
        <w:rPr>
          <w:rFonts w:asciiTheme="minorHAnsi" w:hAnsiTheme="minorHAnsi"/>
        </w:rPr>
        <w:t xml:space="preserve"> estimated from </w:t>
      </w:r>
      <w:r>
        <w:rPr>
          <w:rFonts w:asciiTheme="minorHAnsi" w:hAnsiTheme="minorHAnsi"/>
        </w:rPr>
        <w:t>MSZW and induction time</w:t>
      </w:r>
      <w:r w:rsidR="00900F89">
        <w:rPr>
          <w:rFonts w:asciiTheme="minorHAnsi" w:hAnsiTheme="minorHAnsi"/>
        </w:rPr>
        <w:t xml:space="preserve"> data.</w:t>
      </w:r>
    </w:p>
    <w:p w:rsidR="00BB2382" w:rsidRPr="001A0C9E" w:rsidRDefault="00B8199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proofErr w:type="spellStart"/>
      <w:r>
        <w:rPr>
          <w:rFonts w:asciiTheme="minorHAnsi" w:eastAsia="MS PGothic" w:hAnsiTheme="minorHAnsi"/>
          <w:color w:val="000000"/>
        </w:rPr>
        <w:t>Sangwal’s</w:t>
      </w:r>
      <w:proofErr w:type="spellEnd"/>
      <w:r>
        <w:rPr>
          <w:rFonts w:asciiTheme="minorHAnsi" w:eastAsia="MS PGothic" w:hAnsiTheme="minorHAnsi"/>
          <w:color w:val="000000"/>
        </w:rPr>
        <w:t xml:space="preserve"> nucleation theory is used for estimating nucleation parameters.</w:t>
      </w:r>
    </w:p>
    <w:p w:rsidR="00BB2382" w:rsidRPr="001A0C9E" w:rsidRDefault="00C2349D" w:rsidP="00C2349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C2349D">
        <w:rPr>
          <w:rFonts w:asciiTheme="minorHAnsi" w:eastAsia="MS PGothic" w:hAnsiTheme="minorHAnsi"/>
          <w:color w:val="000000"/>
        </w:rPr>
        <w:t xml:space="preserve">Induction time showed </w:t>
      </w:r>
      <w:r w:rsidR="00B8199B">
        <w:rPr>
          <w:rFonts w:asciiTheme="minorHAnsi" w:eastAsia="MS PGothic" w:hAnsiTheme="minorHAnsi"/>
          <w:color w:val="000000"/>
        </w:rPr>
        <w:t xml:space="preserve">a </w:t>
      </w:r>
      <w:r w:rsidRPr="00C2349D">
        <w:rPr>
          <w:rFonts w:asciiTheme="minorHAnsi" w:eastAsia="MS PGothic" w:hAnsiTheme="minorHAnsi"/>
          <w:color w:val="000000"/>
        </w:rPr>
        <w:t>sharp decrease with increase in ultrasound amplitude</w:t>
      </w:r>
      <w:r>
        <w:rPr>
          <w:rFonts w:asciiTheme="minorHAnsi" w:eastAsia="MS PGothic" w:hAnsiTheme="minorHAnsi"/>
          <w:color w:val="000000"/>
        </w:rPr>
        <w:t>.</w:t>
      </w:r>
    </w:p>
    <w:p w:rsidR="00B8199B" w:rsidRDefault="00B8199B" w:rsidP="00704BDF">
      <w:pPr>
        <w:snapToGrid w:val="0"/>
        <w:spacing w:line="300" w:lineRule="auto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Default="00FD3467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Crystallization is a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n important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separation and purification technique in many chemical and pharmaceutical industries. Most industries use simple batch crystallization for generating crystals of definite </w:t>
      </w:r>
      <w:r w:rsidR="00281184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 size distribution (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CSD</w:t>
      </w:r>
      <w:r w:rsidR="00281184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purity. However, it is very difficult to control primary nucleation to obtain crystals of definite properties because it occurs in a thermodynamically unstable region [1]. Primary nucleation requires </w:t>
      </w:r>
      <w:r w:rsidR="00C90D2C">
        <w:rPr>
          <w:rFonts w:asciiTheme="minorHAnsi" w:eastAsia="MS PGothic" w:hAnsiTheme="minorHAnsi"/>
          <w:color w:val="000000"/>
          <w:sz w:val="22"/>
          <w:szCs w:val="22"/>
          <w:lang w:val="en-US"/>
        </w:rPr>
        <w:t>very high levels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supersaturation</w:t>
      </w:r>
      <w:proofErr w:type="spellEnd"/>
      <w:r w:rsidR="00C90D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 brings difficulty in controlling the crystallization process. </w:t>
      </w:r>
      <w:r w:rsidR="00C555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overcome this situation </w:t>
      </w:r>
      <w:proofErr w:type="spellStart"/>
      <w:r w:rsidR="0006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sonocrystallization</w:t>
      </w:r>
      <w:proofErr w:type="spellEnd"/>
      <w:r w:rsidR="0006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</w:t>
      </w:r>
      <w:r w:rsidR="00C555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 used. </w:t>
      </w:r>
      <w:r w:rsidR="00006880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E718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avitation </w:t>
      </w:r>
      <w:r w:rsidR="00006880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induced</w:t>
      </w:r>
      <w:r w:rsidR="00C555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during ultrasound</w:t>
      </w:r>
      <w:r w:rsidR="00E718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create high </w:t>
      </w:r>
      <w:proofErr w:type="spellStart"/>
      <w:r w:rsidR="00E7184E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supersaturation</w:t>
      </w:r>
      <w:proofErr w:type="spellEnd"/>
      <w:r w:rsidR="00E718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even at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lower superstation ratio</w:t>
      </w:r>
      <w:r w:rsidR="0028118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</w:t>
      </w:r>
      <w:r w:rsidR="00E718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induce nucleation to achieve 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target </w:t>
      </w:r>
      <w:r w:rsidR="00E718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CSD </w:t>
      </w:r>
      <w:r w:rsidR="0083230B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bookmarkStart w:id="0" w:name="_GoBack"/>
      <w:bookmarkEnd w:id="0"/>
      <w:r w:rsidR="00E718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create nuclei 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desired</w:t>
      </w:r>
      <w:r w:rsidR="00E718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polymorph [</w:t>
      </w:r>
      <w:r w:rsidR="00281184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E7184E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6A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MSZW denotes region between solubility curve and onset of nucleation. Information about MSZW helps in avoiding excessive nucleation, ensures required CSD and 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also</w:t>
      </w:r>
      <w:r w:rsidR="006A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helps in determining nucleation kinetics. Induction time is </w:t>
      </w:r>
      <w:r w:rsidR="00B819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A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 of ability of a supersaturated solution to remain in state of </w:t>
      </w:r>
      <w:proofErr w:type="spellStart"/>
      <w:r w:rsidR="006A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metastability</w:t>
      </w:r>
      <w:proofErr w:type="spellEnd"/>
      <w:r w:rsidR="006A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It has been r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elated to </w:t>
      </w:r>
      <w:r w:rsidR="006A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>size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</w:t>
      </w:r>
      <w:r w:rsidR="006A0B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nuclei and thus it is important for evaluation of nucleation kinetics.</w:t>
      </w:r>
    </w:p>
    <w:p w:rsidR="00E7184E" w:rsidRPr="00E7184E" w:rsidRDefault="00E7184E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Pyrazinamide is an 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important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API drug for treatment of </w:t>
      </w:r>
      <w:r w:rsidRPr="00E7184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Mycobacterium tuberculosis</w:t>
      </w:r>
      <w:r w:rsidR="00900F8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. </w:t>
      </w:r>
      <w:r w:rsidR="0006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effect of</w:t>
      </w:r>
      <w:r w:rsidR="00BD50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continuous</w:t>
      </w:r>
      <w:r w:rsidR="0006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sonication</w:t>
      </w:r>
      <w:r w:rsidR="00BD50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65458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BD50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different amplitude</w:t>
      </w:r>
      <w:r w:rsidR="0006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nucleation kinetics for 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cooling </w:t>
      </w:r>
      <w:r w:rsidR="0006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crystallization of pyrazinamide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its solution in acetone</w:t>
      </w:r>
      <w:r w:rsidR="00062A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studied. Nucleation parameters </w:t>
      </w:r>
      <w:r w:rsidR="00BD502B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calculated from metastable zone width</w:t>
      </w:r>
      <w:r w:rsidR="001443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(MSZW)</w:t>
      </w:r>
      <w:r w:rsidR="00BD50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induction time </w:t>
      </w:r>
      <w:r w:rsidR="000068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 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data</w:t>
      </w:r>
      <w:r w:rsidR="00BD50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To the best 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our</w:t>
      </w:r>
      <w:r w:rsidR="00BD50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knowledge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</w:t>
      </w:r>
      <w:r w:rsidR="00BD50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study on effect of continuous 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sonication</w:t>
      </w:r>
      <w:r w:rsidR="00BD50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nucleation kinetics 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pyrazinamide </w:t>
      </w:r>
      <w:r w:rsidR="00BD502B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not b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een reported in open literature.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Default="00CD47E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Solubility of pyrazinamide in acetone is computed gravimetrically in the temperature range of 283.15 K to 323.15 K.  </w:t>
      </w:r>
      <w:r w:rsidR="001443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500 ml jacketed crystallizer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a temperature</w:t>
      </w:r>
      <w:r w:rsidR="001443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controller</w:t>
      </w:r>
      <w:r w:rsidR="001443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having a precision </w:t>
      </w:r>
      <w:r w:rsidR="00720FB2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±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0.05 K </w:t>
      </w:r>
      <w:r w:rsidR="001443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used. Probe </w:t>
      </w:r>
      <w:proofErr w:type="spellStart"/>
      <w:r w:rsidR="0014437E">
        <w:rPr>
          <w:rFonts w:asciiTheme="minorHAnsi" w:eastAsia="MS PGothic" w:hAnsiTheme="minorHAnsi"/>
          <w:color w:val="000000"/>
          <w:sz w:val="22"/>
          <w:szCs w:val="22"/>
          <w:lang w:val="en-US"/>
        </w:rPr>
        <w:t>sonicator</w:t>
      </w:r>
      <w:proofErr w:type="spellEnd"/>
      <w:r w:rsidR="001443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installed</w:t>
      </w:r>
      <w:r w:rsidR="001443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introduce ultrasound of different amplitude.</w:t>
      </w:r>
      <w:r w:rsidR="00E001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C3E0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ultrasound probe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dipped 1 cm</w:t>
      </w:r>
      <w:r w:rsidR="0000688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 the solution surface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C3E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onset</w:t>
      </w:r>
      <w:r w:rsidR="00E001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nucleation is </w:t>
      </w:r>
      <w:r w:rsidR="007960DF">
        <w:rPr>
          <w:rFonts w:asciiTheme="minorHAnsi" w:eastAsia="MS PGothic" w:hAnsiTheme="minorHAnsi"/>
          <w:color w:val="000000"/>
          <w:sz w:val="22"/>
          <w:szCs w:val="22"/>
          <w:lang w:val="en-US"/>
        </w:rPr>
        <w:t>observed</w:t>
      </w:r>
      <w:r w:rsidR="00E001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visual inspection. </w:t>
      </w:r>
      <w:proofErr w:type="spellStart"/>
      <w:r w:rsidR="00E001D2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Polythermal</w:t>
      </w:r>
      <w:proofErr w:type="spellEnd"/>
      <w:r w:rsidR="00E001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 </w:t>
      </w:r>
      <w:r w:rsidR="007960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E001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to determine MSZW and isothermal method </w:t>
      </w:r>
      <w:r w:rsidR="007960DF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E001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sed to determine induction time</w:t>
      </w:r>
      <w:r w:rsidR="00E001D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C3E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Next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classical nucleation </w:t>
      </w:r>
      <w:r w:rsidR="00BB23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theory </w:t>
      </w:r>
      <w:r w:rsidR="007960D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</w:t>
      </w:r>
      <w:r w:rsidR="007C3E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used </w:t>
      </w:r>
      <w:r w:rsidR="00900F89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estimate</w:t>
      </w:r>
      <w:r w:rsidR="00720F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nucleation rate:</w:t>
      </w:r>
    </w:p>
    <w:p w:rsidR="00153216" w:rsidRDefault="00883C13" w:rsidP="00153216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lastRenderedPageBreak/>
        <w:t xml:space="preserve">                                                               </w:t>
      </w:r>
      <w:r w:rsidR="00153216" w:rsidRPr="00883C13">
        <w:rPr>
          <w:rFonts w:asciiTheme="minorHAnsi" w:eastAsia="MS PGothic" w:hAnsiTheme="minorHAnsi"/>
          <w:color w:val="000000"/>
          <w:position w:val="-48"/>
          <w:sz w:val="22"/>
          <w:szCs w:val="22"/>
        </w:rPr>
        <w:object w:dxaOrig="4599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51.5pt;height:36.5pt" o:ole="">
            <v:imagedata r:id="rId14" o:title=""/>
          </v:shape>
          <o:OLEObject Type="Embed" ProgID="Equation.DSMT4" ShapeID="_x0000_i1033" DrawAspect="Content" ObjectID="_1620749166" r:id="rId15"/>
        </w:object>
      </w:r>
    </w:p>
    <w:p w:rsidR="00704BDF" w:rsidRPr="00153216" w:rsidRDefault="00704BDF" w:rsidP="00153216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992B70" w:rsidRDefault="00AD508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Fig</w:t>
      </w:r>
      <w:r w:rsidR="00554A49">
        <w:rPr>
          <w:rFonts w:asciiTheme="minorHAnsi" w:eastAsia="MS PGothic" w:hAnsiTheme="minorHAnsi"/>
          <w:color w:val="000000"/>
          <w:sz w:val="22"/>
          <w:szCs w:val="22"/>
        </w:rPr>
        <w:t xml:space="preserve">ure </w:t>
      </w:r>
      <w:r w:rsidR="00153216">
        <w:rPr>
          <w:rFonts w:asciiTheme="minorHAnsi" w:eastAsia="MS PGothic" w:hAnsiTheme="minorHAnsi"/>
          <w:color w:val="000000"/>
          <w:sz w:val="22"/>
          <w:szCs w:val="22"/>
        </w:rPr>
        <w:t>1 represents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MSZW in</w:t>
      </w:r>
      <w:r w:rsidR="00153216">
        <w:rPr>
          <w:rFonts w:asciiTheme="minorHAnsi" w:eastAsia="MS PGothic" w:hAnsiTheme="minorHAnsi"/>
          <w:color w:val="000000"/>
          <w:sz w:val="22"/>
          <w:szCs w:val="22"/>
        </w:rPr>
        <w:t xml:space="preserve"> presence and </w:t>
      </w:r>
      <w:r w:rsidR="00992B70">
        <w:rPr>
          <w:rFonts w:asciiTheme="minorHAnsi" w:eastAsia="MS PGothic" w:hAnsiTheme="minorHAnsi"/>
          <w:color w:val="000000"/>
          <w:sz w:val="22"/>
          <w:szCs w:val="22"/>
        </w:rPr>
        <w:t>absence of ultrasound.</w:t>
      </w:r>
      <w:r w:rsidR="004B2C26">
        <w:rPr>
          <w:rFonts w:asciiTheme="minorHAnsi" w:eastAsia="MS PGothic" w:hAnsiTheme="minorHAnsi"/>
          <w:color w:val="000000"/>
          <w:sz w:val="22"/>
          <w:szCs w:val="22"/>
        </w:rPr>
        <w:t xml:space="preserve"> It is evident from the </w:t>
      </w:r>
      <w:r w:rsidR="00153216">
        <w:rPr>
          <w:rFonts w:asciiTheme="minorHAnsi" w:eastAsia="MS PGothic" w:hAnsiTheme="minorHAnsi"/>
          <w:color w:val="000000"/>
          <w:sz w:val="22"/>
          <w:szCs w:val="22"/>
        </w:rPr>
        <w:t xml:space="preserve">figure </w:t>
      </w:r>
      <w:r w:rsidR="004B2C26">
        <w:rPr>
          <w:rFonts w:asciiTheme="minorHAnsi" w:eastAsia="MS PGothic" w:hAnsiTheme="minorHAnsi"/>
          <w:color w:val="000000"/>
          <w:sz w:val="22"/>
          <w:szCs w:val="22"/>
        </w:rPr>
        <w:t xml:space="preserve">that in presence of ultrasound, the MSZW decreases significantly. The </w:t>
      </w:r>
      <w:proofErr w:type="spellStart"/>
      <w:r w:rsidR="007960DF">
        <w:rPr>
          <w:rFonts w:asciiTheme="minorHAnsi" w:eastAsia="MS PGothic" w:hAnsiTheme="minorHAnsi"/>
          <w:color w:val="000000"/>
          <w:sz w:val="22"/>
          <w:szCs w:val="22"/>
        </w:rPr>
        <w:t>Sangwal’</w:t>
      </w:r>
      <w:r w:rsidR="004B2C26">
        <w:rPr>
          <w:rFonts w:asciiTheme="minorHAnsi" w:eastAsia="MS PGothic" w:hAnsiTheme="minorHAnsi"/>
          <w:color w:val="000000"/>
          <w:sz w:val="22"/>
          <w:szCs w:val="22"/>
        </w:rPr>
        <w:t>s</w:t>
      </w:r>
      <w:proofErr w:type="spellEnd"/>
      <w:r w:rsidR="007960DF">
        <w:rPr>
          <w:rFonts w:asciiTheme="minorHAnsi" w:eastAsia="MS PGothic" w:hAnsiTheme="minorHAnsi"/>
          <w:color w:val="000000"/>
          <w:sz w:val="22"/>
          <w:szCs w:val="22"/>
        </w:rPr>
        <w:t xml:space="preserve"> classical three dimensional nucleation theory approach is</w:t>
      </w:r>
      <w:r w:rsidR="004B2C26">
        <w:rPr>
          <w:rFonts w:asciiTheme="minorHAnsi" w:eastAsia="MS PGothic" w:hAnsiTheme="minorHAnsi"/>
          <w:color w:val="000000"/>
          <w:sz w:val="22"/>
          <w:szCs w:val="22"/>
        </w:rPr>
        <w:t xml:space="preserve"> used for estimation </w:t>
      </w:r>
      <w:r w:rsidR="00554A49">
        <w:rPr>
          <w:rFonts w:asciiTheme="minorHAnsi" w:eastAsia="MS PGothic" w:hAnsiTheme="minorHAnsi"/>
          <w:color w:val="000000"/>
          <w:sz w:val="22"/>
          <w:szCs w:val="22"/>
        </w:rPr>
        <w:t>of nucleation parameter</w:t>
      </w:r>
      <w:r w:rsidR="00720FB2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4B2C26">
        <w:rPr>
          <w:rFonts w:asciiTheme="minorHAnsi" w:eastAsia="MS PGothic" w:hAnsiTheme="minorHAnsi"/>
          <w:color w:val="000000"/>
          <w:sz w:val="22"/>
          <w:szCs w:val="22"/>
        </w:rPr>
        <w:t xml:space="preserve"> as follows:</w:t>
      </w:r>
      <w:r w:rsidR="00992B70">
        <w:rPr>
          <w:rFonts w:asciiTheme="minorHAnsi" w:eastAsia="MS PGothic" w:hAnsiTheme="minorHAnsi"/>
          <w:color w:val="000000"/>
          <w:sz w:val="22"/>
          <w:szCs w:val="22"/>
        </w:rPr>
        <w:t xml:space="preserve">               </w:t>
      </w:r>
      <w:r w:rsidR="00153216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83C13">
        <w:rPr>
          <w:rFonts w:asciiTheme="minorHAnsi" w:eastAsia="MS PGothic" w:hAnsiTheme="minorHAnsi"/>
          <w:color w:val="000000"/>
          <w:sz w:val="22"/>
          <w:szCs w:val="22"/>
        </w:rPr>
        <w:t xml:space="preserve">  </w:t>
      </w:r>
    </w:p>
    <w:p w:rsidR="004B2C26" w:rsidRDefault="00992B7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ab/>
      </w:r>
      <w:r w:rsidR="00883C1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883C13">
        <w:rPr>
          <w:rFonts w:asciiTheme="minorHAnsi" w:eastAsia="MS PGothic" w:hAnsiTheme="minorHAnsi"/>
          <w:color w:val="000000"/>
          <w:position w:val="-34"/>
          <w:sz w:val="22"/>
          <w:szCs w:val="22"/>
        </w:rPr>
        <w:object w:dxaOrig="8260" w:dyaOrig="820">
          <v:shape id="_x0000_i1045" type="#_x0000_t75" style="width:304.5pt;height:30.5pt" o:ole="">
            <v:imagedata r:id="rId16" o:title=""/>
          </v:shape>
          <o:OLEObject Type="Embed" ProgID="Equation.DSMT4" ShapeID="_x0000_i1045" DrawAspect="Content" ObjectID="_1620749167" r:id="rId17"/>
        </w:object>
      </w:r>
      <w:r w:rsidR="004B2C26">
        <w:rPr>
          <w:rFonts w:asciiTheme="minorHAnsi" w:eastAsia="MS PGothic" w:hAnsiTheme="minorHAnsi"/>
          <w:color w:val="000000"/>
          <w:sz w:val="22"/>
          <w:szCs w:val="22"/>
        </w:rPr>
        <w:t xml:space="preserve">                                 </w:t>
      </w:r>
    </w:p>
    <w:p w:rsidR="004B2C26" w:rsidRPr="008D0BEB" w:rsidRDefault="0015321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153216">
        <w:rPr>
          <w:rStyle w:val="mjxassistivemathml"/>
          <w:rFonts w:asciiTheme="minorHAnsi" w:hAnsiTheme="minorHAnsi"/>
          <w:sz w:val="22"/>
          <w:szCs w:val="22"/>
          <w:bdr w:val="none" w:sz="0" w:space="0" w:color="auto" w:frame="1"/>
        </w:rPr>
        <w:t>T</w:t>
      </w:r>
      <w:r w:rsidR="00883C13" w:rsidRPr="00153216">
        <w:rPr>
          <w:rStyle w:val="mjxassistivemathml"/>
          <w:rFonts w:asciiTheme="minorHAnsi" w:hAnsiTheme="minorHAnsi"/>
          <w:sz w:val="22"/>
          <w:szCs w:val="22"/>
          <w:bdr w:val="none" w:sz="0" w:space="0" w:color="auto" w:frame="1"/>
        </w:rPr>
        <w:t>he value of </w:t>
      </w:r>
      <w:proofErr w:type="spellStart"/>
      <w:r w:rsidR="00883C13" w:rsidRPr="00153216">
        <w:rPr>
          <w:rStyle w:val="mjxassistivemathml"/>
          <w:rFonts w:asciiTheme="minorHAnsi" w:hAnsiTheme="minorHAnsi"/>
          <w:sz w:val="22"/>
          <w:szCs w:val="22"/>
          <w:bdr w:val="none" w:sz="0" w:space="0" w:color="auto" w:frame="1"/>
        </w:rPr>
        <w:t>ΔH</w:t>
      </w:r>
      <w:r w:rsidR="00992B70">
        <w:rPr>
          <w:rStyle w:val="mjxassistivemathml"/>
          <w:rFonts w:asciiTheme="minorHAnsi" w:hAnsiTheme="minorHAnsi"/>
          <w:sz w:val="22"/>
          <w:szCs w:val="22"/>
          <w:bdr w:val="none" w:sz="0" w:space="0" w:color="auto" w:frame="1"/>
          <w:vertAlign w:val="subscript"/>
        </w:rPr>
        <w:t>g</w:t>
      </w:r>
      <w:proofErr w:type="spellEnd"/>
      <w:r w:rsidRPr="00153216">
        <w:rPr>
          <w:rStyle w:val="mjxassistivemathml"/>
          <w:rFonts w:asciiTheme="minorHAnsi" w:hAnsiTheme="minorHAnsi"/>
          <w:sz w:val="22"/>
          <w:szCs w:val="22"/>
          <w:bdr w:val="none" w:sz="0" w:space="0" w:color="auto" w:frame="1"/>
        </w:rPr>
        <w:t>/</w:t>
      </w:r>
      <w:r w:rsidR="00883C13" w:rsidRPr="00153216">
        <w:rPr>
          <w:rStyle w:val="mjxassistivemathml"/>
          <w:rFonts w:asciiTheme="minorHAnsi" w:hAnsiTheme="minorHAnsi"/>
          <w:sz w:val="22"/>
          <w:szCs w:val="22"/>
          <w:bdr w:val="none" w:sz="0" w:space="0" w:color="auto" w:frame="1"/>
        </w:rPr>
        <w:t>R</w:t>
      </w:r>
      <w:r w:rsidR="00883C13" w:rsidRPr="00153216">
        <w:rPr>
          <w:rStyle w:val="mjxassistivemathml"/>
          <w:rFonts w:asciiTheme="minorHAnsi" w:hAnsiTheme="minorHAnsi"/>
          <w:sz w:val="22"/>
          <w:szCs w:val="22"/>
          <w:bdr w:val="none" w:sz="0" w:space="0" w:color="auto" w:frame="1"/>
        </w:rPr>
        <w:t> can be obtained from</w:t>
      </w:r>
      <w:r w:rsidR="00992B70">
        <w:rPr>
          <w:rStyle w:val="mjxassistivemathml"/>
          <w:rFonts w:asciiTheme="minorHAnsi" w:hAnsiTheme="minorHAnsi"/>
          <w:sz w:val="22"/>
          <w:szCs w:val="22"/>
          <w:bdr w:val="none" w:sz="0" w:space="0" w:color="auto" w:frame="1"/>
        </w:rPr>
        <w:t xml:space="preserve"> the</w:t>
      </w:r>
      <w:r w:rsidR="00883C13" w:rsidRPr="00153216">
        <w:rPr>
          <w:rStyle w:val="mjxassistivemathml"/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Pr="00153216">
        <w:rPr>
          <w:rStyle w:val="mjxassistivemathml"/>
          <w:rFonts w:asciiTheme="minorHAnsi" w:hAnsiTheme="minorHAnsi"/>
          <w:sz w:val="22"/>
          <w:szCs w:val="22"/>
          <w:bdr w:val="none" w:sz="0" w:space="0" w:color="auto" w:frame="1"/>
        </w:rPr>
        <w:t xml:space="preserve">plot </w:t>
      </w:r>
      <w:r w:rsidR="00883C13" w:rsidRPr="00153216">
        <w:rPr>
          <w:rStyle w:val="mjxassistivemathml"/>
          <w:rFonts w:asciiTheme="minorHAnsi" w:hAnsiTheme="minorHAnsi"/>
          <w:sz w:val="22"/>
          <w:szCs w:val="22"/>
          <w:bdr w:val="none" w:sz="0" w:space="0" w:color="auto" w:frame="1"/>
        </w:rPr>
        <w:t>of </w:t>
      </w:r>
      <w:hyperlink r:id="rId18" w:tooltip="Learn more about Moles from ScienceDirect's AI-generated Topic Pages" w:history="1">
        <w:r w:rsidR="00883C13" w:rsidRPr="00153216">
          <w:rPr>
            <w:rStyle w:val="mjxassistivemathml"/>
            <w:rFonts w:asciiTheme="minorHAnsi" w:hAnsiTheme="minorHAnsi"/>
            <w:sz w:val="22"/>
            <w:szCs w:val="22"/>
            <w:bdr w:val="none" w:sz="0" w:space="0" w:color="auto" w:frame="1"/>
          </w:rPr>
          <w:t>mole</w:t>
        </w:r>
      </w:hyperlink>
      <w:r w:rsidR="00883C13" w:rsidRPr="00153216">
        <w:rPr>
          <w:rStyle w:val="mjxassistivemathml"/>
          <w:rFonts w:asciiTheme="minorHAnsi" w:hAnsiTheme="minorHAnsi"/>
          <w:sz w:val="22"/>
          <w:szCs w:val="22"/>
          <w:bdr w:val="none" w:sz="0" w:space="0" w:color="auto" w:frame="1"/>
        </w:rPr>
        <w:t> fraction of solubility versus</w:t>
      </w:r>
      <w:r w:rsidR="00883C13" w:rsidRPr="00153216">
        <w:rPr>
          <w:rFonts w:asciiTheme="minorHAnsi" w:hAnsiTheme="minorHAnsi"/>
          <w:sz w:val="22"/>
          <w:szCs w:val="22"/>
        </w:rPr>
        <w:t> </w:t>
      </w:r>
      <w:r w:rsidRPr="00153216">
        <w:rPr>
          <w:rFonts w:asciiTheme="minorHAnsi" w:hAnsiTheme="minorHAnsi"/>
          <w:sz w:val="22"/>
          <w:szCs w:val="22"/>
        </w:rPr>
        <w:t>1/</w:t>
      </w:r>
      <w:r w:rsidR="00883C13" w:rsidRPr="00153216">
        <w:rPr>
          <w:rStyle w:val="mjxassistivemathml"/>
          <w:rFonts w:asciiTheme="minorHAnsi" w:hAnsiTheme="minorHAnsi"/>
          <w:sz w:val="22"/>
          <w:szCs w:val="22"/>
          <w:bdr w:val="none" w:sz="0" w:space="0" w:color="auto" w:frame="1"/>
        </w:rPr>
        <w:t>T</w:t>
      </w:r>
      <w:r w:rsidR="00883C13" w:rsidRPr="00153216">
        <w:rPr>
          <w:rStyle w:val="mjxassistivemathml"/>
          <w:rFonts w:asciiTheme="minorHAnsi" w:hAnsiTheme="minorHAnsi"/>
          <w:sz w:val="22"/>
          <w:szCs w:val="22"/>
          <w:bdr w:val="none" w:sz="0" w:space="0" w:color="auto" w:frame="1"/>
          <w:vertAlign w:val="subscript"/>
        </w:rPr>
        <w:t>0</w:t>
      </w:r>
      <w:r w:rsidRPr="00153216">
        <w:rPr>
          <w:rStyle w:val="mjxassistivemathml"/>
          <w:rFonts w:asciiTheme="minorHAnsi" w:hAnsiTheme="minorHAnsi"/>
          <w:sz w:val="22"/>
          <w:szCs w:val="22"/>
          <w:bdr w:val="none" w:sz="0" w:space="0" w:color="auto" w:frame="1"/>
        </w:rPr>
        <w:t xml:space="preserve">. </w:t>
      </w:r>
      <w:r w:rsidRPr="00153216">
        <w:rPr>
          <w:rFonts w:asciiTheme="minorHAnsi" w:hAnsiTheme="minorHAnsi"/>
          <w:sz w:val="22"/>
          <w:szCs w:val="22"/>
        </w:rPr>
        <w:t>The value of </w:t>
      </w:r>
      <w:r w:rsidRPr="00153216">
        <w:rPr>
          <w:rStyle w:val="Emphasis"/>
          <w:rFonts w:asciiTheme="minorHAnsi" w:hAnsiTheme="minorHAnsi"/>
          <w:sz w:val="22"/>
          <w:szCs w:val="22"/>
        </w:rPr>
        <w:t>f</w:t>
      </w:r>
      <w:r w:rsidR="00992B70">
        <w:rPr>
          <w:rFonts w:asciiTheme="minorHAnsi" w:hAnsiTheme="minorHAnsi"/>
          <w:sz w:val="22"/>
          <w:szCs w:val="22"/>
        </w:rPr>
        <w:t xml:space="preserve"> </w:t>
      </w:r>
      <w:r w:rsidRPr="00153216">
        <w:rPr>
          <w:rFonts w:asciiTheme="minorHAnsi" w:hAnsiTheme="minorHAnsi"/>
          <w:sz w:val="22"/>
          <w:szCs w:val="22"/>
        </w:rPr>
        <w:t>is inverse of molecular volume</w:t>
      </w:r>
      <w:r w:rsidR="00720FB2">
        <w:rPr>
          <w:rFonts w:asciiTheme="minorHAnsi" w:hAnsiTheme="minorHAnsi"/>
          <w:sz w:val="22"/>
          <w:szCs w:val="22"/>
        </w:rPr>
        <w:t xml:space="preserve"> of pyrazinamide</w:t>
      </w:r>
      <w:r>
        <w:rPr>
          <w:rFonts w:asciiTheme="minorHAnsi" w:hAnsiTheme="minorHAnsi"/>
          <w:sz w:val="22"/>
          <w:szCs w:val="22"/>
        </w:rPr>
        <w:t xml:space="preserve">. </w:t>
      </w:r>
      <w:r w:rsidR="00AD1FBD" w:rsidRPr="00153216">
        <w:rPr>
          <w:rFonts w:asciiTheme="minorHAnsi" w:eastAsia="MS PGothic" w:hAnsiTheme="minorHAnsi"/>
          <w:sz w:val="22"/>
          <w:szCs w:val="22"/>
        </w:rPr>
        <w:t xml:space="preserve">The parameters </w:t>
      </w:r>
      <w:r>
        <w:rPr>
          <w:rFonts w:asciiTheme="minorHAnsi" w:eastAsia="MS PGothic" w:hAnsiTheme="minorHAnsi"/>
          <w:sz w:val="22"/>
          <w:szCs w:val="22"/>
        </w:rPr>
        <w:t>A</w:t>
      </w:r>
      <w:r w:rsidR="00AD1FBD" w:rsidRPr="00153216">
        <w:rPr>
          <w:rFonts w:asciiTheme="minorHAnsi" w:eastAsia="MS PGothic" w:hAnsiTheme="minorHAnsi"/>
          <w:sz w:val="22"/>
          <w:szCs w:val="22"/>
        </w:rPr>
        <w:t xml:space="preserve"> and </w:t>
      </w:r>
      <w:r>
        <w:rPr>
          <w:rFonts w:asciiTheme="minorHAnsi" w:eastAsia="MS PGothic" w:hAnsiTheme="minorHAnsi"/>
          <w:sz w:val="22"/>
          <w:szCs w:val="22"/>
        </w:rPr>
        <w:t>B</w:t>
      </w:r>
      <w:r w:rsidR="00AD1FBD" w:rsidRPr="00153216">
        <w:rPr>
          <w:rFonts w:asciiTheme="minorHAnsi" w:eastAsia="MS PGothic" w:hAnsiTheme="minorHAnsi"/>
          <w:sz w:val="22"/>
          <w:szCs w:val="22"/>
        </w:rPr>
        <w:t xml:space="preserve"> </w:t>
      </w:r>
      <w:r>
        <w:rPr>
          <w:rFonts w:asciiTheme="minorHAnsi" w:eastAsia="MS PGothic" w:hAnsiTheme="minorHAnsi"/>
          <w:sz w:val="22"/>
          <w:szCs w:val="22"/>
        </w:rPr>
        <w:t xml:space="preserve">is </w:t>
      </w:r>
      <w:r w:rsidR="00BB2382" w:rsidRPr="00153216">
        <w:rPr>
          <w:rFonts w:asciiTheme="minorHAnsi" w:eastAsia="MS PGothic" w:hAnsiTheme="minorHAnsi"/>
          <w:sz w:val="22"/>
          <w:szCs w:val="22"/>
        </w:rPr>
        <w:t xml:space="preserve">estimated from the plot </w:t>
      </w:r>
      <w:r w:rsidR="00992B70">
        <w:rPr>
          <w:rFonts w:asciiTheme="minorHAnsi" w:eastAsia="MS PGothic" w:hAnsiTheme="minorHAnsi"/>
          <w:sz w:val="22"/>
          <w:szCs w:val="22"/>
        </w:rPr>
        <w:t xml:space="preserve">of </w:t>
      </w:r>
      <w:r w:rsidR="00AD1FBD" w:rsidRPr="00153216">
        <w:rPr>
          <w:rFonts w:asciiTheme="minorHAnsi" w:eastAsia="MS PGothic" w:hAnsiTheme="minorHAnsi"/>
          <w:sz w:val="22"/>
          <w:szCs w:val="22"/>
        </w:rPr>
        <w:t>(</w:t>
      </w:r>
      <w:r>
        <w:rPr>
          <w:rFonts w:asciiTheme="minorHAnsi" w:eastAsia="MS PGothic" w:hAnsiTheme="minorHAnsi"/>
          <w:sz w:val="22"/>
          <w:szCs w:val="22"/>
        </w:rPr>
        <w:t>T</w:t>
      </w:r>
      <w:r>
        <w:rPr>
          <w:rFonts w:asciiTheme="minorHAnsi" w:eastAsia="MS PGothic" w:hAnsiTheme="minorHAnsi"/>
          <w:sz w:val="22"/>
          <w:szCs w:val="22"/>
          <w:vertAlign w:val="subscript"/>
        </w:rPr>
        <w:t>0</w:t>
      </w:r>
      <w:r>
        <w:rPr>
          <w:rFonts w:asciiTheme="minorHAnsi" w:eastAsia="MS PGothic" w:hAnsiTheme="minorHAnsi"/>
          <w:sz w:val="22"/>
          <w:szCs w:val="22"/>
        </w:rPr>
        <w:t>/</w:t>
      </w:r>
      <w:proofErr w:type="spellStart"/>
      <w:r w:rsidR="00AD1FBD" w:rsidRPr="00153216">
        <w:rPr>
          <w:rFonts w:asciiTheme="minorHAnsi" w:eastAsia="MS PGothic" w:hAnsiTheme="minorHAnsi" w:cstheme="minorHAnsi"/>
          <w:sz w:val="22"/>
          <w:szCs w:val="22"/>
        </w:rPr>
        <w:t>Δ</w:t>
      </w:r>
      <w:r w:rsidR="00AD1FBD" w:rsidRPr="00153216">
        <w:rPr>
          <w:rFonts w:asciiTheme="minorHAnsi" w:eastAsia="MS PGothic" w:hAnsiTheme="minorHAnsi"/>
          <w:sz w:val="22"/>
          <w:szCs w:val="22"/>
        </w:rPr>
        <w:t>T</w:t>
      </w:r>
      <w:r w:rsidR="00AD1FBD" w:rsidRPr="00153216">
        <w:rPr>
          <w:rFonts w:asciiTheme="minorHAnsi" w:eastAsia="MS PGothic" w:hAnsiTheme="minorHAnsi"/>
          <w:sz w:val="22"/>
          <w:szCs w:val="22"/>
          <w:vertAlign w:val="subscript"/>
        </w:rPr>
        <w:t>max</w:t>
      </w:r>
      <w:proofErr w:type="spellEnd"/>
      <w:r w:rsidR="00AD1FBD" w:rsidRPr="00153216">
        <w:rPr>
          <w:rFonts w:asciiTheme="minorHAnsi" w:eastAsia="MS PGothic" w:hAnsiTheme="minorHAnsi"/>
          <w:sz w:val="22"/>
          <w:szCs w:val="22"/>
        </w:rPr>
        <w:t>)</w:t>
      </w:r>
      <w:r>
        <w:rPr>
          <w:rFonts w:asciiTheme="minorHAnsi" w:eastAsia="MS PGothic" w:hAnsiTheme="minorHAnsi"/>
          <w:sz w:val="22"/>
          <w:szCs w:val="22"/>
          <w:vertAlign w:val="superscript"/>
        </w:rPr>
        <w:t>2</w:t>
      </w:r>
      <w:r w:rsidR="00720FB2">
        <w:rPr>
          <w:rFonts w:asciiTheme="minorHAnsi" w:eastAsia="MS PGothic" w:hAnsiTheme="minorHAnsi"/>
          <w:sz w:val="22"/>
          <w:szCs w:val="22"/>
        </w:rPr>
        <w:t xml:space="preserve"> versus</w:t>
      </w:r>
      <w:r w:rsidR="00992B70">
        <w:rPr>
          <w:rFonts w:asciiTheme="minorHAnsi" w:eastAsia="MS PGothic" w:hAnsiTheme="minorHAnsi"/>
          <w:sz w:val="22"/>
          <w:szCs w:val="22"/>
        </w:rPr>
        <w:t xml:space="preserve"> </w:t>
      </w:r>
      <w:proofErr w:type="spellStart"/>
      <w:r w:rsidR="00AD1FBD" w:rsidRPr="00153216">
        <w:rPr>
          <w:rFonts w:asciiTheme="minorHAnsi" w:eastAsia="MS PGothic" w:hAnsiTheme="minorHAnsi"/>
          <w:sz w:val="22"/>
          <w:szCs w:val="22"/>
        </w:rPr>
        <w:t>l</w:t>
      </w:r>
      <w:r>
        <w:rPr>
          <w:rFonts w:asciiTheme="minorHAnsi" w:eastAsia="MS PGothic" w:hAnsiTheme="minorHAnsi"/>
          <w:sz w:val="22"/>
          <w:szCs w:val="22"/>
        </w:rPr>
        <w:t>n</w:t>
      </w:r>
      <w:r w:rsidR="00992B70">
        <w:rPr>
          <w:rFonts w:asciiTheme="minorHAnsi" w:eastAsia="MS PGothic" w:hAnsiTheme="minorHAnsi"/>
          <w:sz w:val="22"/>
          <w:szCs w:val="22"/>
        </w:rPr>
        <w:t>R</w:t>
      </w:r>
      <w:proofErr w:type="spellEnd"/>
      <w:r w:rsidR="00AD1FBD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992B7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B11210">
        <w:rPr>
          <w:rFonts w:asciiTheme="minorHAnsi" w:eastAsia="MS PGothic" w:hAnsiTheme="minorHAnsi"/>
          <w:color w:val="000000"/>
          <w:sz w:val="22"/>
          <w:szCs w:val="22"/>
        </w:rPr>
        <w:t xml:space="preserve">Figure 2 represents </w:t>
      </w:r>
      <w:r w:rsidR="00992B70">
        <w:rPr>
          <w:rFonts w:asciiTheme="minorHAnsi" w:eastAsia="MS PGothic" w:hAnsiTheme="minorHAnsi"/>
          <w:color w:val="000000"/>
          <w:sz w:val="22"/>
          <w:szCs w:val="22"/>
        </w:rPr>
        <w:t xml:space="preserve">effect of </w:t>
      </w:r>
      <w:proofErr w:type="spellStart"/>
      <w:r w:rsidR="00992B70">
        <w:rPr>
          <w:rFonts w:asciiTheme="minorHAnsi" w:eastAsia="MS PGothic" w:hAnsiTheme="minorHAnsi"/>
          <w:color w:val="000000"/>
          <w:sz w:val="22"/>
          <w:szCs w:val="22"/>
        </w:rPr>
        <w:t>supersaturation</w:t>
      </w:r>
      <w:proofErr w:type="spellEnd"/>
      <w:r w:rsidR="00992B70">
        <w:rPr>
          <w:rFonts w:asciiTheme="minorHAnsi" w:eastAsia="MS PGothic" w:hAnsiTheme="minorHAnsi"/>
          <w:color w:val="000000"/>
          <w:sz w:val="22"/>
          <w:szCs w:val="22"/>
        </w:rPr>
        <w:t xml:space="preserve"> on induction time</w:t>
      </w:r>
      <w:r w:rsidR="00B11210">
        <w:rPr>
          <w:rFonts w:asciiTheme="minorHAnsi" w:eastAsia="MS PGothic" w:hAnsiTheme="minorHAnsi"/>
          <w:color w:val="000000"/>
          <w:sz w:val="22"/>
          <w:szCs w:val="22"/>
        </w:rPr>
        <w:t xml:space="preserve">. The </w:t>
      </w:r>
      <w:r w:rsidR="00DA15E8">
        <w:rPr>
          <w:rFonts w:asciiTheme="minorHAnsi" w:eastAsia="MS PGothic" w:hAnsiTheme="minorHAnsi"/>
          <w:color w:val="000000"/>
          <w:sz w:val="22"/>
          <w:szCs w:val="22"/>
        </w:rPr>
        <w:t>decrease in induction time</w:t>
      </w:r>
      <w:r w:rsidR="00B1121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92B70">
        <w:rPr>
          <w:rFonts w:asciiTheme="minorHAnsi" w:eastAsia="MS PGothic" w:hAnsiTheme="minorHAnsi"/>
          <w:color w:val="000000"/>
          <w:sz w:val="22"/>
          <w:szCs w:val="22"/>
        </w:rPr>
        <w:t>with increase in</w:t>
      </w:r>
      <w:r w:rsidR="00DA15E8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92B70">
        <w:rPr>
          <w:rFonts w:asciiTheme="minorHAnsi" w:eastAsia="MS PGothic" w:hAnsiTheme="minorHAnsi"/>
          <w:color w:val="000000"/>
          <w:sz w:val="22"/>
          <w:szCs w:val="22"/>
        </w:rPr>
        <w:t>ultrasound amplitude</w:t>
      </w:r>
      <w:r w:rsidR="00B11210">
        <w:rPr>
          <w:rFonts w:asciiTheme="minorHAnsi" w:eastAsia="MS PGothic" w:hAnsiTheme="minorHAnsi"/>
          <w:color w:val="000000"/>
          <w:sz w:val="22"/>
          <w:szCs w:val="22"/>
        </w:rPr>
        <w:t xml:space="preserve"> is shown in Fig</w:t>
      </w:r>
      <w:r w:rsidR="00992B70">
        <w:rPr>
          <w:rFonts w:asciiTheme="minorHAnsi" w:eastAsia="MS PGothic" w:hAnsiTheme="minorHAnsi"/>
          <w:color w:val="000000"/>
          <w:sz w:val="22"/>
          <w:szCs w:val="22"/>
        </w:rPr>
        <w:t>ure</w:t>
      </w:r>
      <w:r w:rsidR="00B11210">
        <w:rPr>
          <w:rFonts w:asciiTheme="minorHAnsi" w:eastAsia="MS PGothic" w:hAnsiTheme="minorHAnsi"/>
          <w:color w:val="000000"/>
          <w:sz w:val="22"/>
          <w:szCs w:val="22"/>
        </w:rPr>
        <w:t xml:space="preserve"> 3. </w:t>
      </w:r>
    </w:p>
    <w:p w:rsidR="00704BDF" w:rsidRPr="00DE0019" w:rsidRDefault="00373566" w:rsidP="00453C93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>
            <wp:extent cx="1905000" cy="124271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39" cy="125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085" w:rsidRPr="00AD5085">
        <w:rPr>
          <w:rFonts w:asciiTheme="minorHAnsi" w:eastAsia="MS PGothic" w:hAnsiTheme="minorHAnsi"/>
          <w:color w:val="000000"/>
        </w:rPr>
        <w:t xml:space="preserve"> </w:t>
      </w:r>
      <w:r>
        <w:rPr>
          <w:rFonts w:asciiTheme="minorHAnsi" w:eastAsia="MS PGothic" w:hAnsiTheme="minorHAnsi"/>
          <w:noProof/>
          <w:color w:val="000000"/>
          <w:lang w:val="en-US"/>
        </w:rPr>
        <w:t xml:space="preserve">                                  </w:t>
      </w:r>
      <w:r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>
            <wp:extent cx="1778000" cy="1207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04" cy="122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DA15E8">
        <w:rPr>
          <w:rFonts w:asciiTheme="minorHAnsi" w:eastAsia="MS PGothic" w:hAnsiTheme="minorHAnsi"/>
          <w:color w:val="000000"/>
          <w:szCs w:val="18"/>
          <w:lang w:val="en-US"/>
        </w:rPr>
        <w:t>MSZW experiments in presence and absence</w:t>
      </w:r>
      <w:r w:rsidR="00AD1FBD">
        <w:rPr>
          <w:rFonts w:asciiTheme="minorHAnsi" w:eastAsia="MS PGothic" w:hAnsiTheme="minorHAnsi"/>
          <w:color w:val="000000"/>
          <w:szCs w:val="18"/>
          <w:lang w:val="en-US"/>
        </w:rPr>
        <w:t xml:space="preserve"> of ultrasound</w:t>
      </w:r>
      <w:r w:rsidR="008A51E4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992B70" w:rsidRDefault="00373566" w:rsidP="001311BE">
      <w:pPr>
        <w:snapToGrid w:val="0"/>
        <w:spacing w:after="120"/>
        <w:jc w:val="left"/>
        <w:rPr>
          <w:rFonts w:asciiTheme="minorHAnsi" w:eastAsia="MS PGothic" w:hAnsiTheme="minorHAnsi"/>
          <w:b/>
          <w:color w:val="000000"/>
          <w:szCs w:val="18"/>
          <w:lang w:val="en-US"/>
        </w:rPr>
      </w:pP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      </w:t>
      </w:r>
      <w:r w:rsidR="00720FB2">
        <w:rPr>
          <w:rFonts w:asciiTheme="minorHAnsi" w:eastAsia="MS PGothic" w:hAnsiTheme="minorHAnsi"/>
          <w:color w:val="000000"/>
          <w:szCs w:val="18"/>
          <w:lang w:val="en-US"/>
        </w:rPr>
        <w:t xml:space="preserve">   </w:t>
      </w:r>
      <w:r w:rsidR="00992B70">
        <w:rPr>
          <w:rFonts w:asciiTheme="minorHAnsi" w:eastAsia="MS PGothic" w:hAnsiTheme="minorHAnsi"/>
          <w:color w:val="000000"/>
          <w:szCs w:val="18"/>
          <w:lang w:val="en-US"/>
        </w:rPr>
        <w:t xml:space="preserve">         </w:t>
      </w:r>
      <w:r w:rsidR="001311B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0A1CFC">
        <w:rPr>
          <w:rFonts w:asciiTheme="minorHAnsi" w:eastAsia="MS PGothic" w:hAnsiTheme="minorHAnsi"/>
          <w:noProof/>
          <w:color w:val="000000"/>
          <w:szCs w:val="18"/>
          <w:lang w:val="en-US"/>
        </w:rPr>
        <w:drawing>
          <wp:inline distT="0" distB="0" distL="0" distR="0">
            <wp:extent cx="1936750" cy="11892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20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1BE">
        <w:rPr>
          <w:rFonts w:asciiTheme="minorHAnsi" w:eastAsia="MS PGothic" w:hAnsiTheme="minorHAnsi"/>
          <w:color w:val="000000"/>
          <w:szCs w:val="18"/>
          <w:lang w:val="en-US"/>
        </w:rPr>
        <w:t xml:space="preserve">   </w:t>
      </w:r>
      <w:r>
        <w:rPr>
          <w:rFonts w:asciiTheme="minorHAnsi" w:eastAsia="MS PGothic" w:hAnsiTheme="minorHAnsi"/>
          <w:noProof/>
          <w:color w:val="000000"/>
          <w:szCs w:val="18"/>
          <w:lang w:val="en-US"/>
        </w:rPr>
        <w:t xml:space="preserve">                            </w:t>
      </w:r>
      <w:r w:rsidR="001311BE" w:rsidRPr="001311BE">
        <w:rPr>
          <w:rFonts w:asciiTheme="minorHAnsi" w:eastAsia="MS PGothic" w:hAnsiTheme="minorHAnsi"/>
          <w:noProof/>
          <w:color w:val="000000"/>
          <w:szCs w:val="18"/>
          <w:lang w:val="en-US"/>
        </w:rPr>
        <w:drawing>
          <wp:inline distT="0" distB="0" distL="0" distR="0" wp14:anchorId="47C3CF34" wp14:editId="3DF0DACD">
            <wp:extent cx="1825353" cy="1219200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04" cy="124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1311BE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</w:t>
      </w:r>
      <w:r w:rsidR="00B11210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 </w:t>
      </w:r>
    </w:p>
    <w:p w:rsidR="00453C93" w:rsidRPr="00DE0019" w:rsidRDefault="00B11210" w:rsidP="001311BE">
      <w:pPr>
        <w:snapToGrid w:val="0"/>
        <w:spacing w:after="120"/>
        <w:jc w:val="left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</w:t>
      </w:r>
      <w:r w:rsidR="00453C93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554A49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="00453C93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453C93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453C93" w:rsidRPr="00DE0019">
        <w:rPr>
          <w:rFonts w:asciiTheme="minorHAnsi" w:hAnsiTheme="minorHAnsi"/>
          <w:lang w:val="en-US"/>
        </w:rPr>
        <w:t xml:space="preserve"> </w:t>
      </w:r>
      <w:r w:rsidR="008A51E4">
        <w:rPr>
          <w:rFonts w:asciiTheme="minorHAnsi" w:hAnsiTheme="minorHAnsi"/>
          <w:lang w:val="en-US"/>
        </w:rPr>
        <w:t>P</w:t>
      </w:r>
      <w:r w:rsidR="008A51E4">
        <w:rPr>
          <w:rFonts w:asciiTheme="minorHAnsi" w:eastAsia="MS PGothic" w:hAnsiTheme="minorHAnsi"/>
          <w:color w:val="000000"/>
          <w:szCs w:val="18"/>
          <w:lang w:val="en-US"/>
        </w:rPr>
        <w:t xml:space="preserve">lot of </w:t>
      </w:r>
      <w:r w:rsidR="00373566">
        <w:rPr>
          <w:rFonts w:asciiTheme="minorHAnsi" w:eastAsia="MS PGothic" w:hAnsiTheme="minorHAnsi"/>
          <w:color w:val="000000"/>
          <w:szCs w:val="18"/>
          <w:lang w:val="en-US"/>
        </w:rPr>
        <w:t xml:space="preserve">induction time </w:t>
      </w:r>
      <w:r>
        <w:rPr>
          <w:rFonts w:asciiTheme="minorHAnsi" w:eastAsia="MS PGothic" w:hAnsiTheme="minorHAnsi"/>
          <w:color w:val="000000"/>
          <w:szCs w:val="18"/>
          <w:lang w:val="en-US"/>
        </w:rPr>
        <w:t>vs.</w:t>
      </w:r>
      <w:r w:rsidR="00373566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proofErr w:type="spellStart"/>
      <w:r w:rsidR="00373566">
        <w:rPr>
          <w:rFonts w:asciiTheme="minorHAnsi" w:eastAsia="MS PGothic" w:hAnsiTheme="minorHAnsi"/>
          <w:color w:val="000000"/>
          <w:szCs w:val="18"/>
          <w:lang w:val="en-US"/>
        </w:rPr>
        <w:t>supersaturation</w:t>
      </w:r>
      <w:proofErr w:type="spellEnd"/>
      <w:r w:rsidR="00373566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Cs w:val="18"/>
          <w:lang w:val="en-US"/>
        </w:rPr>
        <w:t xml:space="preserve">           </w:t>
      </w:r>
      <w:r w:rsidR="001311BE"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554A49">
        <w:rPr>
          <w:rFonts w:asciiTheme="minorHAnsi" w:eastAsia="MS PGothic" w:hAnsiTheme="minorHAnsi"/>
          <w:b/>
          <w:color w:val="000000"/>
          <w:szCs w:val="18"/>
          <w:lang w:val="en-US"/>
        </w:rPr>
        <w:t>3</w:t>
      </w:r>
      <w:r w:rsidR="001311BE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1311BE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1311BE" w:rsidRPr="00DE0019">
        <w:rPr>
          <w:rFonts w:asciiTheme="minorHAnsi" w:hAnsiTheme="minorHAnsi"/>
          <w:lang w:val="en-US"/>
        </w:rPr>
        <w:t xml:space="preserve"> </w:t>
      </w:r>
      <w:r w:rsidR="001311BE">
        <w:rPr>
          <w:rFonts w:asciiTheme="minorHAnsi" w:hAnsiTheme="minorHAnsi"/>
          <w:lang w:val="en-US"/>
        </w:rPr>
        <w:t xml:space="preserve">Induction time </w:t>
      </w:r>
      <w:r w:rsidR="00720FB2">
        <w:rPr>
          <w:rFonts w:asciiTheme="minorHAnsi" w:hAnsiTheme="minorHAnsi"/>
          <w:lang w:val="en-US"/>
        </w:rPr>
        <w:t xml:space="preserve">at different ultrasound amplitude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FF4E8D" w:rsidRDefault="00DA15E8" w:rsidP="00FF4E8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metastable zone width was measured for different cooling rates and different </w:t>
      </w:r>
      <w:r w:rsidR="00BB238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ultrasound </w:t>
      </w:r>
      <w:r w:rsidR="00FF4E8D">
        <w:rPr>
          <w:rFonts w:asciiTheme="minorHAnsi" w:eastAsia="MS PGothic" w:hAnsiTheme="minorHAnsi"/>
          <w:color w:val="000000"/>
          <w:sz w:val="22"/>
          <w:szCs w:val="22"/>
          <w:lang w:val="en-US"/>
        </w:rPr>
        <w:t>amplitudes. It was observed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the MSZW increases with increase in cooling rate and decreases with increase in </w:t>
      </w:r>
      <w:r w:rsidR="00FF4E8D">
        <w:rPr>
          <w:rFonts w:asciiTheme="minorHAnsi" w:eastAsia="MS PGothic" w:hAnsiTheme="minorHAnsi"/>
          <w:color w:val="000000"/>
          <w:sz w:val="22"/>
          <w:szCs w:val="22"/>
          <w:lang w:val="en-US"/>
        </w:rPr>
        <w:t>ultrasound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amplitudes.</w:t>
      </w:r>
      <w:r w:rsidR="009757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nucleation parameters</w:t>
      </w:r>
      <w:r w:rsidR="00FF4E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(A and B) were calculated from </w:t>
      </w:r>
      <w:proofErr w:type="spellStart"/>
      <w:r w:rsidR="00FF4E8D">
        <w:rPr>
          <w:rFonts w:asciiTheme="minorHAnsi" w:eastAsia="MS PGothic" w:hAnsiTheme="minorHAnsi"/>
          <w:color w:val="000000"/>
          <w:sz w:val="22"/>
          <w:szCs w:val="22"/>
          <w:lang w:val="en-US"/>
        </w:rPr>
        <w:t>Sangwal’s</w:t>
      </w:r>
      <w:proofErr w:type="spellEnd"/>
      <w:r w:rsidR="00FF4E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classical three dimensional approach</w:t>
      </w:r>
      <w:r w:rsidR="009757E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65A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Induction time decreases with increase in </w:t>
      </w:r>
      <w:proofErr w:type="spellStart"/>
      <w:r w:rsidR="00665A41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supersaturation</w:t>
      </w:r>
      <w:proofErr w:type="spellEnd"/>
      <w:r w:rsidR="00FF4E8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ratio</w:t>
      </w:r>
      <w:r w:rsidR="00C2349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It also</w:t>
      </w:r>
      <w:r w:rsidR="00665A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showed </w:t>
      </w:r>
      <w:r w:rsidR="00C234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665A41">
        <w:rPr>
          <w:rFonts w:asciiTheme="minorHAnsi" w:eastAsia="MS PGothic" w:hAnsiTheme="minorHAnsi"/>
          <w:color w:val="000000"/>
          <w:sz w:val="22"/>
          <w:szCs w:val="22"/>
          <w:lang w:val="en-US"/>
        </w:rPr>
        <w:t>sharp decrease with increase in ultrasound amplitude</w:t>
      </w:r>
      <w:r w:rsidR="00C234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234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 constant </w:t>
      </w:r>
      <w:proofErr w:type="spellStart"/>
      <w:r w:rsidR="00C2349D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supersaturation</w:t>
      </w:r>
      <w:proofErr w:type="spellEnd"/>
      <w:r w:rsidR="00665A4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FF4E8D" w:rsidRDefault="00704BDF" w:rsidP="00FF4E8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  <w:r w:rsidR="00453C93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704BDF" w:rsidRPr="00894918" w:rsidRDefault="00894918" w:rsidP="0089491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894918">
        <w:rPr>
          <w:rFonts w:asciiTheme="minorHAnsi" w:hAnsiTheme="minorHAnsi"/>
          <w:color w:val="000000"/>
        </w:rPr>
        <w:t xml:space="preserve">Z. </w:t>
      </w:r>
      <w:proofErr w:type="spellStart"/>
      <w:r w:rsidRPr="00894918">
        <w:rPr>
          <w:rFonts w:asciiTheme="minorHAnsi" w:hAnsiTheme="minorHAnsi"/>
          <w:color w:val="000000"/>
        </w:rPr>
        <w:t>Guo</w:t>
      </w:r>
      <w:proofErr w:type="spellEnd"/>
      <w:r w:rsidRPr="00894918">
        <w:rPr>
          <w:rFonts w:asciiTheme="minorHAnsi" w:hAnsiTheme="minorHAnsi"/>
          <w:color w:val="000000"/>
        </w:rPr>
        <w:t xml:space="preserve">, A.G. Jones, N. Li, </w:t>
      </w:r>
      <w:r>
        <w:rPr>
          <w:rFonts w:asciiTheme="minorHAnsi" w:hAnsiTheme="minorHAnsi"/>
          <w:color w:val="000000"/>
        </w:rPr>
        <w:t>Chemical Engineering Science,</w:t>
      </w:r>
      <w:r w:rsidR="00704BDF" w:rsidRPr="008D0BEB">
        <w:rPr>
          <w:rFonts w:asciiTheme="minorHAnsi" w:hAnsiTheme="minorHAnsi"/>
          <w:color w:val="000000"/>
        </w:rPr>
        <w:t xml:space="preserve"> </w:t>
      </w:r>
      <w:r w:rsidRPr="00894918">
        <w:rPr>
          <w:rFonts w:asciiTheme="minorHAnsi" w:hAnsiTheme="minorHAnsi"/>
          <w:color w:val="000000"/>
        </w:rPr>
        <w:t>Volume 61, Issue 5,</w:t>
      </w:r>
      <w:r>
        <w:rPr>
          <w:rFonts w:asciiTheme="minorHAnsi" w:hAnsiTheme="minorHAnsi"/>
          <w:color w:val="000000"/>
        </w:rPr>
        <w:t xml:space="preserve"> </w:t>
      </w:r>
      <w:r w:rsidRPr="00894918">
        <w:rPr>
          <w:rFonts w:asciiTheme="minorHAnsi" w:hAnsiTheme="minorHAnsi"/>
          <w:color w:val="000000"/>
        </w:rPr>
        <w:t>2006,</w:t>
      </w:r>
      <w:r>
        <w:rPr>
          <w:rFonts w:asciiTheme="minorHAnsi" w:hAnsiTheme="minorHAnsi"/>
          <w:color w:val="000000"/>
        </w:rPr>
        <w:t xml:space="preserve"> </w:t>
      </w:r>
      <w:r w:rsidRPr="00894918">
        <w:rPr>
          <w:rFonts w:asciiTheme="minorHAnsi" w:hAnsiTheme="minorHAnsi"/>
          <w:color w:val="000000"/>
        </w:rPr>
        <w:t>1617-1626</w:t>
      </w:r>
      <w:r>
        <w:rPr>
          <w:rFonts w:asciiTheme="minorHAnsi" w:hAnsiTheme="minorHAnsi"/>
          <w:color w:val="000000"/>
        </w:rPr>
        <w:t>.</w:t>
      </w:r>
    </w:p>
    <w:p w:rsidR="009757E9" w:rsidRPr="00FF4E8D" w:rsidRDefault="00281184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894918">
        <w:rPr>
          <w:rFonts w:asciiTheme="minorHAnsi" w:hAnsiTheme="minorHAnsi"/>
          <w:color w:val="000000"/>
        </w:rPr>
        <w:t xml:space="preserve">C. </w:t>
      </w:r>
      <w:proofErr w:type="spellStart"/>
      <w:r w:rsidRPr="00894918">
        <w:rPr>
          <w:rFonts w:asciiTheme="minorHAnsi" w:hAnsiTheme="minorHAnsi"/>
          <w:color w:val="000000"/>
        </w:rPr>
        <w:t>Virone</w:t>
      </w:r>
      <w:proofErr w:type="spellEnd"/>
      <w:r w:rsidRPr="00894918">
        <w:rPr>
          <w:rFonts w:asciiTheme="minorHAnsi" w:hAnsiTheme="minorHAnsi"/>
          <w:color w:val="000000"/>
        </w:rPr>
        <w:t xml:space="preserve">, H.J.M. Kramer, G.M. van </w:t>
      </w:r>
      <w:proofErr w:type="spellStart"/>
      <w:r w:rsidRPr="00894918">
        <w:rPr>
          <w:rFonts w:asciiTheme="minorHAnsi" w:hAnsiTheme="minorHAnsi"/>
          <w:color w:val="000000"/>
        </w:rPr>
        <w:t>Rosmalen</w:t>
      </w:r>
      <w:proofErr w:type="spellEnd"/>
      <w:r w:rsidRPr="00894918">
        <w:rPr>
          <w:rFonts w:asciiTheme="minorHAnsi" w:hAnsiTheme="minorHAnsi"/>
          <w:color w:val="000000"/>
        </w:rPr>
        <w:t>, A.H. Stoop, T.W. Bakker, Journal of Crystal Growth,</w:t>
      </w:r>
      <w:r>
        <w:rPr>
          <w:rFonts w:asciiTheme="minorHAnsi" w:hAnsiTheme="minorHAnsi"/>
          <w:color w:val="000000"/>
        </w:rPr>
        <w:t xml:space="preserve"> </w:t>
      </w:r>
      <w:r w:rsidRPr="00894918">
        <w:rPr>
          <w:rFonts w:asciiTheme="minorHAnsi" w:hAnsiTheme="minorHAnsi"/>
          <w:color w:val="000000"/>
        </w:rPr>
        <w:t>Volume 294, Issue 1,</w:t>
      </w:r>
      <w:r>
        <w:rPr>
          <w:rFonts w:asciiTheme="minorHAnsi" w:hAnsiTheme="minorHAnsi"/>
          <w:color w:val="000000"/>
        </w:rPr>
        <w:t xml:space="preserve"> </w:t>
      </w:r>
      <w:r w:rsidR="001E3473">
        <w:rPr>
          <w:rFonts w:asciiTheme="minorHAnsi" w:hAnsiTheme="minorHAnsi"/>
          <w:color w:val="000000"/>
        </w:rPr>
        <w:t xml:space="preserve">2006, </w:t>
      </w:r>
      <w:r w:rsidR="001E3473" w:rsidRPr="00894918">
        <w:rPr>
          <w:rFonts w:asciiTheme="minorHAnsi" w:hAnsiTheme="minorHAnsi"/>
          <w:color w:val="000000"/>
        </w:rPr>
        <w:t>9</w:t>
      </w:r>
      <w:r w:rsidRPr="00894918">
        <w:rPr>
          <w:rFonts w:asciiTheme="minorHAnsi" w:hAnsiTheme="minorHAnsi"/>
          <w:color w:val="000000"/>
        </w:rPr>
        <w:t>-15</w:t>
      </w:r>
      <w:r>
        <w:rPr>
          <w:rFonts w:asciiTheme="minorHAnsi" w:hAnsiTheme="minorHAnsi"/>
          <w:color w:val="000000"/>
        </w:rPr>
        <w:t>.</w:t>
      </w:r>
      <w:r w:rsidRPr="00894918">
        <w:rPr>
          <w:rFonts w:asciiTheme="minorHAnsi" w:hAnsiTheme="minorHAnsi"/>
          <w:color w:val="000000"/>
        </w:rPr>
        <w:t xml:space="preserve"> </w:t>
      </w:r>
    </w:p>
    <w:sectPr w:rsidR="009757E9" w:rsidRPr="00FF4E8D" w:rsidSect="006009B0">
      <w:type w:val="continuous"/>
      <w:pgSz w:w="11906" w:h="16838" w:code="9"/>
      <w:pgMar w:top="2835" w:right="1418" w:bottom="426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7C6" w:rsidRDefault="00AA57C6" w:rsidP="004F5E36">
      <w:r>
        <w:separator/>
      </w:r>
    </w:p>
  </w:endnote>
  <w:endnote w:type="continuationSeparator" w:id="0">
    <w:p w:rsidR="00AA57C6" w:rsidRDefault="00AA57C6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500000000000000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AF" w:rsidRDefault="005D0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AF" w:rsidRDefault="005D0F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AF" w:rsidRDefault="005D0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7C6" w:rsidRDefault="00AA57C6" w:rsidP="004F5E36">
      <w:r>
        <w:separator/>
      </w:r>
    </w:p>
  </w:footnote>
  <w:footnote w:type="continuationSeparator" w:id="0">
    <w:p w:rsidR="00AA57C6" w:rsidRDefault="00AA57C6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FAF" w:rsidRDefault="005D0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F1523F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C2112F" w:rsidRDefault="00C2112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</w:p>
  <w:p w:rsidR="005D0FAF" w:rsidRPr="00047DFD" w:rsidRDefault="00C2112F" w:rsidP="00047DFD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</w:t>
    </w:r>
    <w:r w:rsidR="00047DFD" w:rsidRPr="00047DFD">
      <w:rPr>
        <w:rFonts w:asciiTheme="minorHAnsi" w:hAnsiTheme="minorHAnsi"/>
        <w:b/>
        <w:i/>
        <w:color w:val="002060"/>
        <w:sz w:val="24"/>
        <w:szCs w:val="24"/>
        <w:lang w:val="en-US"/>
      </w:rPr>
      <w:t>Crystallization fundamentals and industrial processes</w:t>
    </w:r>
  </w:p>
  <w:p w:rsidR="00704BDF" w:rsidRDefault="00704BDF" w:rsidP="005D0FAF">
    <w:pPr>
      <w:ind w:left="-426" w:right="-285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11D720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1CEE"/>
    <w:rsid w:val="000027C0"/>
    <w:rsid w:val="00006880"/>
    <w:rsid w:val="000117CB"/>
    <w:rsid w:val="00020441"/>
    <w:rsid w:val="0003148D"/>
    <w:rsid w:val="00047DFD"/>
    <w:rsid w:val="00062A39"/>
    <w:rsid w:val="00062A9A"/>
    <w:rsid w:val="0007509A"/>
    <w:rsid w:val="000A03B2"/>
    <w:rsid w:val="000A1CFC"/>
    <w:rsid w:val="000D34BE"/>
    <w:rsid w:val="000E36F1"/>
    <w:rsid w:val="000E3A73"/>
    <w:rsid w:val="000E414A"/>
    <w:rsid w:val="001230C4"/>
    <w:rsid w:val="001311BE"/>
    <w:rsid w:val="0013121F"/>
    <w:rsid w:val="00134DE4"/>
    <w:rsid w:val="0014437E"/>
    <w:rsid w:val="001461E1"/>
    <w:rsid w:val="00150E59"/>
    <w:rsid w:val="00153216"/>
    <w:rsid w:val="00165458"/>
    <w:rsid w:val="00173DFE"/>
    <w:rsid w:val="00184AD6"/>
    <w:rsid w:val="001A0C9E"/>
    <w:rsid w:val="001B65C1"/>
    <w:rsid w:val="001C494C"/>
    <w:rsid w:val="001C684B"/>
    <w:rsid w:val="001D2EE2"/>
    <w:rsid w:val="001D53FC"/>
    <w:rsid w:val="001E3473"/>
    <w:rsid w:val="001F2EC7"/>
    <w:rsid w:val="00202131"/>
    <w:rsid w:val="002065DB"/>
    <w:rsid w:val="002447EF"/>
    <w:rsid w:val="00247233"/>
    <w:rsid w:val="00251550"/>
    <w:rsid w:val="002560B9"/>
    <w:rsid w:val="0027221A"/>
    <w:rsid w:val="00275B61"/>
    <w:rsid w:val="00281184"/>
    <w:rsid w:val="002A3FB7"/>
    <w:rsid w:val="002D1F12"/>
    <w:rsid w:val="003009B7"/>
    <w:rsid w:val="0030469C"/>
    <w:rsid w:val="0031466C"/>
    <w:rsid w:val="003723D4"/>
    <w:rsid w:val="00373566"/>
    <w:rsid w:val="003A7D1C"/>
    <w:rsid w:val="00453C93"/>
    <w:rsid w:val="0046164A"/>
    <w:rsid w:val="00462DCD"/>
    <w:rsid w:val="004B2C26"/>
    <w:rsid w:val="004D1162"/>
    <w:rsid w:val="004E4DD6"/>
    <w:rsid w:val="004F5E36"/>
    <w:rsid w:val="005119A5"/>
    <w:rsid w:val="005278B7"/>
    <w:rsid w:val="005346C8"/>
    <w:rsid w:val="00554A49"/>
    <w:rsid w:val="00594E9F"/>
    <w:rsid w:val="005A082C"/>
    <w:rsid w:val="005B61E6"/>
    <w:rsid w:val="005C2E77"/>
    <w:rsid w:val="005C77E1"/>
    <w:rsid w:val="005D0FAF"/>
    <w:rsid w:val="005D6A2F"/>
    <w:rsid w:val="005E1A82"/>
    <w:rsid w:val="005F0A28"/>
    <w:rsid w:val="005F0E5E"/>
    <w:rsid w:val="006009B0"/>
    <w:rsid w:val="00620DEE"/>
    <w:rsid w:val="00625639"/>
    <w:rsid w:val="0064184D"/>
    <w:rsid w:val="00660E3E"/>
    <w:rsid w:val="00662E74"/>
    <w:rsid w:val="00665A41"/>
    <w:rsid w:val="006A0B0C"/>
    <w:rsid w:val="006A58D2"/>
    <w:rsid w:val="006C5579"/>
    <w:rsid w:val="006E3881"/>
    <w:rsid w:val="006F70FB"/>
    <w:rsid w:val="00704BDF"/>
    <w:rsid w:val="00720FB2"/>
    <w:rsid w:val="00736B13"/>
    <w:rsid w:val="007447F3"/>
    <w:rsid w:val="007661C8"/>
    <w:rsid w:val="007960DF"/>
    <w:rsid w:val="007C3E0D"/>
    <w:rsid w:val="007D52CD"/>
    <w:rsid w:val="007F1FFC"/>
    <w:rsid w:val="00813288"/>
    <w:rsid w:val="008168FC"/>
    <w:rsid w:val="0083230B"/>
    <w:rsid w:val="00845645"/>
    <w:rsid w:val="008479A2"/>
    <w:rsid w:val="0087637F"/>
    <w:rsid w:val="00883C13"/>
    <w:rsid w:val="0088743E"/>
    <w:rsid w:val="00894918"/>
    <w:rsid w:val="008A1512"/>
    <w:rsid w:val="008A51E4"/>
    <w:rsid w:val="008D0BEB"/>
    <w:rsid w:val="008E566E"/>
    <w:rsid w:val="008F11A8"/>
    <w:rsid w:val="00900F89"/>
    <w:rsid w:val="00901EB6"/>
    <w:rsid w:val="009450CE"/>
    <w:rsid w:val="0095164B"/>
    <w:rsid w:val="009757E9"/>
    <w:rsid w:val="00992B70"/>
    <w:rsid w:val="00996483"/>
    <w:rsid w:val="009D5100"/>
    <w:rsid w:val="009E788A"/>
    <w:rsid w:val="00A1763D"/>
    <w:rsid w:val="00A17CEC"/>
    <w:rsid w:val="00A27EF0"/>
    <w:rsid w:val="00A76EFC"/>
    <w:rsid w:val="00A9626B"/>
    <w:rsid w:val="00A977CB"/>
    <w:rsid w:val="00A97F29"/>
    <w:rsid w:val="00AA57C6"/>
    <w:rsid w:val="00AB0964"/>
    <w:rsid w:val="00AD1FBD"/>
    <w:rsid w:val="00AD5085"/>
    <w:rsid w:val="00AE377D"/>
    <w:rsid w:val="00AF323C"/>
    <w:rsid w:val="00B11210"/>
    <w:rsid w:val="00B61DBF"/>
    <w:rsid w:val="00B8199B"/>
    <w:rsid w:val="00BB2382"/>
    <w:rsid w:val="00BC30C9"/>
    <w:rsid w:val="00BD502B"/>
    <w:rsid w:val="00BE3E58"/>
    <w:rsid w:val="00C01616"/>
    <w:rsid w:val="00C0162B"/>
    <w:rsid w:val="00C2112F"/>
    <w:rsid w:val="00C2349D"/>
    <w:rsid w:val="00C345B1"/>
    <w:rsid w:val="00C40142"/>
    <w:rsid w:val="00C55563"/>
    <w:rsid w:val="00C57182"/>
    <w:rsid w:val="00C655FD"/>
    <w:rsid w:val="00C867B1"/>
    <w:rsid w:val="00C90D2C"/>
    <w:rsid w:val="00C94434"/>
    <w:rsid w:val="00CA1C95"/>
    <w:rsid w:val="00CA5A9C"/>
    <w:rsid w:val="00CD47ED"/>
    <w:rsid w:val="00CD5FE2"/>
    <w:rsid w:val="00D02B4C"/>
    <w:rsid w:val="00D84576"/>
    <w:rsid w:val="00DA15E8"/>
    <w:rsid w:val="00DE0019"/>
    <w:rsid w:val="00DE264A"/>
    <w:rsid w:val="00E001D2"/>
    <w:rsid w:val="00E041E7"/>
    <w:rsid w:val="00E23CA1"/>
    <w:rsid w:val="00E409A8"/>
    <w:rsid w:val="00E7184E"/>
    <w:rsid w:val="00E7209D"/>
    <w:rsid w:val="00EA50E1"/>
    <w:rsid w:val="00EE0131"/>
    <w:rsid w:val="00F30C64"/>
    <w:rsid w:val="00F33E51"/>
    <w:rsid w:val="00F55E35"/>
    <w:rsid w:val="00FB730C"/>
    <w:rsid w:val="00FC2695"/>
    <w:rsid w:val="00FC3E03"/>
    <w:rsid w:val="00FD3467"/>
    <w:rsid w:val="00FE44C2"/>
    <w:rsid w:val="00FE6A2D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76B9E"/>
  <w15:docId w15:val="{50E0E5E5-0A58-4765-A948-E55D6BDD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mjxassistivemathml">
    <w:name w:val="mjx_assistive_mathml"/>
    <w:basedOn w:val="DefaultParagraphFont"/>
    <w:rsid w:val="00883C13"/>
  </w:style>
  <w:style w:type="character" w:styleId="Hyperlink">
    <w:name w:val="Hyperlink"/>
    <w:basedOn w:val="DefaultParagraphFont"/>
    <w:uiPriority w:val="99"/>
    <w:semiHidden/>
    <w:unhideWhenUsed/>
    <w:locked/>
    <w:rsid w:val="00883C1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1532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ciencedirect.com/topics/physics-and-astronomy/moles" TargetMode="Externa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1F7D-0B8E-4BF6-B969-2ED512A1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abhi.mrana@outlook.com</cp:lastModifiedBy>
  <cp:revision>9</cp:revision>
  <cp:lastPrinted>2019-03-26T11:40:00Z</cp:lastPrinted>
  <dcterms:created xsi:type="dcterms:W3CDTF">2019-03-29T13:13:00Z</dcterms:created>
  <dcterms:modified xsi:type="dcterms:W3CDTF">2019-05-30T13:49:00Z</dcterms:modified>
</cp:coreProperties>
</file>