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8A774A" w:rsidP="00704BDF">
      <w:pPr>
        <w:snapToGrid w:val="0"/>
        <w:spacing w:after="360"/>
        <w:jc w:val="center"/>
        <w:rPr>
          <w:rFonts w:asciiTheme="minorHAnsi" w:eastAsia="MS PGothic" w:hAnsiTheme="minorHAnsi"/>
          <w:b/>
          <w:bCs/>
          <w:sz w:val="28"/>
          <w:szCs w:val="28"/>
          <w:lang w:val="en-US" w:eastAsia="ko-KR"/>
        </w:rPr>
      </w:pPr>
      <w:r w:rsidRPr="008A774A">
        <w:rPr>
          <w:rFonts w:asciiTheme="minorHAnsi" w:eastAsia="MS PGothic" w:hAnsiTheme="minorHAnsi"/>
          <w:b/>
          <w:bCs/>
          <w:sz w:val="28"/>
          <w:szCs w:val="28"/>
          <w:lang w:val="en-US"/>
        </w:rPr>
        <w:t>Crude biofuel for potential off grid remote power generation using waste biomass feedstocks: A feasibility an</w:t>
      </w:r>
      <w:r>
        <w:rPr>
          <w:rFonts w:asciiTheme="minorHAnsi" w:eastAsia="MS PGothic" w:hAnsiTheme="minorHAnsi"/>
          <w:b/>
          <w:bCs/>
          <w:sz w:val="28"/>
          <w:szCs w:val="28"/>
          <w:lang w:val="en-US"/>
        </w:rPr>
        <w:t>alysis for the case of Botswana</w:t>
      </w:r>
      <w:r w:rsidR="00704BDF" w:rsidRPr="00DE0019">
        <w:rPr>
          <w:rFonts w:asciiTheme="minorHAnsi" w:eastAsia="MS PGothic" w:hAnsiTheme="minorHAnsi"/>
          <w:b/>
          <w:bCs/>
          <w:sz w:val="28"/>
          <w:szCs w:val="28"/>
          <w:lang w:val="en-US"/>
        </w:rPr>
        <w:t>.</w:t>
      </w:r>
    </w:p>
    <w:p w:rsidR="00DE0019" w:rsidRPr="00DE0019" w:rsidRDefault="003F371E" w:rsidP="00704BDF">
      <w:pPr>
        <w:snapToGrid w:val="0"/>
        <w:spacing w:after="120"/>
        <w:jc w:val="center"/>
        <w:rPr>
          <w:rFonts w:eastAsia="SimSun"/>
          <w:color w:val="000000"/>
          <w:lang w:val="en-US" w:eastAsia="zh-CN"/>
        </w:rPr>
      </w:pPr>
      <w:r w:rsidRPr="003F371E">
        <w:rPr>
          <w:rFonts w:asciiTheme="minorHAnsi" w:eastAsia="SimSun" w:hAnsiTheme="minorHAnsi"/>
          <w:color w:val="000000"/>
          <w:sz w:val="24"/>
          <w:szCs w:val="24"/>
          <w:lang w:val="en-US" w:eastAsia="zh-CN"/>
        </w:rPr>
        <w:t>*Gratitude Charis</w:t>
      </w:r>
      <w:r w:rsidR="00704BDF" w:rsidRPr="003F371E">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Gwiranai</w:t>
      </w:r>
      <w:proofErr w:type="spellEnd"/>
      <w:r w:rsidR="00704BDF"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Danha</w:t>
      </w:r>
      <w:r w:rsidRPr="003F371E">
        <w:rPr>
          <w:rFonts w:asciiTheme="minorHAnsi" w:eastAsia="SimSun" w:hAnsiTheme="minorHAnsi"/>
          <w:color w:val="000000"/>
          <w:sz w:val="24"/>
          <w:szCs w:val="24"/>
          <w:vertAlign w:val="superscript"/>
          <w:lang w:val="en-US" w:eastAsia="zh-CN"/>
        </w:rPr>
        <w:t>1</w:t>
      </w:r>
      <w:r w:rsidRPr="003F371E">
        <w:rPr>
          <w:rFonts w:asciiTheme="minorHAnsi" w:eastAsia="SimSun" w:hAnsiTheme="minorHAnsi" w:cstheme="minorHAnsi"/>
          <w:color w:val="000000"/>
          <w:sz w:val="24"/>
          <w:szCs w:val="24"/>
          <w:lang w:val="en-US" w:eastAsia="zh-CN"/>
        </w:rPr>
        <w:t>, Edison Muzenda</w:t>
      </w:r>
      <w:r>
        <w:rPr>
          <w:rFonts w:asciiTheme="minorHAnsi" w:eastAsia="SimSun" w:hAnsiTheme="minorHAnsi" w:cstheme="minorHAnsi"/>
          <w:color w:val="000000"/>
          <w:sz w:val="24"/>
          <w:szCs w:val="24"/>
          <w:vertAlign w:val="superscript"/>
          <w:lang w:val="en-US" w:eastAsia="zh-CN"/>
        </w:rPr>
        <w:t>1</w:t>
      </w:r>
      <w:proofErr w:type="gramStart"/>
      <w:r>
        <w:rPr>
          <w:rFonts w:asciiTheme="minorHAnsi" w:eastAsia="SimSun" w:hAnsiTheme="minorHAnsi" w:cstheme="minorHAnsi"/>
          <w:color w:val="000000"/>
          <w:sz w:val="24"/>
          <w:szCs w:val="24"/>
          <w:vertAlign w:val="superscript"/>
          <w:lang w:val="en-US" w:eastAsia="zh-CN"/>
        </w:rPr>
        <w:t>,2</w:t>
      </w:r>
      <w:proofErr w:type="gramEnd"/>
      <w:r w:rsidR="00DE0019" w:rsidRPr="003F371E">
        <w:rPr>
          <w:rFonts w:eastAsia="SimSun"/>
          <w:color w:val="000000"/>
          <w:vertAlign w:val="subscript"/>
          <w:lang w:val="en-US" w:eastAsia="zh-CN"/>
        </w:rPr>
        <w:t xml:space="preserve"> </w:t>
      </w:r>
    </w:p>
    <w:p w:rsidR="003F371E"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3F371E" w:rsidRPr="003F371E">
        <w:rPr>
          <w:rFonts w:asciiTheme="minorHAnsi" w:eastAsia="MS PGothic" w:hAnsiTheme="minorHAnsi"/>
          <w:i/>
          <w:iCs/>
          <w:color w:val="000000"/>
          <w:sz w:val="20"/>
          <w:lang w:val="en-US"/>
        </w:rPr>
        <w:t xml:space="preserve">Department of Chemical, Materials and Metallurgical Engineering, College of Engineering and Technology, Botswana International University of Science and Technology, Plot 10071, </w:t>
      </w:r>
      <w:proofErr w:type="spellStart"/>
      <w:r w:rsidR="003F371E" w:rsidRPr="003F371E">
        <w:rPr>
          <w:rFonts w:asciiTheme="minorHAnsi" w:eastAsia="MS PGothic" w:hAnsiTheme="minorHAnsi"/>
          <w:i/>
          <w:iCs/>
          <w:color w:val="000000"/>
          <w:sz w:val="20"/>
          <w:lang w:val="en-US"/>
        </w:rPr>
        <w:t>Boseja</w:t>
      </w:r>
      <w:proofErr w:type="spellEnd"/>
      <w:r w:rsidR="003F371E" w:rsidRPr="003F371E">
        <w:rPr>
          <w:rFonts w:asciiTheme="minorHAnsi" w:eastAsia="MS PGothic" w:hAnsiTheme="minorHAnsi"/>
          <w:i/>
          <w:iCs/>
          <w:color w:val="000000"/>
          <w:sz w:val="20"/>
          <w:lang w:val="en-US"/>
        </w:rPr>
        <w:t xml:space="preserve"> Ward, Private Bag 16 </w:t>
      </w:r>
      <w:proofErr w:type="spellStart"/>
      <w:r w:rsidR="003F371E" w:rsidRPr="003F371E">
        <w:rPr>
          <w:rFonts w:asciiTheme="minorHAnsi" w:eastAsia="MS PGothic" w:hAnsiTheme="minorHAnsi"/>
          <w:i/>
          <w:iCs/>
          <w:color w:val="000000"/>
          <w:sz w:val="20"/>
          <w:lang w:val="en-US"/>
        </w:rPr>
        <w:t>Palapye</w:t>
      </w:r>
      <w:proofErr w:type="spellEnd"/>
      <w:r w:rsidR="003F371E" w:rsidRPr="003F371E">
        <w:rPr>
          <w:rFonts w:asciiTheme="minorHAnsi" w:eastAsia="MS PGothic" w:hAnsiTheme="minorHAnsi"/>
          <w:i/>
          <w:iCs/>
          <w:color w:val="000000"/>
          <w:sz w:val="20"/>
          <w:lang w:val="en-US"/>
        </w:rPr>
        <w:t>, Botswana.</w:t>
      </w:r>
      <w:r w:rsidRPr="00DE0019">
        <w:rPr>
          <w:rFonts w:asciiTheme="minorHAnsi" w:eastAsia="MS PGothic" w:hAnsiTheme="minorHAnsi"/>
          <w:i/>
          <w:iCs/>
          <w:color w:val="000000"/>
          <w:sz w:val="20"/>
          <w:lang w:val="en-US"/>
        </w:rPr>
        <w:t xml:space="preserve">; </w:t>
      </w:r>
    </w:p>
    <w:p w:rsidR="003F371E" w:rsidRPr="003F371E" w:rsidRDefault="00704BDF" w:rsidP="003F371E">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2 </w:t>
      </w:r>
      <w:r w:rsidR="003F371E" w:rsidRPr="003F371E">
        <w:rPr>
          <w:rFonts w:asciiTheme="minorHAnsi" w:eastAsia="MS PGothic" w:hAnsiTheme="minorHAnsi"/>
          <w:i/>
          <w:iCs/>
          <w:color w:val="000000"/>
          <w:sz w:val="20"/>
          <w:lang w:val="en-US"/>
        </w:rPr>
        <w:t>Department of Chemical Engineering in the Faculty of Engineering and Built Environment, University of Johannesbur</w:t>
      </w:r>
      <w:r w:rsidR="003F371E">
        <w:rPr>
          <w:rFonts w:asciiTheme="minorHAnsi" w:eastAsia="MS PGothic" w:hAnsiTheme="minorHAnsi"/>
          <w:i/>
          <w:iCs/>
          <w:color w:val="000000"/>
          <w:sz w:val="20"/>
          <w:lang w:val="en-US"/>
        </w:rPr>
        <w:t xml:space="preserve">g </w:t>
      </w:r>
      <w:r w:rsidR="008A774A">
        <w:rPr>
          <w:rFonts w:asciiTheme="minorHAnsi" w:eastAsia="MS PGothic" w:hAnsiTheme="minorHAnsi"/>
          <w:i/>
          <w:iCs/>
          <w:color w:val="000000"/>
          <w:sz w:val="20"/>
          <w:lang w:val="en-US"/>
        </w:rPr>
        <w:t xml:space="preserve">PO Box 524, </w:t>
      </w:r>
      <w:r w:rsidR="003F371E" w:rsidRPr="003F371E">
        <w:rPr>
          <w:rFonts w:asciiTheme="minorHAnsi" w:eastAsia="MS PGothic" w:hAnsiTheme="minorHAnsi"/>
          <w:i/>
          <w:iCs/>
          <w:color w:val="000000"/>
          <w:sz w:val="20"/>
          <w:lang w:val="en-US"/>
        </w:rPr>
        <w:t>Auckland Park, 2006</w:t>
      </w:r>
    </w:p>
    <w:p w:rsidR="00704BDF" w:rsidRPr="00DE0019" w:rsidRDefault="003F371E" w:rsidP="003F371E">
      <w:pPr>
        <w:snapToGrid w:val="0"/>
        <w:spacing w:after="120"/>
        <w:jc w:val="center"/>
        <w:rPr>
          <w:rFonts w:asciiTheme="minorHAnsi" w:eastAsia="MS PGothic" w:hAnsiTheme="minorHAnsi"/>
          <w:i/>
          <w:iCs/>
          <w:color w:val="000000"/>
          <w:sz w:val="20"/>
          <w:lang w:val="en-US"/>
        </w:rPr>
      </w:pPr>
      <w:r w:rsidRPr="003F371E">
        <w:rPr>
          <w:rFonts w:asciiTheme="minorHAnsi" w:eastAsia="MS PGothic" w:hAnsiTheme="minorHAnsi"/>
          <w:i/>
          <w:iCs/>
          <w:color w:val="000000"/>
          <w:sz w:val="20"/>
          <w:lang w:val="en-US"/>
        </w:rPr>
        <w:t>Johannesburg, South Africa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F371E">
        <w:rPr>
          <w:rFonts w:asciiTheme="minorHAnsi" w:eastAsia="MS PGothic" w:hAnsiTheme="minorHAnsi"/>
          <w:bCs/>
          <w:i/>
          <w:iCs/>
          <w:sz w:val="20"/>
          <w:lang w:val="en-US"/>
        </w:rPr>
        <w:t>gratitude.charis</w:t>
      </w:r>
      <w:r w:rsidRPr="00DE0019">
        <w:rPr>
          <w:rFonts w:asciiTheme="minorHAnsi" w:eastAsia="MS PGothic" w:hAnsiTheme="minorHAnsi"/>
          <w:bCs/>
          <w:i/>
          <w:iCs/>
          <w:sz w:val="20"/>
          <w:lang w:val="en-US"/>
        </w:rPr>
        <w:t>@</w:t>
      </w:r>
      <w:r w:rsidR="003F371E">
        <w:rPr>
          <w:rFonts w:asciiTheme="minorHAnsi" w:eastAsia="MS PGothic" w:hAnsiTheme="minorHAnsi"/>
          <w:bCs/>
          <w:i/>
          <w:iCs/>
          <w:sz w:val="20"/>
          <w:lang w:val="en-US"/>
        </w:rPr>
        <w:t>studentmail.biust.ac.bw</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0F1672" w:rsidRDefault="000F1672" w:rsidP="00704BDF">
      <w:pPr>
        <w:pStyle w:val="AbstractBody"/>
        <w:numPr>
          <w:ilvl w:val="0"/>
          <w:numId w:val="16"/>
        </w:numPr>
        <w:rPr>
          <w:rFonts w:asciiTheme="minorHAnsi" w:hAnsiTheme="minorHAnsi"/>
        </w:rPr>
      </w:pPr>
      <w:r w:rsidRPr="000F1672">
        <w:rPr>
          <w:rFonts w:asciiTheme="minorHAnsi" w:hAnsiTheme="minorHAnsi"/>
        </w:rPr>
        <w:t>There are a number of</w:t>
      </w:r>
      <w:r w:rsidR="00964968" w:rsidRPr="000F1672">
        <w:rPr>
          <w:rFonts w:asciiTheme="minorHAnsi" w:hAnsiTheme="minorHAnsi"/>
        </w:rPr>
        <w:t xml:space="preserve"> isolated communities</w:t>
      </w:r>
      <w:r w:rsidRPr="000F1672">
        <w:rPr>
          <w:rFonts w:asciiTheme="minorHAnsi" w:hAnsiTheme="minorHAnsi"/>
        </w:rPr>
        <w:t xml:space="preserve"> in sparsely populated Botswana</w:t>
      </w:r>
      <w:r>
        <w:rPr>
          <w:rFonts w:asciiTheme="minorHAnsi" w:hAnsiTheme="minorHAnsi"/>
        </w:rPr>
        <w:t xml:space="preserve"> </w:t>
      </w:r>
      <w:r w:rsidRPr="000F1672">
        <w:rPr>
          <w:rFonts w:asciiTheme="minorHAnsi" w:hAnsiTheme="minorHAnsi"/>
        </w:rPr>
        <w:t>with no access to electricity</w:t>
      </w:r>
      <w:r>
        <w:rPr>
          <w:rFonts w:asciiTheme="minorHAnsi" w:hAnsiTheme="minorHAnsi"/>
        </w:rPr>
        <w:t>; their connection to main grid deemed very uneconomical.</w:t>
      </w:r>
    </w:p>
    <w:p w:rsidR="00AE7A1D" w:rsidRDefault="000F1672" w:rsidP="00704BDF">
      <w:pPr>
        <w:pStyle w:val="AbstractBody"/>
        <w:numPr>
          <w:ilvl w:val="0"/>
          <w:numId w:val="16"/>
        </w:numPr>
        <w:rPr>
          <w:rFonts w:asciiTheme="minorHAnsi" w:hAnsiTheme="minorHAnsi"/>
        </w:rPr>
      </w:pPr>
      <w:r>
        <w:rPr>
          <w:rFonts w:asciiTheme="minorHAnsi" w:hAnsiTheme="minorHAnsi"/>
        </w:rPr>
        <w:t>Only explored alternative has been solar, meanwhile there is a large resource of waste encroacher biomass which can be used</w:t>
      </w:r>
      <w:r w:rsidR="00704BDF" w:rsidRPr="000F1672">
        <w:rPr>
          <w:rFonts w:asciiTheme="minorHAnsi" w:hAnsiTheme="minorHAnsi"/>
        </w:rPr>
        <w:t xml:space="preserve">. </w:t>
      </w:r>
    </w:p>
    <w:p w:rsidR="00805736" w:rsidRDefault="00AE7A1D" w:rsidP="00805736">
      <w:pPr>
        <w:pStyle w:val="AbstractBody"/>
        <w:numPr>
          <w:ilvl w:val="0"/>
          <w:numId w:val="16"/>
        </w:numPr>
        <w:rPr>
          <w:rFonts w:asciiTheme="minorHAnsi" w:hAnsiTheme="minorHAnsi"/>
        </w:rPr>
      </w:pPr>
      <w:r>
        <w:rPr>
          <w:rFonts w:asciiTheme="minorHAnsi" w:hAnsiTheme="minorHAnsi"/>
        </w:rPr>
        <w:t xml:space="preserve">Exploring pyrolysis alternative where the bulky thorny bushes are </w:t>
      </w:r>
      <w:proofErr w:type="spellStart"/>
      <w:r>
        <w:rPr>
          <w:rFonts w:asciiTheme="minorHAnsi" w:hAnsiTheme="minorHAnsi"/>
        </w:rPr>
        <w:t>pyrolysed</w:t>
      </w:r>
      <w:proofErr w:type="spellEnd"/>
      <w:r>
        <w:rPr>
          <w:rFonts w:asciiTheme="minorHAnsi" w:hAnsiTheme="minorHAnsi"/>
        </w:rPr>
        <w:t xml:space="preserve"> on site to increase energy density before being transported to a slightly modified sterling engine that can be a </w:t>
      </w:r>
      <w:proofErr w:type="spellStart"/>
      <w:r>
        <w:rPr>
          <w:rFonts w:asciiTheme="minorHAnsi" w:hAnsiTheme="minorHAnsi"/>
        </w:rPr>
        <w:t>stand alone</w:t>
      </w:r>
      <w:proofErr w:type="spellEnd"/>
      <w:r>
        <w:rPr>
          <w:rFonts w:asciiTheme="minorHAnsi" w:hAnsiTheme="minorHAnsi"/>
        </w:rPr>
        <w:t xml:space="preserve"> power generator or part of a hybrid system</w:t>
      </w:r>
    </w:p>
    <w:p w:rsidR="00704BDF" w:rsidRDefault="00AE7A1D" w:rsidP="00805736">
      <w:pPr>
        <w:pStyle w:val="AbstractBody"/>
        <w:numPr>
          <w:ilvl w:val="0"/>
          <w:numId w:val="16"/>
        </w:numPr>
        <w:rPr>
          <w:rFonts w:asciiTheme="minorHAnsi" w:hAnsiTheme="minorHAnsi"/>
        </w:rPr>
      </w:pPr>
      <w:r w:rsidRPr="00805736">
        <w:rPr>
          <w:rFonts w:asciiTheme="minorHAnsi" w:hAnsiTheme="minorHAnsi"/>
        </w:rPr>
        <w:t>Thermochemical characterization for acacia</w:t>
      </w:r>
      <w:r w:rsidR="00FE179F">
        <w:rPr>
          <w:rFonts w:asciiTheme="minorHAnsi" w:hAnsiTheme="minorHAnsi"/>
        </w:rPr>
        <w:t xml:space="preserve"> undertaken</w:t>
      </w:r>
      <w:r w:rsidR="00805736">
        <w:rPr>
          <w:rFonts w:asciiTheme="minorHAnsi" w:hAnsiTheme="minorHAnsi"/>
        </w:rPr>
        <w:t>.</w:t>
      </w:r>
    </w:p>
    <w:p w:rsidR="00FE179F" w:rsidRPr="00805736" w:rsidRDefault="00FE179F" w:rsidP="00FE179F">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8D0BEB" w:rsidRDefault="00964968" w:rsidP="00704BDF">
      <w:pPr>
        <w:snapToGrid w:val="0"/>
        <w:spacing w:after="120"/>
        <w:rPr>
          <w:rFonts w:asciiTheme="minorHAnsi" w:eastAsia="MS PGothic" w:hAnsiTheme="minorHAnsi"/>
          <w:color w:val="000000"/>
          <w:sz w:val="22"/>
          <w:szCs w:val="22"/>
          <w:lang w:val="en-US"/>
        </w:rPr>
      </w:pPr>
      <w:r w:rsidRPr="00964968">
        <w:rPr>
          <w:rFonts w:asciiTheme="minorHAnsi" w:eastAsia="MS PGothic" w:hAnsiTheme="minorHAnsi"/>
          <w:color w:val="000000"/>
          <w:sz w:val="22"/>
          <w:szCs w:val="22"/>
          <w:lang w:val="en-US"/>
        </w:rPr>
        <w:t>The case of access to electricity for remote areas has always been topical, especially for developing nations where the energy poverty translates to retarded development for such communities. Botswana is one such nation that has scattered, isolated and sparsely populated settlements where the extension of the main grid is uneconomical. Close to about 43% of rural and 25% of urban households in Botswana have no access to electricity</w:t>
      </w:r>
      <w:r w:rsidR="006C6502">
        <w:rPr>
          <w:rFonts w:asciiTheme="minorHAnsi" w:eastAsia="MS PGothic" w:hAnsiTheme="minorHAnsi"/>
          <w:color w:val="000000"/>
          <w:sz w:val="22"/>
          <w:szCs w:val="22"/>
          <w:lang w:val="en-US"/>
        </w:rPr>
        <w:t xml:space="preserve"> </w:t>
      </w:r>
      <w:r w:rsidR="006C6502">
        <w:rPr>
          <w:rFonts w:asciiTheme="minorHAnsi" w:eastAsia="MS PGothic" w:hAnsiTheme="minorHAnsi"/>
          <w:color w:val="000000"/>
          <w:sz w:val="22"/>
          <w:szCs w:val="22"/>
          <w:lang w:val="en-US"/>
        </w:rPr>
        <w:fldChar w:fldCharType="begin"/>
      </w:r>
      <w:r w:rsidR="006C6502">
        <w:rPr>
          <w:rFonts w:asciiTheme="minorHAnsi" w:eastAsia="MS PGothic" w:hAnsiTheme="minorHAnsi"/>
          <w:color w:val="000000"/>
          <w:sz w:val="22"/>
          <w:szCs w:val="22"/>
          <w:lang w:val="en-US"/>
        </w:rPr>
        <w:instrText>ADDIN CSL_CITATION {"citationItems":[{"id":"ITEM-1","itemData":{"ISSN":"17927544","abstract":"Emerging economies are still faced with need to improve economic growth. One of the main drivers of growth in literature has been found to be electricity consumption. However literature fails to explain the relationship between economic growth and electricity consumption. It is against this background that the study examines the presence of the long run relationship between economic growth and electricity consumption in Botswana. The study use annual time series data for the period 1980-2014. Using the Vector Error Correction Model, the study shows that there is a positive long run relationship between the two variables. Electricity consumption drives long term growth and it is an important input in the country's production function. Human capital and inflation are important control variables in explaining this long run relationship. Inflationary pressures on the economy should be kept low and human capital development should be industry relevant for the country to advance its growth efforts. Policymakers should continue with and rather develop instruments that encourage more electricity consumption. In this case electricity subsidies should be given to firms in areas that are critical for country's growth prospects, like mining and agriculture. Policy makers need to make a cost benefit analysis as they design the subsidies to benefit all the targeted economic agents.","author":[{"dropping-particle":"","family":"Chingoiro","given":"Samuel","non-dropping-particle":"","parse-names":false,"suffix":""},{"dropping-particle":"","family":"Mbulawa","given":"Strike","non-dropping-particle":"","parse-names":false,"suffix":""}],"container-title":"Advances in Management and Applied Economics","id":"ITEM-1","issue":"2","issued":{"date-parts":[["2017"]]},"page":"105-122","title":"Electricity Consumption and Economic Growth in Botswana: A Vector Error Correction Approach","type":"article-journal","volume":"7"},"uris":["http://www.mendeley.com/documents/?uuid=ff0eb481-4c46-47ec-aec0-ba082d6adb42"]}],"properties":{"noteIndex":0},"schema":"https://github.com/citation-style-language/schema/raw/master/csl-citation.json"}</w:instrText>
      </w:r>
      <w:r w:rsidR="006C6502">
        <w:rPr>
          <w:rFonts w:asciiTheme="minorHAnsi" w:eastAsia="MS PGothic" w:hAnsiTheme="minorHAnsi"/>
          <w:color w:val="000000"/>
          <w:sz w:val="22"/>
          <w:szCs w:val="22"/>
          <w:lang w:val="en-US"/>
        </w:rPr>
        <w:fldChar w:fldCharType="separate"/>
      </w:r>
      <w:r w:rsidR="006C6502">
        <w:rPr>
          <w:rFonts w:asciiTheme="minorHAnsi" w:eastAsia="MS PGothic" w:hAnsiTheme="minorHAnsi"/>
          <w:noProof/>
          <w:color w:val="000000"/>
          <w:sz w:val="22"/>
          <w:szCs w:val="22"/>
          <w:lang w:val="en-US"/>
        </w:rPr>
        <w:t>{Formatting Citation}</w:t>
      </w:r>
      <w:r w:rsidR="006C6502">
        <w:rPr>
          <w:rFonts w:asciiTheme="minorHAnsi" w:eastAsia="MS PGothic" w:hAnsiTheme="minorHAnsi"/>
          <w:color w:val="000000"/>
          <w:sz w:val="22"/>
          <w:szCs w:val="22"/>
          <w:lang w:val="en-US"/>
        </w:rPr>
        <w:fldChar w:fldCharType="end"/>
      </w:r>
      <w:r w:rsidRPr="00964968">
        <w:rPr>
          <w:rFonts w:asciiTheme="minorHAnsi" w:eastAsia="MS PGothic" w:hAnsiTheme="minorHAnsi"/>
          <w:color w:val="000000"/>
          <w:sz w:val="22"/>
          <w:szCs w:val="22"/>
          <w:lang w:val="en-US"/>
        </w:rPr>
        <w:t>. Most attention has been directed at powering remote off-grid communities using renewable sources like solar, which are accessible everywhere; however, not much attention has been paid on emerging renewable sources like 2nd generation biofuels from lignocellulosic waste. Coincidentally, Botswana is home to notorious woody encroacher species that are costing the government and communities millions of dollars annually through depleting pastures and subsequently livestock productivity</w:t>
      </w:r>
      <w:r w:rsidR="00863614">
        <w:rPr>
          <w:rFonts w:asciiTheme="minorHAnsi" w:eastAsia="MS PGothic" w:hAnsiTheme="minorHAnsi"/>
          <w:color w:val="000000"/>
          <w:sz w:val="22"/>
          <w:szCs w:val="22"/>
          <w:lang w:val="en-US"/>
        </w:rPr>
        <w:t xml:space="preserve"> </w:t>
      </w:r>
      <w:r w:rsidR="00863614" w:rsidRPr="00E412CD">
        <w:fldChar w:fldCharType="begin" w:fldLock="1"/>
      </w:r>
      <w:r w:rsidR="00863614" w:rsidRPr="00E412CD">
        <w:instrText>ADDIN CSL_CITATION { "citationItems" : [ { "id" : "ITEM-1", "itemData" : { "DOI" : "10.1006/jema.2001.0486", "ISBN" : "0301-4797", "ISSN" : "03014797", "PMID" : "11876072", "abstract" : "Foci points, which are currently intensified by increased anthropogenic activities, have resulted in vegetation changes in the cattle-dominated grazing areas of Botswana. Bush encroachment species - for instance Acacia tortilis, A. erubescens, A. mellifera, Dichrostachys cinerea, Grewia flava, and Terminalia sericea - are increasing in cover and density around foci points (e.g. water points and kraals) at the expense of the grass cover. A number of factors have the effect of encouraging the germination and survival of bush encroachment species. The practice of cattle husbandry and continual shifting of foci points within grazing areas have resulted in the spread of the distribution of bush encroachment species across the country. This is evidenced by the potential extent of 37000 km2(6.4% of Botswana) of darkened and near infrared (NIR) reflective bush encroached areas in 1994. This paper suggests that specific management strategies should be adopted to help overcome the bush encroachment problem, which is causing a significant reduction in the extent of Botswana's high quality rangeland. These strategies may vary from the enforced reduction of grazing intensity in areas identified as being heavily bush encroached to the selective management of opportunistic (communal) grazing in better quality predominantly grassland areas. Further work is however required to update this analysis and especially to consider trends since 1994-1995. While some work on the extent of woody cover and the further causes of bush encroachment is being undertaken under the SAFARI2000 project, more research is needed in specific areas to pinpoint causes and responses to the bush encroachment problem. \u00a9 2002 Academic Press.", "author" : [ { "dropping-particle" : "", "family" : "Moleele", "given" : "N. M.", "non-dropping-particle" : "", "parse-names" : false, "suffix" : "" }, { "dropping-particle" : "", "family" : "Ringrose", "given" : "S.", "non-dropping-particle" : "", "parse-names" : false, "suffix" : "" }, { "dropping-particle" : "", "family" : "Matheson", "given" : "W.", "non-dropping-particle" : "", "parse-names" : false, "suffix" : "" }, { "dropping-particle" : "", "family" : "Vanderpost", "given" : "C.", "non-dropping-particle" : "", "parse-names" : false, "suffix" : "" } ], "container-title" : "Journal of Environmental Management", "id" : "ITEM-1", "issue" : "1", "issued" : { "date-parts" : [ [ "2002" ] ] }, "page" : "3-11", "title" : "More woody plants? The status of bush encroachment in Botswana's grazing areas", "type" : "article-journal", "volume" : "64" }, "uris" : [ "http://www.mendeley.com/documents/?uuid=0079027b-e9e6-490b-bef7-ac53afb29f54" ] }, { "id" : "ITEM-2", "itemData" : { "abstract" : "The objective of this study is to investigate the economic implications of biodiversity management under uncertainty. In particular, biodiversity management here is discussed by livestock farming strategies in conditions of semi-arid climate. The dynamics of a semi-arid rangeland ecosystem, driven by stochastic precipitation, is described by a coupled ecological-economic model. The model captures the dynamics of biomass production, which is determing the livestock production and the income of the farmer. The farmer\u2019s grazing management strategies, altering the state of range ecosystem, and eventually improving the biodiversity of the pasture, are resting and debushing. The principle of the \u201cresting\u201d strategy is to leave a pre-specified part of the pasture to rest in rainy years. \u201cDebushing\u201d is the eradication of bushes down to the optimal level in order to increase the carrying capacity of the pasture. The farmer\u2019s decisions, concerning application of sustainable management practices, are shaped by his preferences, such as risk aversion, discount rate and time horizon. We study whether the optimal strategies of the livestock farmer are environmentally- sustainable (i), whether the option to debush incorporates a \u201cnatural insurance\u201d value (ii) and if debushing has a positive economic value (iii). We find that debushing leads tomore conservative and correspondingly more environmentally- sustainable grazing strategies than in comparision with a non-debushing setting (i). In the same time, our expectation concerning the natural insurance value of debushing is not confirmed: Debushing leads to a more volatile green biomass production and thus increases the risk premium for the debushing farmer as the result of the increased income volatility (ii). The economic value of the option to debush is positive and debushing has therefore a positive effect on the well-being of the farmer (iii). Keywords:", "author" : [ { "dropping-particle" : "", "family" : "Lukomska", "given" : "Nataliia", "non-dropping-particle" : "", "parse-names" : false, "suffix" : "" } ], "id" : "ITEM-2", "issued" : { "date-parts" : [ [ "2010" ] ] }, "publisher" : "University of Zurich", "title" : "The Economic Value of Real Options in Biodiversity Management - The Case of Bush Encroachment Control in Semi-Arid Rangelands.", "type" : "thesis" }, "uris" : [ "http://www.mendeley.com/documents/?uuid=b24ae060-a9b8-4c33-b76f-896eb17906d0" ] }, { "id" : "ITEM-3", "itemData" : { "author" : [ { "dropping-particle" : "", "family" : "Kabajan", "given" : "Samson", "non-dropping-particle" : "", "parse-names" : false, "suffix" : "" }, { "dropping-particle" : "", "family" : "Kaunda", "given" : "Kenneth", "non-dropping-particle" : "", "parse-names" : false, "suffix" : "" }, { "dropping-particle" : "", "family" : "Matlhaku", "given" : "Kefilwe", "non-dropping-particle" : "", "parse-names" : false, "suffix" : "" } ], "id" : "ITEM-3", "issue" : "January 2011", "issued" : { "date-parts" : [ [ "2016" ] ] }, "title" : "Shoot Production by Acacia tortilis under Different Browsing Regimes in South-East Botswana", "type" : "article-journal" }, "uris" : [ "http://www.mendeley.com/documents/?uuid=38d8192e-b51d-4bb1-b3ec-5257e221bd02" ] } ], "mendeley" : { "formattedCitation" : "[1]\u2013[3]", "plainTextFormattedCitation" : "[1]\u2013[3]", "previouslyFormattedCitation" : "[1]\u2013[3]" }, "properties" : { "noteIndex" : 0 }, "schema" : "https://github.com/citation-style-language/schema/raw/master/csl-citation.json" }</w:instrText>
      </w:r>
      <w:r w:rsidR="00863614" w:rsidRPr="00E412CD">
        <w:fldChar w:fldCharType="separate"/>
      </w:r>
      <w:r w:rsidR="00863614" w:rsidRPr="00E412CD">
        <w:rPr>
          <w:noProof/>
        </w:rPr>
        <w:t>[1]–[3]</w:t>
      </w:r>
      <w:r w:rsidR="00863614" w:rsidRPr="00E412CD">
        <w:fldChar w:fldCharType="end"/>
      </w:r>
      <w:r w:rsidRPr="00964968">
        <w:rPr>
          <w:rFonts w:asciiTheme="minorHAnsi" w:eastAsia="MS PGothic" w:hAnsiTheme="minorHAnsi"/>
          <w:color w:val="000000"/>
          <w:sz w:val="22"/>
          <w:szCs w:val="22"/>
          <w:lang w:val="en-US"/>
        </w:rPr>
        <w:t xml:space="preserve">. Some of the money is spent in </w:t>
      </w:r>
      <w:proofErr w:type="spellStart"/>
      <w:r w:rsidRPr="00964968">
        <w:rPr>
          <w:rFonts w:asciiTheme="minorHAnsi" w:eastAsia="MS PGothic" w:hAnsiTheme="minorHAnsi"/>
          <w:color w:val="000000"/>
          <w:sz w:val="22"/>
          <w:szCs w:val="22"/>
          <w:lang w:val="en-US"/>
        </w:rPr>
        <w:t>debushing</w:t>
      </w:r>
      <w:proofErr w:type="spellEnd"/>
      <w:r w:rsidRPr="00964968">
        <w:rPr>
          <w:rFonts w:asciiTheme="minorHAnsi" w:eastAsia="MS PGothic" w:hAnsiTheme="minorHAnsi"/>
          <w:color w:val="000000"/>
          <w:sz w:val="22"/>
          <w:szCs w:val="22"/>
          <w:lang w:val="en-US"/>
        </w:rPr>
        <w:t xml:space="preserve"> exercises to restore the aesthetic appeal in cities, towns and villages, since these drought resistant coppices spring up everywhere. Meanwhile nations like Namibia have turned the woody encroacher nuisance into value through very profitable renewable energy ventures like charcoal</w:t>
      </w:r>
      <w:r w:rsidR="00863614">
        <w:rPr>
          <w:rFonts w:asciiTheme="minorHAnsi" w:eastAsia="MS PGothic" w:hAnsiTheme="minorHAnsi"/>
          <w:color w:val="000000"/>
          <w:sz w:val="22"/>
          <w:szCs w:val="22"/>
          <w:lang w:val="en-US"/>
        </w:rPr>
        <w:t xml:space="preserve"> </w:t>
      </w:r>
      <w:r w:rsidR="00863614" w:rsidRPr="00E412CD">
        <w:fldChar w:fldCharType="begin" w:fldLock="1"/>
      </w:r>
      <w:r w:rsidR="00863614" w:rsidRPr="00E412CD">
        <w:instrText>ADDIN CSL_CITATION { "citationItems" : [ { "id" : "ITEM-1", "itemData" : { "author" : [ { "dropping-particle" : "", "family" : "Honsbein", "given" : "Dagmar", "non-dropping-particle" : "", "parse-names" : false, "suffix" : "" } ], "id" : "ITEM-1", "issue" : "May", "issued" : { "date-parts" : [ [ "2015" ] ] }, "title" : "Survey development and implementation in preparation of a De-bushing Advisory Service ( DAS ) May 2015", "type" : "report" }, "uris" : [ "http://www.mendeley.com/documents/?uuid=ecb806b9-760b-4562-a4bf-60e1b5db0abc" ] } ], "mendeley" : { "formattedCitation" : "[4]", "plainTextFormattedCitation" : "[4]", "previouslyFormattedCitation" : "[4]" }, "properties" : { "noteIndex" : 0 }, "schema" : "https://github.com/citation-style-language/schema/raw/master/csl-citation.json" }</w:instrText>
      </w:r>
      <w:r w:rsidR="00863614" w:rsidRPr="00E412CD">
        <w:fldChar w:fldCharType="separate"/>
      </w:r>
      <w:r w:rsidR="00863614" w:rsidRPr="00E412CD">
        <w:rPr>
          <w:noProof/>
        </w:rPr>
        <w:t>[4]</w:t>
      </w:r>
      <w:r w:rsidR="00863614" w:rsidRPr="00E412CD">
        <w:fldChar w:fldCharType="end"/>
      </w:r>
      <w:r w:rsidRPr="00964968">
        <w:rPr>
          <w:rFonts w:asciiTheme="minorHAnsi" w:eastAsia="MS PGothic" w:hAnsiTheme="minorHAnsi"/>
          <w:color w:val="000000"/>
          <w:sz w:val="22"/>
          <w:szCs w:val="22"/>
          <w:lang w:val="en-US"/>
        </w:rPr>
        <w:t xml:space="preserve">. This feasibility analysis which is focused on alleviating energy poverty in remote settlements explores all the possible power generation alternatives that could use the encroacher biomass, especially after converting it into a crude biofuel (bio-oil). Relatively simple technologies that can be run within such contexts are explored. Carbonization techniques for raw biomass, pyrolysis and simple upgrading of oil, various power generation alternatives and </w:t>
      </w:r>
      <w:r w:rsidRPr="00964968">
        <w:rPr>
          <w:rFonts w:asciiTheme="minorHAnsi" w:eastAsia="MS PGothic" w:hAnsiTheme="minorHAnsi"/>
          <w:color w:val="000000"/>
          <w:sz w:val="22"/>
          <w:szCs w:val="22"/>
          <w:lang w:val="en-US"/>
        </w:rPr>
        <w:lastRenderedPageBreak/>
        <w:t>hybrid options with prevalent renewable energy initiatives are examined</w:t>
      </w:r>
      <w:r w:rsidR="00571106">
        <w:rPr>
          <w:rFonts w:asciiTheme="minorHAnsi" w:eastAsia="MS PGothic" w:hAnsiTheme="minorHAnsi"/>
          <w:color w:val="000000"/>
          <w:sz w:val="22"/>
          <w:szCs w:val="22"/>
          <w:lang w:val="en-US"/>
        </w:rPr>
        <w:t xml:space="preserve"> and compared</w:t>
      </w:r>
      <w:r w:rsidRPr="00964968">
        <w:rPr>
          <w:rFonts w:asciiTheme="minorHAnsi" w:eastAsia="MS PGothic" w:hAnsiTheme="minorHAnsi"/>
          <w:color w:val="000000"/>
          <w:sz w:val="22"/>
          <w:szCs w:val="22"/>
          <w:lang w:val="en-US"/>
        </w:rPr>
        <w:t xml:space="preserve">. A preliminary economic feasibility check is done.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F07E75"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Since this is mostly a feasibility analysis, the major avenues of ascertaining facts is being done through desktop studies, interviews of remote community leaders and relevant civil society stakeholders</w:t>
      </w:r>
      <w:r w:rsidR="00704BDF" w:rsidRPr="008D0BEB">
        <w:rPr>
          <w:rFonts w:asciiTheme="minorHAnsi" w:eastAsia="MS PGothic" w:hAnsiTheme="minorHAnsi"/>
          <w:color w:val="000000"/>
          <w:sz w:val="22"/>
          <w:szCs w:val="22"/>
          <w:lang w:val="en-US"/>
        </w:rPr>
        <w:t>.</w:t>
      </w:r>
      <w:r w:rsidR="00571106">
        <w:rPr>
          <w:rFonts w:asciiTheme="minorHAnsi" w:eastAsia="MS PGothic" w:hAnsiTheme="minorHAnsi"/>
          <w:color w:val="000000"/>
          <w:sz w:val="22"/>
          <w:szCs w:val="22"/>
          <w:lang w:val="en-US"/>
        </w:rPr>
        <w:t xml:space="preserve"> Economic feasibility is being done by comparing with similar plants and checking prices of equipment from vendors. Thermochemical characterization was done using equipment for elemental analysis, </w:t>
      </w:r>
      <w:proofErr w:type="spellStart"/>
      <w:r w:rsidR="00571106">
        <w:rPr>
          <w:rFonts w:asciiTheme="minorHAnsi" w:eastAsia="MS PGothic" w:hAnsiTheme="minorHAnsi"/>
          <w:color w:val="000000"/>
          <w:sz w:val="22"/>
          <w:szCs w:val="22"/>
          <w:lang w:val="en-US"/>
        </w:rPr>
        <w:t>thermogravimetry</w:t>
      </w:r>
      <w:proofErr w:type="spellEnd"/>
      <w:r w:rsidR="00571106">
        <w:rPr>
          <w:rFonts w:asciiTheme="minorHAnsi" w:eastAsia="MS PGothic" w:hAnsiTheme="minorHAnsi"/>
          <w:color w:val="000000"/>
          <w:sz w:val="22"/>
          <w:szCs w:val="22"/>
          <w:lang w:val="en-US"/>
        </w:rPr>
        <w:t xml:space="preserve"> and calorimetry.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8A774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results so far obtained pertain the properties of the biomass encroacher species, </w:t>
      </w:r>
      <w:r w:rsidRPr="008A774A">
        <w:rPr>
          <w:rFonts w:asciiTheme="minorHAnsi" w:eastAsia="MS PGothic" w:hAnsiTheme="minorHAnsi"/>
          <w:i/>
          <w:color w:val="000000"/>
          <w:sz w:val="22"/>
          <w:szCs w:val="22"/>
          <w:lang w:val="en-US"/>
        </w:rPr>
        <w:t xml:space="preserve">Acacia </w:t>
      </w:r>
      <w:proofErr w:type="spellStart"/>
      <w:r w:rsidRPr="008A774A">
        <w:rPr>
          <w:rFonts w:asciiTheme="minorHAnsi" w:eastAsia="MS PGothic" w:hAnsiTheme="minorHAnsi"/>
          <w:i/>
          <w:color w:val="000000"/>
          <w:sz w:val="22"/>
          <w:szCs w:val="22"/>
          <w:lang w:val="en-US"/>
        </w:rPr>
        <w:t>Tortillis</w:t>
      </w:r>
      <w:proofErr w:type="spellEnd"/>
      <w:r>
        <w:rPr>
          <w:rFonts w:asciiTheme="minorHAnsi" w:eastAsia="MS PGothic" w:hAnsiTheme="minorHAnsi"/>
          <w:color w:val="000000"/>
          <w:sz w:val="22"/>
          <w:szCs w:val="22"/>
          <w:lang w:val="en-US"/>
        </w:rPr>
        <w:t>, which is one of the major encroacher bushes.</w:t>
      </w:r>
      <w:r w:rsidR="00BF36D2">
        <w:rPr>
          <w:rFonts w:asciiTheme="minorHAnsi" w:eastAsia="MS PGothic" w:hAnsiTheme="minorHAnsi"/>
          <w:color w:val="000000"/>
          <w:sz w:val="22"/>
          <w:szCs w:val="22"/>
          <w:lang w:val="en-US"/>
        </w:rPr>
        <w:t xml:space="preserve"> These characterization results help to map the conditions and resulting products for thermochemical conversion processes. </w:t>
      </w:r>
    </w:p>
    <w:p w:rsidR="00BF36D2" w:rsidRPr="00DE0019" w:rsidRDefault="00BF36D2" w:rsidP="00BF36D2">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Table</w:t>
      </w:r>
      <w:r w:rsidRPr="00DE0019">
        <w:rPr>
          <w:rFonts w:asciiTheme="minorHAnsi" w:eastAsia="MS PGothic" w:hAnsiTheme="minorHAnsi"/>
          <w:b/>
          <w:color w:val="000000"/>
          <w:szCs w:val="18"/>
          <w:lang w:val="en-US"/>
        </w:rPr>
        <w:t xml:space="preserv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FE179F">
        <w:rPr>
          <w:rFonts w:asciiTheme="minorHAnsi" w:eastAsia="MS PGothic" w:hAnsiTheme="minorHAnsi"/>
          <w:color w:val="000000"/>
          <w:szCs w:val="18"/>
          <w:lang w:val="en-US"/>
        </w:rPr>
        <w:t>R</w:t>
      </w:r>
      <w:r w:rsidR="00571106">
        <w:rPr>
          <w:rFonts w:asciiTheme="minorHAnsi" w:eastAsia="MS PGothic" w:hAnsiTheme="minorHAnsi"/>
          <w:color w:val="000000"/>
          <w:szCs w:val="18"/>
          <w:lang w:val="en-US"/>
        </w:rPr>
        <w:t>esults from thermochemical chara</w:t>
      </w:r>
      <w:r w:rsidR="00FE179F">
        <w:rPr>
          <w:rFonts w:asciiTheme="minorHAnsi" w:eastAsia="MS PGothic" w:hAnsiTheme="minorHAnsi"/>
          <w:color w:val="000000"/>
          <w:szCs w:val="18"/>
          <w:lang w:val="en-US"/>
        </w:rPr>
        <w:t>cterization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730"/>
        <w:gridCol w:w="676"/>
        <w:gridCol w:w="729"/>
        <w:gridCol w:w="793"/>
        <w:gridCol w:w="712"/>
        <w:gridCol w:w="729"/>
        <w:gridCol w:w="880"/>
        <w:gridCol w:w="1067"/>
        <w:gridCol w:w="1170"/>
      </w:tblGrid>
      <w:tr w:rsidR="008A774A" w:rsidRPr="008A774A" w:rsidTr="00BF36D2">
        <w:trPr>
          <w:trHeight w:val="620"/>
        </w:trPr>
        <w:tc>
          <w:tcPr>
            <w:tcW w:w="1291" w:type="dxa"/>
            <w:shd w:val="clear" w:color="auto" w:fill="auto"/>
          </w:tcPr>
          <w:p w:rsidR="008A774A" w:rsidRPr="008A774A" w:rsidRDefault="008A774A" w:rsidP="00CE75BF">
            <w:pPr>
              <w:spacing w:line="240" w:lineRule="auto"/>
              <w:rPr>
                <w:rFonts w:asciiTheme="minorHAnsi" w:hAnsiTheme="minorHAnsi" w:cstheme="minorHAnsi"/>
                <w:szCs w:val="18"/>
              </w:rPr>
            </w:pPr>
          </w:p>
        </w:tc>
        <w:tc>
          <w:tcPr>
            <w:tcW w:w="2928" w:type="dxa"/>
            <w:gridSpan w:val="4"/>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Ultimate analysis- average of 2</w:t>
            </w:r>
          </w:p>
          <w:p w:rsidR="008A774A" w:rsidRPr="008A774A" w:rsidRDefault="008A774A" w:rsidP="00CE75BF">
            <w:pPr>
              <w:spacing w:line="240" w:lineRule="auto"/>
              <w:rPr>
                <w:rFonts w:asciiTheme="minorHAnsi" w:hAnsiTheme="minorHAnsi" w:cstheme="minorHAnsi"/>
                <w:b/>
                <w:szCs w:val="18"/>
              </w:rPr>
            </w:pPr>
            <w:r w:rsidRPr="008A774A">
              <w:rPr>
                <w:rFonts w:asciiTheme="minorHAnsi" w:hAnsiTheme="minorHAnsi" w:cstheme="minorHAnsi"/>
                <w:szCs w:val="18"/>
              </w:rPr>
              <w:t>(</w:t>
            </w:r>
            <w:proofErr w:type="spellStart"/>
            <w:r w:rsidRPr="008A774A">
              <w:rPr>
                <w:rFonts w:asciiTheme="minorHAnsi" w:hAnsiTheme="minorHAnsi" w:cstheme="minorHAnsi"/>
                <w:szCs w:val="18"/>
              </w:rPr>
              <w:t>Thermo</w:t>
            </w:r>
            <w:proofErr w:type="spellEnd"/>
            <w:r w:rsidRPr="008A774A">
              <w:rPr>
                <w:rFonts w:asciiTheme="minorHAnsi" w:hAnsiTheme="minorHAnsi" w:cstheme="minorHAnsi"/>
                <w:szCs w:val="18"/>
              </w:rPr>
              <w:t xml:space="preserve"> scientific flash 2000 CHNS-O analyser )</w:t>
            </w:r>
          </w:p>
        </w:tc>
        <w:tc>
          <w:tcPr>
            <w:tcW w:w="3388" w:type="dxa"/>
            <w:gridSpan w:val="4"/>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Proximate analysis (Dry basis)- averages</w:t>
            </w:r>
          </w:p>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 xml:space="preserve">(Thermogravimetric analyser- </w:t>
            </w:r>
            <w:proofErr w:type="spellStart"/>
            <w:r w:rsidRPr="008A774A">
              <w:rPr>
                <w:rFonts w:asciiTheme="minorHAnsi" w:hAnsiTheme="minorHAnsi" w:cstheme="minorHAnsi"/>
                <w:szCs w:val="18"/>
              </w:rPr>
              <w:t>Leco</w:t>
            </w:r>
            <w:proofErr w:type="spellEnd"/>
            <w:r w:rsidRPr="008A774A">
              <w:rPr>
                <w:rFonts w:asciiTheme="minorHAnsi" w:hAnsiTheme="minorHAnsi" w:cstheme="minorHAnsi"/>
                <w:szCs w:val="18"/>
              </w:rPr>
              <w:t xml:space="preserve"> TGA 701)</w:t>
            </w:r>
          </w:p>
        </w:tc>
        <w:tc>
          <w:tcPr>
            <w:tcW w:w="1170" w:type="dxa"/>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b/>
                <w:szCs w:val="18"/>
              </w:rPr>
              <w:t xml:space="preserve">HHV </w:t>
            </w:r>
            <w:r w:rsidRPr="008A774A">
              <w:rPr>
                <w:rFonts w:asciiTheme="minorHAnsi" w:hAnsiTheme="minorHAnsi" w:cstheme="minorHAnsi"/>
                <w:szCs w:val="18"/>
              </w:rPr>
              <w:t>(MJ/kg)</w:t>
            </w:r>
          </w:p>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Bomb CAL2K-2</w:t>
            </w:r>
          </w:p>
        </w:tc>
      </w:tr>
      <w:tr w:rsidR="008A774A" w:rsidRPr="008A774A" w:rsidTr="00BF36D2">
        <w:tc>
          <w:tcPr>
            <w:tcW w:w="1291" w:type="dxa"/>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w:t>
            </w:r>
          </w:p>
        </w:tc>
        <w:tc>
          <w:tcPr>
            <w:tcW w:w="730" w:type="dxa"/>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C</w:t>
            </w:r>
          </w:p>
        </w:tc>
        <w:tc>
          <w:tcPr>
            <w:tcW w:w="676" w:type="dxa"/>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H</w:t>
            </w:r>
          </w:p>
        </w:tc>
        <w:tc>
          <w:tcPr>
            <w:tcW w:w="729" w:type="dxa"/>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N</w:t>
            </w:r>
          </w:p>
        </w:tc>
        <w:tc>
          <w:tcPr>
            <w:tcW w:w="793" w:type="dxa"/>
            <w:shd w:val="clear" w:color="auto" w:fill="auto"/>
          </w:tcPr>
          <w:p w:rsidR="008A774A" w:rsidRPr="008A774A" w:rsidRDefault="008A774A" w:rsidP="00CE75BF">
            <w:pPr>
              <w:spacing w:line="240" w:lineRule="auto"/>
              <w:rPr>
                <w:rFonts w:asciiTheme="minorHAnsi" w:hAnsiTheme="minorHAnsi" w:cstheme="minorHAnsi"/>
                <w:szCs w:val="18"/>
              </w:rPr>
            </w:pPr>
            <w:proofErr w:type="spellStart"/>
            <w:r w:rsidRPr="008A774A">
              <w:rPr>
                <w:rFonts w:asciiTheme="minorHAnsi" w:hAnsiTheme="minorHAnsi" w:cstheme="minorHAnsi"/>
                <w:szCs w:val="18"/>
              </w:rPr>
              <w:t>O</w:t>
            </w:r>
            <w:r w:rsidRPr="008A774A">
              <w:rPr>
                <w:rFonts w:asciiTheme="minorHAnsi" w:hAnsiTheme="minorHAnsi" w:cstheme="minorHAnsi"/>
                <w:szCs w:val="18"/>
                <w:vertAlign w:val="superscript"/>
              </w:rPr>
              <w:t>a</w:t>
            </w:r>
            <w:proofErr w:type="spellEnd"/>
          </w:p>
        </w:tc>
        <w:tc>
          <w:tcPr>
            <w:tcW w:w="712" w:type="dxa"/>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Ash</w:t>
            </w:r>
          </w:p>
        </w:tc>
        <w:tc>
          <w:tcPr>
            <w:tcW w:w="729" w:type="dxa"/>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FC</w:t>
            </w:r>
          </w:p>
        </w:tc>
        <w:tc>
          <w:tcPr>
            <w:tcW w:w="880" w:type="dxa"/>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VM</w:t>
            </w:r>
          </w:p>
        </w:tc>
        <w:tc>
          <w:tcPr>
            <w:tcW w:w="1067" w:type="dxa"/>
            <w:shd w:val="clear" w:color="auto" w:fill="auto"/>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MC</w:t>
            </w:r>
          </w:p>
        </w:tc>
        <w:tc>
          <w:tcPr>
            <w:tcW w:w="1170" w:type="dxa"/>
            <w:shd w:val="clear" w:color="auto" w:fill="808080"/>
          </w:tcPr>
          <w:p w:rsidR="008A774A" w:rsidRPr="008A774A" w:rsidRDefault="008A774A" w:rsidP="00CE75BF">
            <w:pPr>
              <w:spacing w:line="240" w:lineRule="auto"/>
              <w:rPr>
                <w:rFonts w:asciiTheme="minorHAnsi" w:hAnsiTheme="minorHAnsi" w:cstheme="minorHAnsi"/>
                <w:szCs w:val="18"/>
              </w:rPr>
            </w:pPr>
          </w:p>
        </w:tc>
      </w:tr>
      <w:tr w:rsidR="008A774A" w:rsidRPr="008A774A" w:rsidTr="00BF36D2">
        <w:tc>
          <w:tcPr>
            <w:tcW w:w="1291"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ACACIA</w:t>
            </w:r>
          </w:p>
        </w:tc>
        <w:tc>
          <w:tcPr>
            <w:tcW w:w="730"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41.47</w:t>
            </w:r>
          </w:p>
        </w:tc>
        <w:tc>
          <w:tcPr>
            <w:tcW w:w="676"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5.15</w:t>
            </w:r>
          </w:p>
        </w:tc>
        <w:tc>
          <w:tcPr>
            <w:tcW w:w="729"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1.23</w:t>
            </w:r>
          </w:p>
        </w:tc>
        <w:tc>
          <w:tcPr>
            <w:tcW w:w="793"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52.15</w:t>
            </w:r>
          </w:p>
        </w:tc>
        <w:tc>
          <w:tcPr>
            <w:tcW w:w="712"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3.90</w:t>
            </w:r>
          </w:p>
        </w:tc>
        <w:tc>
          <w:tcPr>
            <w:tcW w:w="729"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19.59</w:t>
            </w:r>
          </w:p>
        </w:tc>
        <w:tc>
          <w:tcPr>
            <w:tcW w:w="880"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76.51</w:t>
            </w:r>
          </w:p>
        </w:tc>
        <w:tc>
          <w:tcPr>
            <w:tcW w:w="1067"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3.72</w:t>
            </w:r>
          </w:p>
        </w:tc>
        <w:tc>
          <w:tcPr>
            <w:tcW w:w="1170" w:type="dxa"/>
            <w:shd w:val="clear" w:color="auto" w:fill="9CC2E5"/>
          </w:tcPr>
          <w:p w:rsidR="008A774A" w:rsidRPr="008A774A" w:rsidRDefault="008A774A" w:rsidP="00CE75BF">
            <w:pPr>
              <w:spacing w:line="240" w:lineRule="auto"/>
              <w:rPr>
                <w:rFonts w:asciiTheme="minorHAnsi" w:hAnsiTheme="minorHAnsi" w:cstheme="minorHAnsi"/>
                <w:szCs w:val="18"/>
              </w:rPr>
            </w:pPr>
            <w:r w:rsidRPr="008A774A">
              <w:rPr>
                <w:rFonts w:asciiTheme="minorHAnsi" w:hAnsiTheme="minorHAnsi" w:cstheme="minorHAnsi"/>
                <w:szCs w:val="18"/>
              </w:rPr>
              <w:t>17.267</w:t>
            </w:r>
          </w:p>
        </w:tc>
      </w:tr>
      <w:tr w:rsidR="00BF36D2" w:rsidRPr="00033F8F" w:rsidTr="00BF36D2">
        <w:tc>
          <w:tcPr>
            <w:tcW w:w="1291"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PINEDUST</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45.76</w:t>
            </w: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5.54</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0.039</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48.66</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0.83</w:t>
            </w:r>
          </w:p>
        </w:tc>
        <w:tc>
          <w:tcPr>
            <w:tcW w:w="729"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20.00</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79.16</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65.41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F36D2" w:rsidRPr="00BF36D2" w:rsidRDefault="00BF36D2" w:rsidP="00CE75BF">
            <w:pPr>
              <w:spacing w:line="240" w:lineRule="auto"/>
              <w:rPr>
                <w:rFonts w:asciiTheme="minorHAnsi" w:hAnsiTheme="minorHAnsi" w:cstheme="minorHAnsi"/>
                <w:szCs w:val="18"/>
              </w:rPr>
            </w:pPr>
            <w:r w:rsidRPr="00BF36D2">
              <w:rPr>
                <w:rFonts w:asciiTheme="minorHAnsi" w:hAnsiTheme="minorHAnsi" w:cstheme="minorHAnsi"/>
                <w:szCs w:val="18"/>
              </w:rPr>
              <w:t>17.568</w:t>
            </w:r>
          </w:p>
        </w:tc>
      </w:tr>
    </w:tbl>
    <w:p w:rsidR="00BF36D2" w:rsidRDefault="00BF36D2" w:rsidP="00BF36D2">
      <w:pPr>
        <w:snapToGrid w:val="0"/>
        <w:spacing w:after="120"/>
        <w:rPr>
          <w:rFonts w:asciiTheme="minorHAnsi" w:eastAsia="MS PGothic" w:hAnsiTheme="minorHAnsi"/>
          <w:color w:val="000000"/>
        </w:rPr>
      </w:pPr>
    </w:p>
    <w:p w:rsidR="00BF36D2" w:rsidRPr="00BF36D2" w:rsidRDefault="00BF36D2" w:rsidP="00BF36D2">
      <w:pPr>
        <w:snapToGrid w:val="0"/>
        <w:spacing w:after="120"/>
        <w:rPr>
          <w:rFonts w:asciiTheme="minorHAnsi" w:eastAsia="MS PGothic" w:hAnsiTheme="minorHAnsi"/>
          <w:color w:val="000000"/>
          <w:sz w:val="22"/>
          <w:szCs w:val="22"/>
        </w:rPr>
      </w:pPr>
      <w:r w:rsidRPr="00BF36D2">
        <w:rPr>
          <w:rFonts w:asciiTheme="minorHAnsi" w:eastAsia="MS PGothic" w:hAnsiTheme="minorHAnsi"/>
          <w:color w:val="000000"/>
          <w:sz w:val="22"/>
          <w:szCs w:val="22"/>
        </w:rPr>
        <w:t xml:space="preserve">The moisture </w:t>
      </w:r>
      <w:r>
        <w:rPr>
          <w:rFonts w:asciiTheme="minorHAnsi" w:eastAsia="MS PGothic" w:hAnsiTheme="minorHAnsi"/>
          <w:color w:val="000000"/>
          <w:sz w:val="22"/>
          <w:szCs w:val="22"/>
        </w:rPr>
        <w:t xml:space="preserve">and ash </w:t>
      </w:r>
      <w:r w:rsidRPr="00BF36D2">
        <w:rPr>
          <w:rFonts w:asciiTheme="minorHAnsi" w:eastAsia="MS PGothic" w:hAnsiTheme="minorHAnsi"/>
          <w:color w:val="000000"/>
          <w:sz w:val="22"/>
          <w:szCs w:val="22"/>
        </w:rPr>
        <w:t>content</w:t>
      </w:r>
      <w:r>
        <w:rPr>
          <w:rFonts w:asciiTheme="minorHAnsi" w:eastAsia="MS PGothic" w:hAnsiTheme="minorHAnsi"/>
          <w:color w:val="000000"/>
          <w:sz w:val="22"/>
          <w:szCs w:val="22"/>
        </w:rPr>
        <w:t>s</w:t>
      </w:r>
      <w:r w:rsidRPr="00BF36D2">
        <w:rPr>
          <w:rFonts w:asciiTheme="minorHAnsi" w:eastAsia="MS PGothic" w:hAnsiTheme="minorHAnsi"/>
          <w:color w:val="000000"/>
          <w:sz w:val="22"/>
          <w:szCs w:val="22"/>
        </w:rPr>
        <w:t xml:space="preserve"> a</w:t>
      </w:r>
      <w:r>
        <w:rPr>
          <w:rFonts w:asciiTheme="minorHAnsi" w:eastAsia="MS PGothic" w:hAnsiTheme="minorHAnsi"/>
          <w:color w:val="000000"/>
          <w:sz w:val="22"/>
          <w:szCs w:val="22"/>
        </w:rPr>
        <w:t xml:space="preserve">re within acceptable limits; while the high volatile matter typical for </w:t>
      </w:r>
      <w:proofErr w:type="spellStart"/>
      <w:r>
        <w:rPr>
          <w:rFonts w:asciiTheme="minorHAnsi" w:eastAsia="MS PGothic" w:hAnsiTheme="minorHAnsi"/>
          <w:color w:val="000000"/>
          <w:sz w:val="22"/>
          <w:szCs w:val="22"/>
        </w:rPr>
        <w:t>lignocellulosics</w:t>
      </w:r>
      <w:proofErr w:type="spellEnd"/>
      <w:r>
        <w:rPr>
          <w:rFonts w:asciiTheme="minorHAnsi" w:eastAsia="MS PGothic" w:hAnsiTheme="minorHAnsi"/>
          <w:color w:val="000000"/>
          <w:sz w:val="22"/>
          <w:szCs w:val="22"/>
        </w:rPr>
        <w:t xml:space="preserve"> shows a high potential for bio-oil generation. The relatively higher ash (compared to Pine) in the feedstock will report to the bio-oil</w:t>
      </w:r>
      <w:r w:rsidRPr="00BF36D2">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affecting its stability although the margin of effect would still need to be determined.</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FE179F"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thin stems of most of the shrub encroachers from </w:t>
      </w:r>
      <w:proofErr w:type="spellStart"/>
      <w:r>
        <w:rPr>
          <w:rFonts w:asciiTheme="minorHAnsi" w:eastAsia="MS PGothic" w:hAnsiTheme="minorHAnsi"/>
          <w:color w:val="000000"/>
          <w:sz w:val="22"/>
          <w:szCs w:val="22"/>
          <w:lang w:val="en-US"/>
        </w:rPr>
        <w:t>debushing</w:t>
      </w:r>
      <w:proofErr w:type="spellEnd"/>
      <w:r>
        <w:rPr>
          <w:rFonts w:asciiTheme="minorHAnsi" w:eastAsia="MS PGothic" w:hAnsiTheme="minorHAnsi"/>
          <w:color w:val="000000"/>
          <w:sz w:val="22"/>
          <w:szCs w:val="22"/>
          <w:lang w:val="en-US"/>
        </w:rPr>
        <w:t xml:space="preserve"> exercises are not eligible for charcoal production, the method largely used by Namibia to valorize its large waste encroacher inventory. </w:t>
      </w:r>
      <w:r w:rsidR="00F07E75">
        <w:rPr>
          <w:rFonts w:asciiTheme="minorHAnsi" w:eastAsia="MS PGothic" w:hAnsiTheme="minorHAnsi"/>
          <w:color w:val="000000"/>
          <w:sz w:val="22"/>
          <w:szCs w:val="22"/>
          <w:lang w:val="en-US"/>
        </w:rPr>
        <w:t xml:space="preserve">The larger trees from rangelands can be converted into charcoal; however construction of even mini power plants to use solid fuel for combined heat and power generation will not be very cost effective for smaller populations. An </w:t>
      </w:r>
      <w:proofErr w:type="spellStart"/>
      <w:r w:rsidR="00F07E75">
        <w:rPr>
          <w:rFonts w:asciiTheme="minorHAnsi" w:eastAsia="MS PGothic" w:hAnsiTheme="minorHAnsi"/>
          <w:color w:val="000000"/>
          <w:sz w:val="22"/>
          <w:szCs w:val="22"/>
          <w:lang w:val="en-US"/>
        </w:rPr>
        <w:t>autothermal</w:t>
      </w:r>
      <w:proofErr w:type="spellEnd"/>
      <w:r w:rsidR="00F07E75">
        <w:rPr>
          <w:rFonts w:asciiTheme="minorHAnsi" w:eastAsia="MS PGothic" w:hAnsiTheme="minorHAnsi"/>
          <w:color w:val="000000"/>
          <w:sz w:val="22"/>
          <w:szCs w:val="22"/>
          <w:lang w:val="en-US"/>
        </w:rPr>
        <w:t xml:space="preserve"> pyrolysis plant, possibly integrated with solar, can be a quick alternative requiring less sophisticated technology and expertise. A modified sterling engine can be used to generate power from the pyrolysis oil.</w:t>
      </w:r>
    </w:p>
    <w:p w:rsidR="001F4A3F" w:rsidRDefault="001F4A3F" w:rsidP="00704BDF">
      <w:pPr>
        <w:snapToGrid w:val="0"/>
        <w:spacing w:after="120"/>
        <w:rPr>
          <w:rFonts w:asciiTheme="minorHAnsi" w:eastAsia="MS PGothic" w:hAnsiTheme="minorHAnsi"/>
          <w:color w:val="000000"/>
          <w:sz w:val="22"/>
          <w:szCs w:val="22"/>
          <w:lang w:val="en-US"/>
        </w:rPr>
      </w:pPr>
      <w:bookmarkStart w:id="0" w:name="_GoBack"/>
      <w:bookmarkEnd w:id="0"/>
    </w:p>
    <w:p w:rsidR="001F4A3F" w:rsidRPr="006C6502" w:rsidRDefault="006C6502" w:rsidP="00704BDF">
      <w:pPr>
        <w:snapToGrid w:val="0"/>
        <w:spacing w:after="120"/>
        <w:rPr>
          <w:rFonts w:asciiTheme="minorHAnsi" w:eastAsia="MS PGothic" w:hAnsiTheme="minorHAnsi"/>
          <w:b/>
          <w:color w:val="000000"/>
          <w:sz w:val="20"/>
          <w:lang w:val="en-US"/>
        </w:rPr>
      </w:pPr>
      <w:r w:rsidRPr="006C6502">
        <w:rPr>
          <w:rFonts w:asciiTheme="minorHAnsi" w:eastAsia="MS PGothic" w:hAnsiTheme="minorHAnsi"/>
          <w:b/>
          <w:color w:val="000000"/>
          <w:sz w:val="20"/>
          <w:lang w:val="en-US"/>
        </w:rPr>
        <w:t>References</w:t>
      </w:r>
    </w:p>
    <w:p w:rsidR="006C6502" w:rsidRPr="006C6502" w:rsidRDefault="006C6502" w:rsidP="006C6502">
      <w:pPr>
        <w:autoSpaceDE w:val="0"/>
        <w:autoSpaceDN w:val="0"/>
        <w:adjustRightInd w:val="0"/>
        <w:ind w:left="640" w:hanging="640"/>
        <w:rPr>
          <w:rFonts w:asciiTheme="minorHAnsi" w:hAnsiTheme="minorHAnsi" w:cstheme="minorHAnsi"/>
          <w:noProof/>
          <w:sz w:val="20"/>
        </w:rPr>
      </w:pPr>
      <w:r w:rsidRPr="006C6502">
        <w:rPr>
          <w:rFonts w:asciiTheme="minorHAnsi" w:hAnsiTheme="minorHAnsi" w:cstheme="minorHAnsi"/>
          <w:noProof/>
          <w:sz w:val="20"/>
        </w:rPr>
        <w:t>[1]</w:t>
      </w:r>
      <w:r w:rsidRPr="006C6502">
        <w:rPr>
          <w:rFonts w:asciiTheme="minorHAnsi" w:hAnsiTheme="minorHAnsi" w:cstheme="minorHAnsi"/>
          <w:noProof/>
          <w:sz w:val="20"/>
        </w:rPr>
        <w:tab/>
        <w:t xml:space="preserve">N. M. Moleele, S. Ringrose, W. Matheson, and C. Vanderpost, “More woody plants? The status of bush encroachment in Botswana’s grazing areas,” </w:t>
      </w:r>
      <w:r w:rsidRPr="006C6502">
        <w:rPr>
          <w:rFonts w:asciiTheme="minorHAnsi" w:hAnsiTheme="minorHAnsi" w:cstheme="minorHAnsi"/>
          <w:i/>
          <w:iCs/>
          <w:noProof/>
          <w:sz w:val="20"/>
        </w:rPr>
        <w:t>J. Environ. Manage.</w:t>
      </w:r>
      <w:r w:rsidRPr="006C6502">
        <w:rPr>
          <w:rFonts w:asciiTheme="minorHAnsi" w:hAnsiTheme="minorHAnsi" w:cstheme="minorHAnsi"/>
          <w:noProof/>
          <w:sz w:val="20"/>
        </w:rPr>
        <w:t>, vol. 64, no. 1, pp. 3–11, 2002.</w:t>
      </w:r>
    </w:p>
    <w:p w:rsidR="006C6502" w:rsidRPr="006C6502" w:rsidRDefault="006C6502" w:rsidP="006C6502">
      <w:pPr>
        <w:autoSpaceDE w:val="0"/>
        <w:autoSpaceDN w:val="0"/>
        <w:adjustRightInd w:val="0"/>
        <w:ind w:left="640" w:hanging="640"/>
        <w:rPr>
          <w:rFonts w:asciiTheme="minorHAnsi" w:hAnsiTheme="minorHAnsi" w:cstheme="minorHAnsi"/>
          <w:noProof/>
          <w:sz w:val="20"/>
        </w:rPr>
      </w:pPr>
      <w:r w:rsidRPr="006C6502">
        <w:rPr>
          <w:rFonts w:asciiTheme="minorHAnsi" w:hAnsiTheme="minorHAnsi" w:cstheme="minorHAnsi"/>
          <w:noProof/>
          <w:sz w:val="20"/>
        </w:rPr>
        <w:t>[2]</w:t>
      </w:r>
      <w:r w:rsidRPr="006C6502">
        <w:rPr>
          <w:rFonts w:asciiTheme="minorHAnsi" w:hAnsiTheme="minorHAnsi" w:cstheme="minorHAnsi"/>
          <w:noProof/>
          <w:sz w:val="20"/>
        </w:rPr>
        <w:tab/>
        <w:t>N. Lukomska, “The Economic Value of Real Options in Biodiversity Management - The Case of Bush Encroachment Control in Semi-Arid Rangelands.,” University of Zurich, 2010.</w:t>
      </w:r>
    </w:p>
    <w:p w:rsidR="006C6502" w:rsidRPr="006C6502" w:rsidRDefault="006C6502" w:rsidP="006C6502">
      <w:pPr>
        <w:autoSpaceDE w:val="0"/>
        <w:autoSpaceDN w:val="0"/>
        <w:adjustRightInd w:val="0"/>
        <w:ind w:left="640" w:hanging="640"/>
        <w:rPr>
          <w:rFonts w:asciiTheme="minorHAnsi" w:hAnsiTheme="minorHAnsi" w:cstheme="minorHAnsi"/>
          <w:noProof/>
          <w:sz w:val="20"/>
        </w:rPr>
      </w:pPr>
      <w:r w:rsidRPr="006C6502">
        <w:rPr>
          <w:rFonts w:asciiTheme="minorHAnsi" w:hAnsiTheme="minorHAnsi" w:cstheme="minorHAnsi"/>
          <w:noProof/>
          <w:sz w:val="20"/>
        </w:rPr>
        <w:t>[3]</w:t>
      </w:r>
      <w:r w:rsidRPr="006C6502">
        <w:rPr>
          <w:rFonts w:asciiTheme="minorHAnsi" w:hAnsiTheme="minorHAnsi" w:cstheme="minorHAnsi"/>
          <w:noProof/>
          <w:sz w:val="20"/>
        </w:rPr>
        <w:tab/>
        <w:t>S. Kabajan, K. Kaunda, and K. Matlhaku, “Shoot Production by Acacia tortilis under Different Browsing Regimes in South-East Botswana,” no. January 2011, 2016.</w:t>
      </w:r>
    </w:p>
    <w:p w:rsidR="006C6502" w:rsidRPr="008D0BEB" w:rsidRDefault="006C6502" w:rsidP="00704BDF">
      <w:pPr>
        <w:snapToGrid w:val="0"/>
        <w:spacing w:after="120"/>
        <w:rPr>
          <w:rFonts w:asciiTheme="minorHAnsi" w:eastAsia="MS PGothic" w:hAnsiTheme="minorHAnsi"/>
          <w:color w:val="000000"/>
          <w:sz w:val="22"/>
          <w:szCs w:val="22"/>
          <w:lang w:val="en-US"/>
        </w:rPr>
      </w:pPr>
    </w:p>
    <w:sectPr w:rsidR="006C6502" w:rsidRPr="008D0BE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AEA" w:rsidRDefault="002F2AEA" w:rsidP="004F5E36">
      <w:r>
        <w:separator/>
      </w:r>
    </w:p>
  </w:endnote>
  <w:endnote w:type="continuationSeparator" w:id="0">
    <w:p w:rsidR="002F2AEA" w:rsidRDefault="002F2AE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AEA" w:rsidRDefault="002F2AEA" w:rsidP="004F5E36">
      <w:r>
        <w:separator/>
      </w:r>
    </w:p>
  </w:footnote>
  <w:footnote w:type="continuationSeparator" w:id="0">
    <w:p w:rsidR="002F2AEA" w:rsidRDefault="002F2AEA"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60CA57"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BF9748D"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0F1672"/>
    <w:rsid w:val="0013121F"/>
    <w:rsid w:val="00134DE4"/>
    <w:rsid w:val="00150E59"/>
    <w:rsid w:val="00184AD6"/>
    <w:rsid w:val="001B65C1"/>
    <w:rsid w:val="001C684B"/>
    <w:rsid w:val="001D53FC"/>
    <w:rsid w:val="001F2EC7"/>
    <w:rsid w:val="001F4A3F"/>
    <w:rsid w:val="002065DB"/>
    <w:rsid w:val="002447EF"/>
    <w:rsid w:val="00251550"/>
    <w:rsid w:val="0027221A"/>
    <w:rsid w:val="00275B61"/>
    <w:rsid w:val="002D1F12"/>
    <w:rsid w:val="002F2AEA"/>
    <w:rsid w:val="003009B7"/>
    <w:rsid w:val="0030469C"/>
    <w:rsid w:val="003723D4"/>
    <w:rsid w:val="003A7D1C"/>
    <w:rsid w:val="003F371E"/>
    <w:rsid w:val="0046164A"/>
    <w:rsid w:val="00462DCD"/>
    <w:rsid w:val="004D1162"/>
    <w:rsid w:val="004E4DD6"/>
    <w:rsid w:val="004E4FAC"/>
    <w:rsid w:val="004F563B"/>
    <w:rsid w:val="004F5E36"/>
    <w:rsid w:val="005119A5"/>
    <w:rsid w:val="005278B7"/>
    <w:rsid w:val="005346C8"/>
    <w:rsid w:val="00571106"/>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6C6502"/>
    <w:rsid w:val="00704BDF"/>
    <w:rsid w:val="00736B13"/>
    <w:rsid w:val="007447F3"/>
    <w:rsid w:val="007661C8"/>
    <w:rsid w:val="007D52CD"/>
    <w:rsid w:val="00805736"/>
    <w:rsid w:val="00813288"/>
    <w:rsid w:val="008168FC"/>
    <w:rsid w:val="008479A2"/>
    <w:rsid w:val="00863614"/>
    <w:rsid w:val="0087637F"/>
    <w:rsid w:val="008A1512"/>
    <w:rsid w:val="008A774A"/>
    <w:rsid w:val="008D0BEB"/>
    <w:rsid w:val="008E566E"/>
    <w:rsid w:val="00901EB6"/>
    <w:rsid w:val="009450CE"/>
    <w:rsid w:val="0095164B"/>
    <w:rsid w:val="00964968"/>
    <w:rsid w:val="00996483"/>
    <w:rsid w:val="009E788A"/>
    <w:rsid w:val="00A1763D"/>
    <w:rsid w:val="00A17CEC"/>
    <w:rsid w:val="00A27EF0"/>
    <w:rsid w:val="00A76EFC"/>
    <w:rsid w:val="00A97F29"/>
    <w:rsid w:val="00AB0964"/>
    <w:rsid w:val="00AE377D"/>
    <w:rsid w:val="00AE7A1D"/>
    <w:rsid w:val="00B61DBF"/>
    <w:rsid w:val="00BC30C9"/>
    <w:rsid w:val="00BE3E58"/>
    <w:rsid w:val="00BF36D2"/>
    <w:rsid w:val="00C01616"/>
    <w:rsid w:val="00C0162B"/>
    <w:rsid w:val="00C345B1"/>
    <w:rsid w:val="00C40142"/>
    <w:rsid w:val="00C57182"/>
    <w:rsid w:val="00C655FD"/>
    <w:rsid w:val="00C94434"/>
    <w:rsid w:val="00CA1C95"/>
    <w:rsid w:val="00CA5A9C"/>
    <w:rsid w:val="00CC3F4B"/>
    <w:rsid w:val="00CD5FE2"/>
    <w:rsid w:val="00CE75BF"/>
    <w:rsid w:val="00D02B4C"/>
    <w:rsid w:val="00D84576"/>
    <w:rsid w:val="00DE0019"/>
    <w:rsid w:val="00DE264A"/>
    <w:rsid w:val="00E041E7"/>
    <w:rsid w:val="00E23CA1"/>
    <w:rsid w:val="00E409A8"/>
    <w:rsid w:val="00E47211"/>
    <w:rsid w:val="00E7209D"/>
    <w:rsid w:val="00EA50E1"/>
    <w:rsid w:val="00EE0131"/>
    <w:rsid w:val="00EE512E"/>
    <w:rsid w:val="00F07E75"/>
    <w:rsid w:val="00F30C64"/>
    <w:rsid w:val="00F95284"/>
    <w:rsid w:val="00FB730C"/>
    <w:rsid w:val="00FC2695"/>
    <w:rsid w:val="00FC3E03"/>
    <w:rsid w:val="00FE179F"/>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F5760B-B64F-4408-8694-53FED294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BEB7E-5255-420E-9C3E-1AD99478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2294</Words>
  <Characters>13076</Characters>
  <Application>Microsoft Office Word</Application>
  <DocSecurity>0</DocSecurity>
  <Lines>108</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GRATITUDE</cp:lastModifiedBy>
  <cp:revision>2</cp:revision>
  <cp:lastPrinted>2015-05-12T18:31:00Z</cp:lastPrinted>
  <dcterms:created xsi:type="dcterms:W3CDTF">2019-03-07T09:30:00Z</dcterms:created>
  <dcterms:modified xsi:type="dcterms:W3CDTF">2019-03-07T09:30:00Z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ff2849b8-dfd1-3844-910a-e6dec2f7adc9</vt:lpwstr>
  </property>
</Properties>
</file>