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BAF56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730248E3" w14:textId="0D6FC04E" w:rsidR="00704BDF" w:rsidRPr="00DE0019" w:rsidRDefault="009527DE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 w:rsidRPr="009527D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Methyl </w:t>
      </w:r>
      <w:r w:rsidR="00C77D79" w:rsidRPr="009527D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Lactate Production </w:t>
      </w:r>
      <w:r w:rsidR="00A65906">
        <w:rPr>
          <w:rFonts w:asciiTheme="minorHAnsi" w:eastAsia="MS PGothic" w:hAnsiTheme="minorHAnsi"/>
          <w:b/>
          <w:bCs/>
          <w:sz w:val="28"/>
          <w:szCs w:val="28"/>
          <w:lang w:val="en-US"/>
        </w:rPr>
        <w:t>f</w:t>
      </w:r>
      <w:r w:rsidR="00C77D79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rom </w:t>
      </w:r>
      <w:r w:rsidR="00A65906">
        <w:rPr>
          <w:rFonts w:asciiTheme="minorHAnsi" w:eastAsia="MS PGothic" w:hAnsiTheme="minorHAnsi"/>
          <w:b/>
          <w:bCs/>
          <w:sz w:val="28"/>
          <w:szCs w:val="28"/>
          <w:lang w:val="en-US"/>
        </w:rPr>
        <w:t>t</w:t>
      </w:r>
      <w:r w:rsidR="00C77D79">
        <w:rPr>
          <w:rFonts w:asciiTheme="minorHAnsi" w:eastAsia="MS PGothic" w:hAnsiTheme="minorHAnsi"/>
          <w:b/>
          <w:bCs/>
          <w:sz w:val="28"/>
          <w:szCs w:val="28"/>
          <w:lang w:val="en-US"/>
        </w:rPr>
        <w:t>he Degradation</w:t>
      </w:r>
      <w:r w:rsidR="00C77D79" w:rsidRPr="009527D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</w:t>
      </w:r>
      <w:r w:rsidR="00A65906">
        <w:rPr>
          <w:rFonts w:asciiTheme="minorHAnsi" w:eastAsia="MS PGothic" w:hAnsiTheme="minorHAnsi"/>
          <w:b/>
          <w:bCs/>
          <w:sz w:val="28"/>
          <w:szCs w:val="28"/>
          <w:lang w:val="en-US"/>
        </w:rPr>
        <w:t>o</w:t>
      </w:r>
      <w:r w:rsidR="00C77D79" w:rsidRPr="009527D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f Polylactic Acid By </w:t>
      </w:r>
      <w:r w:rsidR="00A65906">
        <w:rPr>
          <w:rFonts w:asciiTheme="minorHAnsi" w:eastAsia="MS PGothic" w:hAnsiTheme="minorHAnsi"/>
          <w:b/>
          <w:bCs/>
          <w:sz w:val="28"/>
          <w:szCs w:val="28"/>
          <w:lang w:val="en-US"/>
        </w:rPr>
        <w:t>a</w:t>
      </w:r>
      <w:bookmarkStart w:id="0" w:name="_GoBack"/>
      <w:bookmarkEnd w:id="0"/>
      <w:r w:rsidR="00C77D79" w:rsidRPr="009527D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Zinc Complex</w:t>
      </w:r>
      <w:r w:rsidR="00C77D79" w:rsidRP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>.</w:t>
      </w:r>
    </w:p>
    <w:p w14:paraId="39B313B7" w14:textId="0A66A801" w:rsidR="00DE0019" w:rsidRPr="00DE0019" w:rsidRDefault="00EA31FD" w:rsidP="00704BDF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r w:rsidRPr="00DD0E45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>Luis A. Román-Ramírez</w:t>
      </w:r>
      <w:r w:rsidRPr="003F2735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en-US" w:eastAsia="zh-CN"/>
        </w:rPr>
        <w:t>1</w:t>
      </w:r>
      <w:r w:rsidRPr="00EA31FD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Paul McKeown</w:t>
      </w:r>
      <w:r w:rsidRPr="00EA31FD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2</w:t>
      </w:r>
      <w:r w:rsidRPr="00EA31FD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Matthew D. Jones</w:t>
      </w:r>
      <w:r w:rsidRPr="00EA31FD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2</w:t>
      </w:r>
      <w:r w:rsidRPr="00EA31FD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and Joseph Wood</w:t>
      </w:r>
      <w:r w:rsidRPr="00EA31FD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="00EF0E0F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,*</w:t>
      </w:r>
      <w:r w:rsidR="00DE0019">
        <w:rPr>
          <w:rFonts w:eastAsia="SimSun"/>
          <w:color w:val="000000"/>
          <w:lang w:val="en-US" w:eastAsia="zh-CN"/>
        </w:rPr>
        <w:t xml:space="preserve"> </w:t>
      </w:r>
    </w:p>
    <w:p w14:paraId="43E2D3A4" w14:textId="792C9778" w:rsidR="00EF0E0F" w:rsidRPr="00EF0E0F" w:rsidRDefault="00704BDF" w:rsidP="00EF0E0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 w:rsidR="00EF0E0F" w:rsidRPr="00EF0E0F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School of Chemical Engineering, University of Birmingham, Edgbaston, Birmingham B15 2TT, United Kingdom.</w:t>
      </w:r>
    </w:p>
    <w:p w14:paraId="26083903" w14:textId="37EC9B9B" w:rsidR="00704BDF" w:rsidRPr="00DE0019" w:rsidRDefault="00EF0E0F" w:rsidP="00EF0E0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2 </w:t>
      </w:r>
      <w:r w:rsidRPr="00EF0E0F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Department of Chemistry, University of Bath, Claverton Down, Bath BA2 7AY, United Kingdom.</w:t>
      </w:r>
    </w:p>
    <w:p w14:paraId="247FE04A" w14:textId="14737181"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EF0E0F" w:rsidRPr="00EF0E0F">
        <w:rPr>
          <w:rFonts w:asciiTheme="minorHAnsi" w:eastAsia="MS PGothic" w:hAnsiTheme="minorHAnsi"/>
          <w:bCs/>
          <w:i/>
          <w:iCs/>
          <w:sz w:val="20"/>
          <w:lang w:val="en-US"/>
        </w:rPr>
        <w:t>j.wood@bham.ac.uk</w:t>
      </w:r>
    </w:p>
    <w:p w14:paraId="58CC3333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2CD50DD6" w14:textId="0205F4DE" w:rsidR="00704BDF" w:rsidRPr="00EC66CC" w:rsidRDefault="00DA30FC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Oxygen stable Zn(II) complex used for the depolymerization</w:t>
      </w:r>
      <w:r w:rsidR="00704BDF" w:rsidRPr="00EC66CC">
        <w:rPr>
          <w:rFonts w:asciiTheme="minorHAnsi" w:hAnsiTheme="minorHAnsi"/>
        </w:rPr>
        <w:t>.</w:t>
      </w:r>
    </w:p>
    <w:p w14:paraId="04808A36" w14:textId="5A4B01AC" w:rsidR="00704BDF" w:rsidRPr="00EC66CC" w:rsidRDefault="00DA30FC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Main operating parameters identified through design of experiments.</w:t>
      </w:r>
      <w:r w:rsidR="00704BDF" w:rsidRPr="00EC66CC">
        <w:rPr>
          <w:rFonts w:asciiTheme="minorHAnsi" w:hAnsiTheme="minorHAnsi"/>
        </w:rPr>
        <w:t xml:space="preserve"> </w:t>
      </w:r>
    </w:p>
    <w:p w14:paraId="5242E753" w14:textId="5E6FB8A3" w:rsidR="00704BDF" w:rsidRPr="00EC66CC" w:rsidRDefault="004268F3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Reaction mechanism and kinetic modelling presented.</w:t>
      </w:r>
      <w:r w:rsidR="00704BDF" w:rsidRPr="00EC66CC">
        <w:rPr>
          <w:rFonts w:asciiTheme="minorHAnsi" w:hAnsiTheme="minorHAnsi"/>
        </w:rPr>
        <w:t xml:space="preserve"> </w:t>
      </w:r>
    </w:p>
    <w:p w14:paraId="6BB12D59" w14:textId="5DB45033" w:rsidR="00704BDF" w:rsidRPr="00EC66CC" w:rsidRDefault="004268F3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Membrane separation </w:t>
      </w:r>
      <w:r w:rsidR="000D6890">
        <w:rPr>
          <w:rFonts w:asciiTheme="minorHAnsi" w:hAnsiTheme="minorHAnsi"/>
        </w:rPr>
        <w:t>process</w:t>
      </w:r>
      <w:r>
        <w:rPr>
          <w:rFonts w:asciiTheme="minorHAnsi" w:hAnsiTheme="minorHAnsi"/>
        </w:rPr>
        <w:t xml:space="preserve"> for</w:t>
      </w:r>
      <w:r w:rsidR="00643E0D">
        <w:rPr>
          <w:rFonts w:asciiTheme="minorHAnsi" w:hAnsiTheme="minorHAnsi"/>
        </w:rPr>
        <w:t xml:space="preserve"> </w:t>
      </w:r>
      <w:r w:rsidR="004839A1">
        <w:rPr>
          <w:rFonts w:asciiTheme="minorHAnsi" w:hAnsiTheme="minorHAnsi"/>
        </w:rPr>
        <w:t>product</w:t>
      </w:r>
      <w:r w:rsidR="00643E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purification.</w:t>
      </w:r>
    </w:p>
    <w:p w14:paraId="07259324" w14:textId="77777777"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14:paraId="478A7D75" w14:textId="77777777"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34ABE6DE" w14:textId="01F5E75A" w:rsidR="00674CF8" w:rsidRDefault="00674CF8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Biodegradable-biorenewable polymers such as polylactic acid (PLA) are </w:t>
      </w:r>
      <w:r w:rsidR="005B13B2">
        <w:rPr>
          <w:rFonts w:asciiTheme="minorHAnsi" w:eastAsia="MS PGothic" w:hAnsiTheme="minorHAnsi"/>
          <w:color w:val="000000"/>
          <w:sz w:val="22"/>
          <w:szCs w:val="22"/>
          <w:lang w:val="en-US"/>
        </w:rPr>
        <w:t>suitable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candidates to replace synthetic oil-derived polymers</w:t>
      </w:r>
      <w:r w:rsidR="00A748D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922B6E">
        <w:rPr>
          <w:rFonts w:asciiTheme="minorHAnsi" w:eastAsia="MS PGothic" w:hAnsiTheme="minorHAnsi"/>
          <w:color w:val="000000"/>
          <w:sz w:val="22"/>
          <w:szCs w:val="22"/>
          <w:lang w:val="en-US"/>
        </w:rPr>
        <w:t>However, PLA can be</w:t>
      </w:r>
      <w:r w:rsidR="005B13B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still a potential source of environmental pollution</w:t>
      </w:r>
      <w:r w:rsidR="00A748DA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5B13B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Chemical recycling </w:t>
      </w:r>
      <w:r w:rsidR="0094410D">
        <w:rPr>
          <w:rFonts w:asciiTheme="minorHAnsi" w:eastAsia="MS PGothic" w:hAnsiTheme="minorHAnsi"/>
          <w:color w:val="000000"/>
          <w:sz w:val="22"/>
          <w:szCs w:val="22"/>
          <w:lang w:val="en-US"/>
        </w:rPr>
        <w:t>presents an alternative to mechanical recycling or composting for end-of-life PLA that not only result</w:t>
      </w:r>
      <w:r w:rsidR="00AB5D8D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94410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value-added products but that </w:t>
      </w:r>
      <w:r w:rsidR="00AB5D8D">
        <w:rPr>
          <w:rFonts w:asciiTheme="minorHAnsi" w:eastAsia="MS PGothic" w:hAnsiTheme="minorHAnsi"/>
          <w:color w:val="000000"/>
          <w:sz w:val="22"/>
          <w:szCs w:val="22"/>
          <w:lang w:val="en-US"/>
        </w:rPr>
        <w:t>could</w:t>
      </w:r>
      <w:r w:rsidR="0094410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0553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also </w:t>
      </w:r>
      <w:r w:rsidR="0094410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reduce production costs </w: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/>
      </w:r>
      <w:r w:rsidR="00CB3486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 &lt;EndNote&gt;&lt;Cite&gt;&lt;Author&gt;Hong&lt;/Author&gt;&lt;Year&gt;2017&lt;/Year&gt;&lt;RecNum&gt;148&lt;/RecNum&gt;&lt;DisplayText&gt;[1]&lt;/DisplayText&gt;&lt;record&gt;&lt;rec-number&gt;148&lt;/rec-number&gt;&lt;foreign-keys&gt;&lt;key app="EN" db-id="sfer9ws5ix0wfme9099ppv5i0xp5dw9sxr5t" timestamp="1543239185" guid="939daace-3340-44e8-b11f-17c013820099"&gt;148&lt;/key&gt;&lt;/foreign-keys&gt;&lt;ref-type name="Journal Article"&gt;17&lt;/ref-type&gt;&lt;contributors&gt;&lt;authors&gt;&lt;author&gt;Hong, Miao&lt;/author&gt;&lt;author&gt;Chen, Eugene Y. X.&lt;/author&gt;&lt;/authors&gt;&lt;/contributors&gt;&lt;titles&gt;&lt;title&gt;Chemically recyclable polymers: a circular economy approach to sustainability&lt;/title&gt;&lt;secondary-title&gt;Green Chemistry&lt;/secondary-title&gt;&lt;/titles&gt;&lt;periodical&gt;&lt;full-title&gt;Green Chemistry&lt;/full-title&gt;&lt;abbr-1&gt;Green Chem.&lt;/abbr-1&gt;&lt;abbr-2&gt;Green Chem&lt;/abbr-2&gt;&lt;/periodical&gt;&lt;pages&gt;3692-3706&lt;/pages&gt;&lt;volume&gt;19&lt;/volume&gt;&lt;number&gt;16&lt;/number&gt;&lt;dates&gt;&lt;year&gt;2017&lt;/year&gt;&lt;/dates&gt;&lt;publisher&gt;The Royal Society of Chemistry&lt;/publisher&gt;&lt;isbn&gt;1463-9262&lt;/isbn&gt;&lt;work-type&gt;10.1039/C7GC01496A&lt;/work-type&gt;&lt;urls&gt;&lt;related-urls&gt;&lt;url&gt;http://dx.doi.org/10.1039/C7GC01496A&lt;/url&gt;&lt;/related-urls&gt;&lt;/urls&gt;&lt;electronic-resource-num&gt;10.1039/C7GC01496A&lt;/electronic-resource-num&gt;&lt;/record&gt;&lt;/Cite&gt;&lt;/EndNote&gt;</w:instrTex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CB3486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[1]</w: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94410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Although chemical recycling methods have been demonstrated in the literature</w:t>
      </w:r>
      <w:r w:rsidR="00922B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</w:t>
      </w:r>
      <w:r w:rsidR="0094410D">
        <w:rPr>
          <w:rFonts w:asciiTheme="minorHAnsi" w:eastAsia="MS PGothic" w:hAnsiTheme="minorHAnsi"/>
          <w:color w:val="000000"/>
          <w:sz w:val="22"/>
          <w:szCs w:val="22"/>
          <w:lang w:val="en-US"/>
        </w:rPr>
        <w:t>hydrolysis, acid-base depolymerization</w:t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transesterification</w:t>
      </w:r>
      <w:r w:rsidR="00922B6E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>
          <w:fldData xml:space="preserve">PEVuZE5vdGU+PENpdGU+PEF1dGhvcj5QZXRydXM8L0F1dGhvcj48WWVhcj4yMDE2PC9ZZWFyPjxS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==
</w:fldData>
        </w:fldChar>
      </w:r>
      <w:r w:rsidR="00CB3486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 </w:instrText>
      </w:r>
      <w:r w:rsidR="00CB3486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>
          <w:fldData xml:space="preserve">PEVuZE5vdGU+PENpdGU+PEF1dGhvcj5QZXRydXM8L0F1dGhvcj48WWVhcj4yMDE2PC9ZZWFyPjxS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==
</w:fldData>
        </w:fldChar>
      </w:r>
      <w:r w:rsidR="00CB3486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EN.CITE.DATA </w:instrText>
      </w:r>
      <w:r w:rsidR="00CB3486">
        <w:rPr>
          <w:rFonts w:asciiTheme="minorHAnsi" w:eastAsia="MS PGothic" w:hAnsiTheme="minorHAnsi"/>
          <w:color w:val="000000"/>
          <w:sz w:val="22"/>
          <w:szCs w:val="22"/>
          <w:lang w:val="en-US"/>
        </w:rPr>
      </w:r>
      <w:r w:rsidR="00CB3486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CB3486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[2, 3]</w: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these processes are characterized for </w: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t>high temperatures (up to 260</w:t>
      </w:r>
      <w:r w:rsid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D16683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°</w: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C). </w:t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>Mild</w:t>
      </w:r>
      <w:r w:rsidR="00D16683">
        <w:rPr>
          <w:rFonts w:asciiTheme="minorHAnsi" w:eastAsia="MS PGothic" w:hAnsiTheme="minorHAnsi"/>
          <w:color w:val="000000"/>
          <w:sz w:val="22"/>
          <w:szCs w:val="22"/>
          <w:lang w:val="en-US"/>
        </w:rPr>
        <w:t>e</w:t>
      </w:r>
      <w:r w:rsidR="00301744">
        <w:rPr>
          <w:rFonts w:asciiTheme="minorHAnsi" w:eastAsia="MS PGothic" w:hAnsiTheme="minorHAnsi"/>
          <w:color w:val="000000"/>
          <w:sz w:val="22"/>
          <w:szCs w:val="22"/>
          <w:lang w:val="en-US"/>
        </w:rPr>
        <w:t>r</w:t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operating conditions can be achieved in the transesterification </w:t>
      </w:r>
      <w:r w:rsidR="00505539">
        <w:rPr>
          <w:rFonts w:asciiTheme="minorHAnsi" w:eastAsia="MS PGothic" w:hAnsiTheme="minorHAnsi"/>
          <w:color w:val="000000"/>
          <w:sz w:val="22"/>
          <w:szCs w:val="22"/>
          <w:lang w:val="en-US"/>
        </w:rPr>
        <w:t>reaction</w:t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by </w:t>
      </w:r>
      <w:r w:rsidR="00505539">
        <w:rPr>
          <w:rFonts w:asciiTheme="minorHAnsi" w:eastAsia="MS PGothic" w:hAnsiTheme="minorHAnsi"/>
          <w:color w:val="000000"/>
          <w:sz w:val="22"/>
          <w:szCs w:val="22"/>
          <w:lang w:val="en-US"/>
        </w:rPr>
        <w:t>using</w:t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05539">
        <w:rPr>
          <w:rFonts w:asciiTheme="minorHAnsi" w:eastAsia="MS PGothic" w:hAnsiTheme="minorHAnsi"/>
          <w:color w:val="000000"/>
          <w:sz w:val="22"/>
          <w:szCs w:val="22"/>
          <w:lang w:val="en-US"/>
        </w:rPr>
        <w:t>a</w:t>
      </w:r>
      <w:r w:rsidR="00EF692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complex metal catalyst.</w:t>
      </w:r>
      <w:r w:rsidR="0030174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E24C01">
        <w:rPr>
          <w:rFonts w:asciiTheme="minorHAnsi" w:eastAsia="MS PGothic" w:hAnsiTheme="minorHAnsi"/>
          <w:color w:val="000000"/>
          <w:sz w:val="22"/>
          <w:szCs w:val="22"/>
          <w:lang w:val="en-US"/>
        </w:rPr>
        <w:t>In this project, a Zn(</w:t>
      </w:r>
      <w:r w:rsidR="00E24C01" w:rsidRPr="00301744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1</w:t>
      </w:r>
      <w:r w:rsidR="00E24C01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E24C01" w:rsidRPr="0030174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E24C0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complex was used for the PLA</w:t>
      </w:r>
      <w:r w:rsidR="004C48E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de</w:t>
      </w:r>
      <w:r w:rsidR="0049074D">
        <w:rPr>
          <w:rFonts w:asciiTheme="minorHAnsi" w:eastAsia="MS PGothic" w:hAnsiTheme="minorHAnsi"/>
          <w:color w:val="000000"/>
          <w:sz w:val="22"/>
          <w:szCs w:val="22"/>
          <w:lang w:val="en-US"/>
        </w:rPr>
        <w:t>g</w:t>
      </w:r>
      <w:r w:rsidR="004C48E6">
        <w:rPr>
          <w:rFonts w:asciiTheme="minorHAnsi" w:eastAsia="MS PGothic" w:hAnsiTheme="minorHAnsi"/>
          <w:color w:val="000000"/>
          <w:sz w:val="22"/>
          <w:szCs w:val="22"/>
          <w:lang w:val="en-US"/>
        </w:rPr>
        <w:t>radation</w:t>
      </w:r>
      <w:r w:rsidR="00E24C0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produce methyl lactate (Me-La)</w:t>
      </w:r>
      <w:r w:rsidR="00C51CD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Main operating parameters for the </w:t>
      </w:r>
      <w:r w:rsidR="004C48E6">
        <w:rPr>
          <w:rFonts w:asciiTheme="minorHAnsi" w:eastAsia="MS PGothic" w:hAnsiTheme="minorHAnsi"/>
          <w:color w:val="000000"/>
          <w:sz w:val="22"/>
          <w:szCs w:val="22"/>
          <w:lang w:val="en-US"/>
        </w:rPr>
        <w:t>process</w:t>
      </w:r>
      <w:r w:rsidR="00C51CD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were studied by a design of experiments.</w:t>
      </w:r>
      <w:r w:rsidR="00985D4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3547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preliminary evaluation of the use of membranes and distillation for the </w:t>
      </w:r>
      <w:r w:rsidR="00AB5D8D">
        <w:rPr>
          <w:rFonts w:asciiTheme="minorHAnsi" w:eastAsia="MS PGothic" w:hAnsiTheme="minorHAnsi"/>
          <w:color w:val="000000"/>
          <w:sz w:val="22"/>
          <w:szCs w:val="22"/>
          <w:lang w:val="en-US"/>
        </w:rPr>
        <w:t>purification step</w:t>
      </w:r>
      <w:r w:rsidR="0033547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is</w:t>
      </w:r>
      <w:r w:rsidR="00F40C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also </w:t>
      </w:r>
      <w:r w:rsidR="0033547D">
        <w:rPr>
          <w:rFonts w:asciiTheme="minorHAnsi" w:eastAsia="MS PGothic" w:hAnsiTheme="minorHAnsi"/>
          <w:color w:val="000000"/>
          <w:sz w:val="22"/>
          <w:szCs w:val="22"/>
          <w:lang w:val="en-US"/>
        </w:rPr>
        <w:t>presented</w:t>
      </w:r>
      <w:r w:rsidR="00F40CE7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4ED6867E" w14:textId="77777777" w:rsidR="00E11EA5" w:rsidRDefault="00704BDF" w:rsidP="00704BDF">
      <w:pPr>
        <w:snapToGrid w:val="0"/>
        <w:spacing w:after="120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151B4716" w14:textId="17CC31EC" w:rsidR="00366EFA" w:rsidRDefault="004C48E6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Small 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Initial trials of the PLA degradation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were 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performed in a </w:t>
      </w:r>
      <w:r w:rsidR="00ED02CD" w:rsidRP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>Schlenk flask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with </w:t>
      </w:r>
      <w:r w:rsid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>0.25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g of PLA and </w:t>
      </w:r>
      <w:r w:rsid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>22.4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>m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g catalyst at </w:t>
      </w:r>
      <w:r w:rsid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50 </w:t>
      </w:r>
      <w:r w:rsidR="00ED02CD">
        <w:rPr>
          <w:rFonts w:asciiTheme="minorHAnsi" w:eastAsia="MS PGothic" w:hAnsiTheme="minorHAnsi" w:cstheme="minorHAnsi"/>
          <w:color w:val="000000"/>
          <w:sz w:val="22"/>
          <w:szCs w:val="22"/>
          <w:lang w:val="en-US"/>
        </w:rPr>
        <w:t>°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>C.</w:t>
      </w:r>
      <w:r w:rsidR="00366EF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THF was selected as the solvent whereas methanol as the reactant.</w:t>
      </w:r>
      <w:r w:rsidR="000A407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01744">
        <w:rPr>
          <w:rFonts w:asciiTheme="minorHAnsi" w:eastAsia="MS PGothic" w:hAnsiTheme="minorHAnsi"/>
          <w:color w:val="000000"/>
          <w:sz w:val="22"/>
          <w:szCs w:val="22"/>
          <w:lang w:val="en-US"/>
        </w:rPr>
        <w:t>Zn(</w:t>
      </w:r>
      <w:r w:rsidR="00301744" w:rsidRPr="00301744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1</w:t>
      </w:r>
      <w:r w:rsidR="00301744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301744" w:rsidRPr="0030174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30174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0A407F">
        <w:rPr>
          <w:rFonts w:asciiTheme="minorHAnsi" w:eastAsia="MS PGothic" w:hAnsiTheme="minorHAnsi"/>
          <w:color w:val="000000"/>
          <w:sz w:val="22"/>
          <w:szCs w:val="22"/>
          <w:lang w:val="en-US"/>
        </w:rPr>
        <w:t>was</w:t>
      </w:r>
      <w:r w:rsidR="00790EA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first</w:t>
      </w:r>
      <w:r w:rsidR="000A407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tested for oxygen stability.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Me-La production was traced by GC and </w:t>
      </w:r>
      <w:r w:rsidR="008C4949" w:rsidRPr="00ED02CD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1</w:t>
      </w:r>
      <w:r w:rsidR="008C4949">
        <w:rPr>
          <w:rFonts w:asciiTheme="minorHAnsi" w:eastAsia="MS PGothic" w:hAnsiTheme="minorHAnsi"/>
          <w:color w:val="000000"/>
          <w:sz w:val="22"/>
          <w:szCs w:val="22"/>
          <w:lang w:val="en-US"/>
        </w:rPr>
        <w:t>H NMR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Polymer disappearance was confirmed by GPC. </w:t>
      </w:r>
      <w:r w:rsidR="00124B59">
        <w:rPr>
          <w:rFonts w:asciiTheme="minorHAnsi" w:eastAsia="MS PGothic" w:hAnsiTheme="minorHAnsi"/>
          <w:color w:val="000000"/>
          <w:sz w:val="22"/>
          <w:szCs w:val="22"/>
          <w:lang w:val="en-US"/>
        </w:rPr>
        <w:t>With the aim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show scalability of the process, reactions were then performed in a 300 mL SS-316 stirred </w:t>
      </w:r>
      <w:r w:rsidR="00530C3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batch 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reactor. </w:t>
      </w:r>
      <w:r w:rsidR="00421A8F">
        <w:rPr>
          <w:rFonts w:asciiTheme="minorHAnsi" w:eastAsia="MS PGothic" w:hAnsiTheme="minorHAnsi"/>
          <w:color w:val="000000"/>
          <w:sz w:val="22"/>
          <w:szCs w:val="22"/>
          <w:lang w:val="en-US"/>
        </w:rPr>
        <w:t>O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>perating parameters</w:t>
      </w:r>
      <w:r w:rsidR="00421A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the </w:t>
      </w:r>
      <w:r w:rsidR="006A62DF">
        <w:rPr>
          <w:rFonts w:asciiTheme="minorHAnsi" w:eastAsia="MS PGothic" w:hAnsiTheme="minorHAnsi"/>
          <w:color w:val="000000"/>
          <w:sz w:val="22"/>
          <w:szCs w:val="22"/>
          <w:lang w:val="en-US"/>
        </w:rPr>
        <w:t>Taguchi design of experiments</w:t>
      </w:r>
      <w:r w:rsidR="00421A8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were</w:t>
      </w:r>
      <w:r w:rsidR="00124B59">
        <w:rPr>
          <w:rFonts w:asciiTheme="minorHAnsi" w:eastAsia="MS PGothic" w:hAnsiTheme="minorHAnsi"/>
          <w:color w:val="000000"/>
          <w:sz w:val="22"/>
          <w:szCs w:val="22"/>
          <w:lang w:val="en-US"/>
        </w:rPr>
        <w:t>: polymer concentration, polymer molecular weight, catalyst concentration and reaction temperature. Additionally, mass transfer limitations of the process were studied by including polymer particle size and stirring speed.</w:t>
      </w:r>
      <w:r w:rsidR="000E20E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effects studied were: PLA conversion, Me-La selectivity, Me-La yield and maximum amount of Me-La produced. </w:t>
      </w:r>
      <w:r w:rsidR="00BA3C2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Sensible values of the </w:t>
      </w:r>
      <w:r w:rsid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range of </w:t>
      </w:r>
      <w:r w:rsidR="00BA3C2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operating parameters were included in the model. </w:t>
      </w:r>
      <w:r w:rsidR="000E20E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effects were </w:t>
      </w:r>
      <w:r w:rsidR="00DD7C5B">
        <w:rPr>
          <w:rFonts w:asciiTheme="minorHAnsi" w:eastAsia="MS PGothic" w:hAnsiTheme="minorHAnsi"/>
          <w:color w:val="000000"/>
          <w:sz w:val="22"/>
          <w:szCs w:val="22"/>
          <w:lang w:val="en-US"/>
        </w:rPr>
        <w:t>statistically</w:t>
      </w:r>
      <w:r w:rsidR="000E20E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analyze</w:t>
      </w:r>
      <w:r w:rsidR="00ED02CD">
        <w:rPr>
          <w:rFonts w:asciiTheme="minorHAnsi" w:eastAsia="MS PGothic" w:hAnsiTheme="minorHAnsi"/>
          <w:color w:val="000000"/>
          <w:sz w:val="22"/>
          <w:szCs w:val="22"/>
          <w:lang w:val="en-US"/>
        </w:rPr>
        <w:t>d</w:t>
      </w:r>
      <w:r w:rsidR="000E20E5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B6419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progress of</w:t>
      </w:r>
      <w:r w:rsidR="00BA3C2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all the reactions was traced by withdrawing samples at </w:t>
      </w:r>
      <w:r w:rsidR="00BA3C21">
        <w:rPr>
          <w:rFonts w:asciiTheme="minorHAnsi" w:eastAsia="MS PGothic" w:hAnsiTheme="minorHAnsi"/>
          <w:color w:val="000000"/>
          <w:sz w:val="22"/>
          <w:szCs w:val="22"/>
          <w:lang w:val="en-US"/>
        </w:rPr>
        <w:lastRenderedPageBreak/>
        <w:t>different time intervals.</w:t>
      </w:r>
      <w:r w:rsidR="00FB599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76108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Membrane separation studies were performed in a cross-flow system with a commercial membrane (Duramem 150), by varying pressure and temperature. Samples of the permeate were </w:t>
      </w:r>
      <w:r w:rsidR="00530C30">
        <w:rPr>
          <w:rFonts w:asciiTheme="minorHAnsi" w:eastAsia="MS PGothic" w:hAnsiTheme="minorHAnsi"/>
          <w:color w:val="000000"/>
          <w:sz w:val="22"/>
          <w:szCs w:val="22"/>
          <w:lang w:val="en-US"/>
        </w:rPr>
        <w:t>analyzed</w:t>
      </w:r>
      <w:r w:rsidR="0076108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by GC and </w:t>
      </w:r>
      <w:r w:rsidR="0076108B" w:rsidRPr="00337B8B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1</w:t>
      </w:r>
      <w:r w:rsidR="0076108B">
        <w:rPr>
          <w:rFonts w:asciiTheme="minorHAnsi" w:eastAsia="MS PGothic" w:hAnsiTheme="minorHAnsi"/>
          <w:color w:val="000000"/>
          <w:sz w:val="22"/>
          <w:szCs w:val="22"/>
          <w:lang w:val="en-US"/>
        </w:rPr>
        <w:t>H NMR.</w:t>
      </w:r>
    </w:p>
    <w:p w14:paraId="10E1054C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14:paraId="7C7A1AA9" w14:textId="11A08ACA" w:rsidR="008A1923" w:rsidRDefault="0034281E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3ABC6AD" wp14:editId="67ADAD2B">
            <wp:simplePos x="0" y="0"/>
            <wp:positionH relativeFrom="margin">
              <wp:posOffset>1444625</wp:posOffset>
            </wp:positionH>
            <wp:positionV relativeFrom="paragraph">
              <wp:posOffset>2531110</wp:posOffset>
            </wp:positionV>
            <wp:extent cx="2504440" cy="188404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44">
        <w:rPr>
          <w:rFonts w:asciiTheme="minorHAnsi" w:eastAsia="MS PGothic" w:hAnsiTheme="minorHAnsi"/>
          <w:color w:val="000000"/>
          <w:sz w:val="22"/>
          <w:szCs w:val="22"/>
          <w:lang w:val="en-US"/>
        </w:rPr>
        <w:t>Zn(</w:t>
      </w:r>
      <w:r w:rsidR="00301744" w:rsidRPr="00301744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1</w:t>
      </w:r>
      <w:r w:rsidR="00301744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301744" w:rsidRPr="0030174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0A407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was shown to be oxygen stable and easy to produce in large quantities. </w:t>
      </w:r>
      <w:r w:rsidR="00525349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statistical analysis of the results revealed that the main factors affecting conversion, selectivity and yield are temperature and catalyst concentration. No mass transfer lim</w:t>
      </w:r>
      <w:r w:rsidR="00BE1F51">
        <w:rPr>
          <w:rFonts w:asciiTheme="minorHAnsi" w:eastAsia="MS PGothic" w:hAnsiTheme="minorHAnsi"/>
          <w:color w:val="000000"/>
          <w:sz w:val="22"/>
          <w:szCs w:val="22"/>
          <w:lang w:val="en-US"/>
        </w:rPr>
        <w:t>i</w:t>
      </w:r>
      <w:r w:rsidR="00525349">
        <w:rPr>
          <w:rFonts w:asciiTheme="minorHAnsi" w:eastAsia="MS PGothic" w:hAnsiTheme="minorHAnsi"/>
          <w:color w:val="000000"/>
          <w:sz w:val="22"/>
          <w:szCs w:val="22"/>
          <w:lang w:val="en-US"/>
        </w:rPr>
        <w:t>tations of the process were found</w:t>
      </w:r>
      <w:r w:rsidR="00BE1F51">
        <w:rPr>
          <w:rFonts w:asciiTheme="minorHAnsi" w:eastAsia="MS PGothic" w:hAnsiTheme="minorHAnsi"/>
          <w:color w:val="000000"/>
          <w:sz w:val="22"/>
          <w:szCs w:val="22"/>
          <w:lang w:val="en-US"/>
        </w:rPr>
        <w:t>. The maximum amount of Me-La produced only depends on the initial concentration of PLA.</w:t>
      </w:r>
      <w:r w:rsidR="00B6722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</w:t>
      </w:r>
      <w:r w:rsidR="00A34EE0">
        <w:rPr>
          <w:rFonts w:asciiTheme="minorHAnsi" w:eastAsia="MS PGothic" w:hAnsiTheme="minorHAnsi"/>
          <w:color w:val="000000"/>
          <w:sz w:val="22"/>
          <w:szCs w:val="22"/>
          <w:lang w:val="en-US"/>
        </w:rPr>
        <w:t>observed experimental data was characteristic of two consecutive reactions showing formation</w:t>
      </w:r>
      <w:r w:rsidR="00530C3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 an intermediate</w:t>
      </w:r>
      <w:r w:rsidR="00A34EE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with the second </w:t>
      </w:r>
      <w:r w:rsidR="00530C30">
        <w:rPr>
          <w:rFonts w:asciiTheme="minorHAnsi" w:eastAsia="MS PGothic" w:hAnsiTheme="minorHAnsi"/>
          <w:color w:val="000000"/>
          <w:sz w:val="22"/>
          <w:szCs w:val="22"/>
          <w:lang w:val="en-US"/>
        </w:rPr>
        <w:t>reaction being reversible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(Figure 1)</w:t>
      </w:r>
      <w:r w:rsidR="00530C30">
        <w:rPr>
          <w:rFonts w:asciiTheme="minorHAnsi" w:eastAsia="MS PGothic" w:hAnsiTheme="minorHAnsi"/>
          <w:color w:val="000000"/>
          <w:sz w:val="22"/>
          <w:szCs w:val="22"/>
          <w:lang w:val="en-US"/>
        </w:rPr>
        <w:t>. The corresponding set of dif</w:t>
      </w:r>
      <w:r w:rsidR="000A6B00">
        <w:rPr>
          <w:rFonts w:asciiTheme="minorHAnsi" w:eastAsia="MS PGothic" w:hAnsiTheme="minorHAnsi"/>
          <w:color w:val="000000"/>
          <w:sz w:val="22"/>
          <w:szCs w:val="22"/>
          <w:lang w:val="en-US"/>
        </w:rPr>
        <w:t>f</w:t>
      </w:r>
      <w:r w:rsidR="00530C3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erential equations for the mass balance and rate equations 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</w:t>
      </w:r>
      <w:r w:rsidR="00530C3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solved numerically coupled with a fitting procedure to get the kinetic constants</w:t>
      </w:r>
      <w:r w:rsidR="000A6B0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the different conditions studied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790EA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temperature dependency of the kinetic constants for the PLA degradation step was evaluated by an Arrhenius type </w:t>
      </w:r>
      <w:r w:rsidR="00CA19F9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form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The activation energies obtained were in the range: </w:t>
      </w:r>
      <w:r w:rsidR="008F7936">
        <w:rPr>
          <w:rFonts w:asciiTheme="minorHAnsi" w:eastAsia="MS PGothic" w:hAnsiTheme="minorHAnsi"/>
          <w:color w:val="000000"/>
          <w:sz w:val="22"/>
          <w:szCs w:val="22"/>
          <w:lang w:val="en-US"/>
        </w:rPr>
        <w:t>39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– </w:t>
      </w:r>
      <w:r w:rsidR="008F7936">
        <w:rPr>
          <w:rFonts w:asciiTheme="minorHAnsi" w:eastAsia="MS PGothic" w:hAnsiTheme="minorHAnsi"/>
          <w:color w:val="000000"/>
          <w:sz w:val="22"/>
          <w:szCs w:val="22"/>
          <w:lang w:val="en-US"/>
        </w:rPr>
        <w:t>6</w:t>
      </w:r>
      <w:r w:rsidR="005D1FCB">
        <w:rPr>
          <w:rFonts w:asciiTheme="minorHAnsi" w:eastAsia="MS PGothic" w:hAnsiTheme="minorHAnsi"/>
          <w:color w:val="000000"/>
          <w:sz w:val="22"/>
          <w:szCs w:val="22"/>
          <w:lang w:val="en-US"/>
        </w:rPr>
        <w:t>5</w:t>
      </w:r>
      <w:r w:rsidR="008F793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kJ/mol</w:t>
      </w:r>
      <w:r w:rsidR="008F7936" w:rsidRPr="008F7936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-1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>, which are of the order of magnitude of other PLA degradation processes</w:t>
      </w:r>
      <w:r w:rsidR="00790EA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that require higher temperatures</w:t>
      </w:r>
      <w:r w:rsidR="008A1923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45233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B660C">
        <w:rPr>
          <w:rFonts w:asciiTheme="minorHAnsi" w:eastAsia="MS PGothic" w:hAnsiTheme="minorHAnsi"/>
          <w:color w:val="000000"/>
          <w:sz w:val="22"/>
          <w:szCs w:val="22"/>
          <w:lang w:val="en-US"/>
        </w:rPr>
        <w:t>Preliminary separation studies show the possibility of removing intermediate products by a commercial membrane. Solvent and alcohol can be recovered by distillation</w:t>
      </w:r>
      <w:r w:rsidR="00760AE0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44F28C35" w14:textId="736DEA4C"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="00BB10E0">
        <w:rPr>
          <w:rFonts w:asciiTheme="minorHAnsi" w:eastAsia="MS PGothic" w:hAnsiTheme="minorHAnsi"/>
          <w:color w:val="000000"/>
          <w:szCs w:val="18"/>
          <w:lang w:val="en-US"/>
        </w:rPr>
        <w:t>PLA degradation</w:t>
      </w:r>
      <w:r w:rsidR="001C7E4C" w:rsidRPr="001C7E4C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="001C7E4C">
        <w:rPr>
          <w:rFonts w:asciiTheme="minorHAnsi" w:eastAsia="MS PGothic" w:hAnsiTheme="minorHAnsi"/>
          <w:color w:val="000000"/>
          <w:szCs w:val="18"/>
          <w:lang w:val="en-US"/>
        </w:rPr>
        <w:t>experimental data.</w:t>
      </w:r>
    </w:p>
    <w:p w14:paraId="27F9AA64" w14:textId="796CEC3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300A8FB4" w14:textId="30EBBBCA" w:rsidR="00704BDF" w:rsidRDefault="007148C9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Complete degradation of PLA was demonstrated by the use of a metal complex catalyst which is stable in the presence of oxygen and that can be easily scalable. A valuable chemical </w:t>
      </w:r>
      <w:r w:rsidR="005D1F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(methyl lactate)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was produced from this degradation. </w:t>
      </w:r>
      <w:r w:rsidR="009415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main operating parameters of the process were identified </w:t>
      </w:r>
      <w:r w:rsidR="00502CE5">
        <w:rPr>
          <w:rFonts w:asciiTheme="minorHAnsi" w:eastAsia="MS PGothic" w:hAnsiTheme="minorHAnsi"/>
          <w:color w:val="000000"/>
          <w:sz w:val="22"/>
          <w:szCs w:val="22"/>
          <w:lang w:val="en-US"/>
        </w:rPr>
        <w:t>and a kinetic model prop</w:t>
      </w:r>
      <w:r w:rsidR="00684069">
        <w:rPr>
          <w:rFonts w:asciiTheme="minorHAnsi" w:eastAsia="MS PGothic" w:hAnsiTheme="minorHAnsi"/>
          <w:color w:val="000000"/>
          <w:sz w:val="22"/>
          <w:szCs w:val="22"/>
          <w:lang w:val="en-US"/>
        </w:rPr>
        <w:t>osed. Kinetic constants and activation energies were calculated from the model that can be used for reactor design and optimization.</w:t>
      </w:r>
    </w:p>
    <w:p w14:paraId="2388C590" w14:textId="6076F50C" w:rsidR="00C75BC2" w:rsidRDefault="00704BDF" w:rsidP="003D4359">
      <w:pPr>
        <w:snapToGrid w:val="0"/>
        <w:spacing w:before="240" w:line="300" w:lineRule="auto"/>
        <w:rPr>
          <w:rFonts w:asciiTheme="minorHAnsi" w:eastAsia="SimSun" w:hAnsiTheme="minorHAnsi"/>
          <w:sz w:val="22"/>
          <w:szCs w:val="22"/>
          <w:lang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References</w:t>
      </w:r>
    </w:p>
    <w:p w14:paraId="21E69D04" w14:textId="77777777" w:rsidR="00CB3486" w:rsidRPr="00CB3486" w:rsidRDefault="00C75BC2" w:rsidP="00CB3486">
      <w:pPr>
        <w:pStyle w:val="EndNoteBibliography"/>
        <w:ind w:left="280" w:hanging="280"/>
      </w:pPr>
      <w:r>
        <w:rPr>
          <w:rFonts w:asciiTheme="minorHAnsi" w:eastAsia="SimSun" w:hAnsiTheme="minorHAnsi" w:cs="Times"/>
          <w:sz w:val="22"/>
          <w:szCs w:val="22"/>
          <w:lang w:eastAsia="zh-CN"/>
        </w:rPr>
        <w:fldChar w:fldCharType="begin"/>
      </w:r>
      <w:r>
        <w:rPr>
          <w:rFonts w:asciiTheme="minorHAnsi" w:eastAsia="SimSun" w:hAnsiTheme="minorHAnsi"/>
          <w:sz w:val="22"/>
          <w:szCs w:val="22"/>
          <w:lang w:eastAsia="zh-CN"/>
        </w:rPr>
        <w:instrText xml:space="preserve"> ADDIN EN.REFLIST </w:instrText>
      </w:r>
      <w:r>
        <w:rPr>
          <w:rFonts w:asciiTheme="minorHAnsi" w:eastAsia="SimSun" w:hAnsiTheme="minorHAnsi" w:cs="Times"/>
          <w:sz w:val="22"/>
          <w:szCs w:val="22"/>
          <w:lang w:eastAsia="zh-CN"/>
        </w:rPr>
        <w:fldChar w:fldCharType="separate"/>
      </w:r>
      <w:r w:rsidR="00CB3486" w:rsidRPr="00CB3486">
        <w:t>1.</w:t>
      </w:r>
      <w:r w:rsidR="00CB3486" w:rsidRPr="00CB3486">
        <w:tab/>
        <w:t xml:space="preserve">Hong, M. and E.Y.X. Chen, </w:t>
      </w:r>
      <w:r w:rsidR="00CB3486" w:rsidRPr="00CB3486">
        <w:rPr>
          <w:i/>
        </w:rPr>
        <w:t>Chemically recyclable polymers: a circular economy approach to sustainability.</w:t>
      </w:r>
      <w:r w:rsidR="00CB3486" w:rsidRPr="00CB3486">
        <w:t xml:space="preserve"> Green Chemistry, 2017. </w:t>
      </w:r>
      <w:r w:rsidR="00CB3486" w:rsidRPr="00CB3486">
        <w:rPr>
          <w:b/>
        </w:rPr>
        <w:t>19</w:t>
      </w:r>
      <w:r w:rsidR="00CB3486" w:rsidRPr="00CB3486">
        <w:t>(16): p. 3692-3706.</w:t>
      </w:r>
    </w:p>
    <w:p w14:paraId="13C2E6E9" w14:textId="77777777" w:rsidR="00CB3486" w:rsidRPr="00CB3486" w:rsidRDefault="00CB3486" w:rsidP="00CB3486">
      <w:pPr>
        <w:pStyle w:val="EndNoteBibliography"/>
        <w:ind w:left="280" w:hanging="280"/>
      </w:pPr>
      <w:r w:rsidRPr="00CB3486">
        <w:t>2.</w:t>
      </w:r>
      <w:r w:rsidRPr="00CB3486">
        <w:tab/>
        <w:t xml:space="preserve">Petrus, R., D. Bykowski, and P. Sobota, </w:t>
      </w:r>
      <w:r w:rsidRPr="00CB3486">
        <w:rPr>
          <w:i/>
        </w:rPr>
        <w:t>Solvothermal Alcoholysis Routes for Recycling Polylactide Waste as Lactic Acid Esters.</w:t>
      </w:r>
      <w:r w:rsidRPr="00CB3486">
        <w:t xml:space="preserve"> ACS Catalysis, 2016. </w:t>
      </w:r>
      <w:r w:rsidRPr="00CB3486">
        <w:rPr>
          <w:b/>
        </w:rPr>
        <w:t>6</w:t>
      </w:r>
      <w:r w:rsidRPr="00CB3486">
        <w:t>(8): p. 5222-5235.</w:t>
      </w:r>
    </w:p>
    <w:p w14:paraId="0DA97E51" w14:textId="77777777" w:rsidR="00CB3486" w:rsidRPr="00CB3486" w:rsidRDefault="00CB3486" w:rsidP="00CB3486">
      <w:pPr>
        <w:pStyle w:val="EndNoteBibliography"/>
        <w:ind w:left="280" w:hanging="280"/>
      </w:pPr>
      <w:r w:rsidRPr="00CB3486">
        <w:t>3.</w:t>
      </w:r>
      <w:r w:rsidRPr="00CB3486">
        <w:tab/>
        <w:t xml:space="preserve">Piemonte, V. and F. Gironi, </w:t>
      </w:r>
      <w:r w:rsidRPr="00CB3486">
        <w:rPr>
          <w:i/>
        </w:rPr>
        <w:t>Kinetics of Hydrolytic Degradation of PLA.</w:t>
      </w:r>
      <w:r w:rsidRPr="00CB3486">
        <w:t xml:space="preserve"> Journal of Polymers and the Environment, 2013. </w:t>
      </w:r>
      <w:r w:rsidRPr="00CB3486">
        <w:rPr>
          <w:b/>
        </w:rPr>
        <w:t>21</w:t>
      </w:r>
      <w:r w:rsidRPr="00CB3486">
        <w:t>(2): p. 313-318.</w:t>
      </w:r>
    </w:p>
    <w:p w14:paraId="6D9D2A4E" w14:textId="442C1449" w:rsidR="00704BDF" w:rsidRPr="00704BDF" w:rsidRDefault="00C75BC2" w:rsidP="0034281E">
      <w:pPr>
        <w:pStyle w:val="EndNoteBibliography"/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/>
          <w:sz w:val="22"/>
          <w:szCs w:val="22"/>
          <w:lang w:eastAsia="zh-CN"/>
        </w:rPr>
        <w:fldChar w:fldCharType="end"/>
      </w:r>
    </w:p>
    <w:sectPr w:rsidR="00704BDF" w:rsidRPr="00704BDF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060E5" w14:textId="77777777" w:rsidR="00FE3EA9" w:rsidRDefault="00FE3EA9" w:rsidP="004F5E36">
      <w:r>
        <w:separator/>
      </w:r>
    </w:p>
  </w:endnote>
  <w:endnote w:type="continuationSeparator" w:id="0">
    <w:p w14:paraId="757159AC" w14:textId="77777777" w:rsidR="00FE3EA9" w:rsidRDefault="00FE3EA9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919CA" w14:textId="77777777" w:rsidR="00FE3EA9" w:rsidRDefault="00FE3EA9" w:rsidP="004F5E36">
      <w:r>
        <w:separator/>
      </w:r>
    </w:p>
  </w:footnote>
  <w:footnote w:type="continuationSeparator" w:id="0">
    <w:p w14:paraId="56038298" w14:textId="77777777" w:rsidR="00FE3EA9" w:rsidRDefault="00FE3EA9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EFFB" w14:textId="77777777" w:rsidR="004D1162" w:rsidRDefault="00594E9F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3CBD5F" wp14:editId="2B39D575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4BEAB5D" wp14:editId="01C10207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1947" w14:textId="77777777"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7787F4" wp14:editId="58A78B6F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14:paraId="5F8A9627" w14:textId="77777777" w:rsidR="00704BDF" w:rsidRDefault="00704BDF">
    <w:pPr>
      <w:pStyle w:val="Intestazione"/>
    </w:pPr>
  </w:p>
  <w:p w14:paraId="62AF3C71" w14:textId="77777777" w:rsidR="00704BDF" w:rsidRDefault="00704BDF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D1278" wp14:editId="5ADA43B5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28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er9ws5ix0wfme9099ppv5i0xp5dw9sxr5t&quot;&gt;Polylactic acid library&lt;record-ids&gt;&lt;item&gt;15&lt;/item&gt;&lt;item&gt;135&lt;/item&gt;&lt;item&gt;148&lt;/item&gt;&lt;/record-ids&gt;&lt;/item&gt;&lt;/Libraries&gt;"/>
  </w:docVars>
  <w:rsids>
    <w:rsidRoot w:val="000E414A"/>
    <w:rsid w:val="000027C0"/>
    <w:rsid w:val="000117CB"/>
    <w:rsid w:val="0003148D"/>
    <w:rsid w:val="00032B06"/>
    <w:rsid w:val="00036B02"/>
    <w:rsid w:val="00050DE1"/>
    <w:rsid w:val="00052483"/>
    <w:rsid w:val="00062A9A"/>
    <w:rsid w:val="00077A70"/>
    <w:rsid w:val="000A03B2"/>
    <w:rsid w:val="000A407F"/>
    <w:rsid w:val="000A6B00"/>
    <w:rsid w:val="000D34BE"/>
    <w:rsid w:val="000D6890"/>
    <w:rsid w:val="000E20E5"/>
    <w:rsid w:val="000E36F1"/>
    <w:rsid w:val="000E3A73"/>
    <w:rsid w:val="000E414A"/>
    <w:rsid w:val="00105CC8"/>
    <w:rsid w:val="00124B59"/>
    <w:rsid w:val="0013121F"/>
    <w:rsid w:val="00134DE4"/>
    <w:rsid w:val="00150E59"/>
    <w:rsid w:val="00184AD6"/>
    <w:rsid w:val="001B65C1"/>
    <w:rsid w:val="001C684B"/>
    <w:rsid w:val="001C7E4C"/>
    <w:rsid w:val="001D53FC"/>
    <w:rsid w:val="001F2EC7"/>
    <w:rsid w:val="002065DB"/>
    <w:rsid w:val="002447EF"/>
    <w:rsid w:val="00251550"/>
    <w:rsid w:val="0027221A"/>
    <w:rsid w:val="00275B61"/>
    <w:rsid w:val="002A057A"/>
    <w:rsid w:val="002D117C"/>
    <w:rsid w:val="002D1F12"/>
    <w:rsid w:val="002F27F0"/>
    <w:rsid w:val="003009B7"/>
    <w:rsid w:val="00301744"/>
    <w:rsid w:val="0030469C"/>
    <w:rsid w:val="0033012C"/>
    <w:rsid w:val="0033547D"/>
    <w:rsid w:val="00337B8B"/>
    <w:rsid w:val="0034281E"/>
    <w:rsid w:val="00366EFA"/>
    <w:rsid w:val="003723D4"/>
    <w:rsid w:val="003A7D1C"/>
    <w:rsid w:val="003D4359"/>
    <w:rsid w:val="003F2735"/>
    <w:rsid w:val="004144FD"/>
    <w:rsid w:val="00421A8F"/>
    <w:rsid w:val="004268F3"/>
    <w:rsid w:val="00433A3F"/>
    <w:rsid w:val="00447BAD"/>
    <w:rsid w:val="0045233F"/>
    <w:rsid w:val="0046164A"/>
    <w:rsid w:val="00462DCD"/>
    <w:rsid w:val="004839A1"/>
    <w:rsid w:val="0049074D"/>
    <w:rsid w:val="004C48E6"/>
    <w:rsid w:val="004D1162"/>
    <w:rsid w:val="004E4DD6"/>
    <w:rsid w:val="004F55E9"/>
    <w:rsid w:val="004F5E36"/>
    <w:rsid w:val="00502CE5"/>
    <w:rsid w:val="00505539"/>
    <w:rsid w:val="005119A5"/>
    <w:rsid w:val="005146B2"/>
    <w:rsid w:val="00525349"/>
    <w:rsid w:val="005278B7"/>
    <w:rsid w:val="00530C30"/>
    <w:rsid w:val="005346C8"/>
    <w:rsid w:val="00547A37"/>
    <w:rsid w:val="00587DF7"/>
    <w:rsid w:val="00594E9F"/>
    <w:rsid w:val="005B13B2"/>
    <w:rsid w:val="005B61E6"/>
    <w:rsid w:val="005C77E1"/>
    <w:rsid w:val="005D1FCB"/>
    <w:rsid w:val="005D6A2F"/>
    <w:rsid w:val="005E1A82"/>
    <w:rsid w:val="005F0A28"/>
    <w:rsid w:val="005F0E5E"/>
    <w:rsid w:val="00620DEE"/>
    <w:rsid w:val="00625639"/>
    <w:rsid w:val="0064184D"/>
    <w:rsid w:val="00643E0D"/>
    <w:rsid w:val="00660E3E"/>
    <w:rsid w:val="00662E74"/>
    <w:rsid w:val="00674CF8"/>
    <w:rsid w:val="00684069"/>
    <w:rsid w:val="00694D76"/>
    <w:rsid w:val="006A58D2"/>
    <w:rsid w:val="006A62DF"/>
    <w:rsid w:val="006C5579"/>
    <w:rsid w:val="006F0ACE"/>
    <w:rsid w:val="00704BDF"/>
    <w:rsid w:val="007148C9"/>
    <w:rsid w:val="00736B13"/>
    <w:rsid w:val="007447F3"/>
    <w:rsid w:val="00760AE0"/>
    <w:rsid w:val="0076108B"/>
    <w:rsid w:val="007661C8"/>
    <w:rsid w:val="00784471"/>
    <w:rsid w:val="00790EA5"/>
    <w:rsid w:val="007A2773"/>
    <w:rsid w:val="007C0AC8"/>
    <w:rsid w:val="007D52CD"/>
    <w:rsid w:val="007E0106"/>
    <w:rsid w:val="00813288"/>
    <w:rsid w:val="008168FC"/>
    <w:rsid w:val="008479A2"/>
    <w:rsid w:val="0087637F"/>
    <w:rsid w:val="008A1512"/>
    <w:rsid w:val="008A1923"/>
    <w:rsid w:val="008C4949"/>
    <w:rsid w:val="008D0BEB"/>
    <w:rsid w:val="008E566E"/>
    <w:rsid w:val="008F7936"/>
    <w:rsid w:val="00901EB6"/>
    <w:rsid w:val="00922B6E"/>
    <w:rsid w:val="009415B6"/>
    <w:rsid w:val="0094410D"/>
    <w:rsid w:val="009450CE"/>
    <w:rsid w:val="0095164B"/>
    <w:rsid w:val="009527DE"/>
    <w:rsid w:val="00985D4B"/>
    <w:rsid w:val="00996483"/>
    <w:rsid w:val="009B78D8"/>
    <w:rsid w:val="009E788A"/>
    <w:rsid w:val="00A10B4C"/>
    <w:rsid w:val="00A1763D"/>
    <w:rsid w:val="00A17CEC"/>
    <w:rsid w:val="00A27EF0"/>
    <w:rsid w:val="00A34EE0"/>
    <w:rsid w:val="00A453E0"/>
    <w:rsid w:val="00A65906"/>
    <w:rsid w:val="00A748DA"/>
    <w:rsid w:val="00A76EFC"/>
    <w:rsid w:val="00A9626B"/>
    <w:rsid w:val="00A97F29"/>
    <w:rsid w:val="00AB0964"/>
    <w:rsid w:val="00AB5D8D"/>
    <w:rsid w:val="00AD457D"/>
    <w:rsid w:val="00AE377D"/>
    <w:rsid w:val="00B61DBF"/>
    <w:rsid w:val="00B6419C"/>
    <w:rsid w:val="00B67220"/>
    <w:rsid w:val="00BA3C21"/>
    <w:rsid w:val="00BB10E0"/>
    <w:rsid w:val="00BC30C9"/>
    <w:rsid w:val="00BE1F51"/>
    <w:rsid w:val="00BE3E58"/>
    <w:rsid w:val="00BE5391"/>
    <w:rsid w:val="00C01616"/>
    <w:rsid w:val="00C0162B"/>
    <w:rsid w:val="00C345B1"/>
    <w:rsid w:val="00C40142"/>
    <w:rsid w:val="00C51CD7"/>
    <w:rsid w:val="00C57182"/>
    <w:rsid w:val="00C57D00"/>
    <w:rsid w:val="00C655FD"/>
    <w:rsid w:val="00C75BC2"/>
    <w:rsid w:val="00C77D79"/>
    <w:rsid w:val="00C867B1"/>
    <w:rsid w:val="00C94434"/>
    <w:rsid w:val="00CA19F9"/>
    <w:rsid w:val="00CA1C95"/>
    <w:rsid w:val="00CA5A9C"/>
    <w:rsid w:val="00CB3486"/>
    <w:rsid w:val="00CD5FE2"/>
    <w:rsid w:val="00D02B4C"/>
    <w:rsid w:val="00D16683"/>
    <w:rsid w:val="00D43E44"/>
    <w:rsid w:val="00D66EE2"/>
    <w:rsid w:val="00D84576"/>
    <w:rsid w:val="00DA30FC"/>
    <w:rsid w:val="00DC170C"/>
    <w:rsid w:val="00DD0E45"/>
    <w:rsid w:val="00DD7C5B"/>
    <w:rsid w:val="00DE0019"/>
    <w:rsid w:val="00DE264A"/>
    <w:rsid w:val="00E041E7"/>
    <w:rsid w:val="00E11EA5"/>
    <w:rsid w:val="00E23CA1"/>
    <w:rsid w:val="00E24C01"/>
    <w:rsid w:val="00E409A8"/>
    <w:rsid w:val="00E7209D"/>
    <w:rsid w:val="00EA31FD"/>
    <w:rsid w:val="00EA50E1"/>
    <w:rsid w:val="00EA578E"/>
    <w:rsid w:val="00ED02CD"/>
    <w:rsid w:val="00EE0131"/>
    <w:rsid w:val="00EF0E0F"/>
    <w:rsid w:val="00EF6929"/>
    <w:rsid w:val="00F30C64"/>
    <w:rsid w:val="00F40CE7"/>
    <w:rsid w:val="00FB5996"/>
    <w:rsid w:val="00FB660C"/>
    <w:rsid w:val="00FB730C"/>
    <w:rsid w:val="00FC2695"/>
    <w:rsid w:val="00FC3E03"/>
    <w:rsid w:val="00FE3EA9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A627B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locked="1" w:uiPriority="59"/>
    <w:lsdException w:name="Table Theme" w:lock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3148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customStyle="1" w:styleId="EndNoteBibliographyTitle">
    <w:name w:val="EndNote Bibliography Title"/>
    <w:basedOn w:val="Normale"/>
    <w:link w:val="EndNoteBibliographyTitleChar"/>
    <w:rsid w:val="00C75BC2"/>
    <w:pPr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Char">
    <w:name w:val="EndNote Bibliography Title Char"/>
    <w:basedOn w:val="Carpredefinitoparagrafo"/>
    <w:link w:val="EndNoteBibliographyTitle"/>
    <w:rsid w:val="00C75BC2"/>
    <w:rPr>
      <w:rFonts w:ascii="Calibri" w:eastAsia="Times New Roman" w:hAnsi="Calibri" w:cs="Calibri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e"/>
    <w:link w:val="EndNoteBibliographyChar"/>
    <w:rsid w:val="00C75BC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Char">
    <w:name w:val="EndNote Bibliography Char"/>
    <w:basedOn w:val="Carpredefinitoparagrafo"/>
    <w:link w:val="EndNoteBibliography"/>
    <w:rsid w:val="00C75BC2"/>
    <w:rPr>
      <w:rFonts w:ascii="Calibri" w:eastAsia="Times New Roman" w:hAnsi="Calibri" w:cs="Calibri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CA94-B260-44C2-B322-D470A186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Sauro Pierucci</cp:lastModifiedBy>
  <cp:revision>89</cp:revision>
  <cp:lastPrinted>2015-05-12T18:31:00Z</cp:lastPrinted>
  <dcterms:created xsi:type="dcterms:W3CDTF">2018-05-26T08:49:00Z</dcterms:created>
  <dcterms:modified xsi:type="dcterms:W3CDTF">2019-08-21T10:47:00Z</dcterms:modified>
</cp:coreProperties>
</file>