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496B2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23D608DA" w14:textId="76F234D9" w:rsidR="00704BDF" w:rsidRPr="00DE0019" w:rsidRDefault="00FB5538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The </w:t>
      </w:r>
      <w:r w:rsidR="00121EB3">
        <w:rPr>
          <w:rFonts w:asciiTheme="minorHAnsi" w:eastAsia="MS PGothic" w:hAnsiTheme="minorHAnsi"/>
          <w:b/>
          <w:bCs/>
          <w:sz w:val="28"/>
          <w:szCs w:val="28"/>
          <w:lang w:val="en-US"/>
        </w:rPr>
        <w:t>Kinetics of Ethylene Oxide and Its Substituents in the Autocatalytic Reaction with Fatty Amines.</w:t>
      </w:r>
      <w:bookmarkStart w:id="0" w:name="_GoBack"/>
      <w:bookmarkEnd w:id="0"/>
    </w:p>
    <w:p w14:paraId="651E5308" w14:textId="77777777" w:rsidR="00FB5538" w:rsidRPr="00FB5538" w:rsidRDefault="00FB5538" w:rsidP="00FB5538">
      <w:pPr>
        <w:jc w:val="center"/>
        <w:rPr>
          <w:lang w:val="de-DE"/>
        </w:rPr>
      </w:pPr>
      <w:r w:rsidRPr="00FB5538">
        <w:rPr>
          <w:rFonts w:asciiTheme="minorHAnsi" w:hAnsiTheme="minorHAnsi" w:cstheme="minorHAnsi"/>
          <w:sz w:val="24"/>
          <w:u w:val="single"/>
          <w:lang w:val="de-DE"/>
        </w:rPr>
        <w:t>Pia Müller</w:t>
      </w:r>
      <w:r w:rsidRPr="002759D2">
        <w:rPr>
          <w:rFonts w:asciiTheme="minorHAnsi" w:hAnsiTheme="minorHAnsi" w:cstheme="minorHAnsi"/>
          <w:sz w:val="24"/>
          <w:vertAlign w:val="superscript"/>
          <w:lang w:val="de-DE"/>
        </w:rPr>
        <w:t>1*</w:t>
      </w:r>
      <w:r w:rsidRPr="002759D2">
        <w:rPr>
          <w:rFonts w:asciiTheme="minorHAnsi" w:hAnsiTheme="minorHAnsi" w:cstheme="minorHAnsi"/>
          <w:sz w:val="24"/>
          <w:lang w:val="de-DE"/>
        </w:rPr>
        <w:t xml:space="preserve">, </w:t>
      </w:r>
      <w:r w:rsidRPr="00FB5538">
        <w:rPr>
          <w:rFonts w:asciiTheme="minorHAnsi" w:hAnsiTheme="minorHAnsi" w:cstheme="minorHAnsi"/>
          <w:sz w:val="24"/>
          <w:lang w:val="de-DE"/>
        </w:rPr>
        <w:t>Wyatt Winkenwerder</w:t>
      </w:r>
      <w:r w:rsidRPr="00FB5538">
        <w:rPr>
          <w:rFonts w:asciiTheme="minorHAnsi" w:hAnsiTheme="minorHAnsi" w:cstheme="minorHAnsi"/>
          <w:sz w:val="24"/>
          <w:vertAlign w:val="superscript"/>
          <w:lang w:val="de-DE"/>
        </w:rPr>
        <w:t>2</w:t>
      </w:r>
      <w:r w:rsidRPr="00FB5538">
        <w:rPr>
          <w:rFonts w:asciiTheme="minorHAnsi" w:hAnsiTheme="minorHAnsi" w:cstheme="minorHAnsi"/>
          <w:sz w:val="24"/>
          <w:lang w:val="de-DE"/>
        </w:rPr>
        <w:t>, John van der Schaaf</w:t>
      </w:r>
      <w:r w:rsidRPr="00FB5538">
        <w:rPr>
          <w:rFonts w:asciiTheme="minorHAnsi" w:hAnsiTheme="minorHAnsi" w:cstheme="minorHAnsi"/>
          <w:sz w:val="24"/>
          <w:vertAlign w:val="superscript"/>
          <w:lang w:val="de-DE"/>
        </w:rPr>
        <w:t xml:space="preserve">1 </w:t>
      </w:r>
    </w:p>
    <w:p w14:paraId="576450D1" w14:textId="77777777" w:rsidR="00FB5538" w:rsidRPr="00FB5538" w:rsidRDefault="00FB5538" w:rsidP="00FB5538">
      <w:pPr>
        <w:jc w:val="center"/>
        <w:rPr>
          <w:lang w:val="de-DE"/>
        </w:rPr>
      </w:pPr>
    </w:p>
    <w:p w14:paraId="3E7D45E1" w14:textId="3C8DEEA3" w:rsidR="00FB5538" w:rsidRPr="00FB5538" w:rsidRDefault="00FB5538" w:rsidP="00FB5538">
      <w:pPr>
        <w:jc w:val="center"/>
        <w:rPr>
          <w:rFonts w:asciiTheme="minorHAnsi" w:hAnsiTheme="minorHAnsi" w:cstheme="minorHAnsi"/>
          <w:i/>
          <w:lang w:val="en-US"/>
        </w:rPr>
      </w:pPr>
      <w:r w:rsidRPr="00FB5538">
        <w:rPr>
          <w:rFonts w:asciiTheme="minorHAnsi" w:hAnsiTheme="minorHAnsi" w:cstheme="minorHAnsi"/>
          <w:i/>
          <w:sz w:val="20"/>
          <w:lang w:val="en-US"/>
        </w:rPr>
        <w:t xml:space="preserve">1 Department of Chemical Engineering and Chemistry, </w:t>
      </w:r>
      <w:r w:rsidR="00E75377">
        <w:rPr>
          <w:rFonts w:asciiTheme="minorHAnsi" w:hAnsiTheme="minorHAnsi" w:cstheme="minorHAnsi"/>
          <w:i/>
          <w:sz w:val="20"/>
          <w:lang w:val="en-US"/>
        </w:rPr>
        <w:t xml:space="preserve">Eindhoven </w:t>
      </w:r>
      <w:r w:rsidRPr="00FB5538">
        <w:rPr>
          <w:rFonts w:asciiTheme="minorHAnsi" w:hAnsiTheme="minorHAnsi" w:cstheme="minorHAnsi"/>
          <w:i/>
          <w:sz w:val="20"/>
          <w:lang w:val="en-US"/>
        </w:rPr>
        <w:t>University of Technology, P.O. Box 513,  5600MB, the Netherlands</w:t>
      </w:r>
      <w:r>
        <w:rPr>
          <w:rFonts w:asciiTheme="minorHAnsi" w:hAnsiTheme="minorHAnsi" w:cstheme="minorHAnsi"/>
          <w:i/>
          <w:sz w:val="20"/>
          <w:lang w:val="en-US"/>
        </w:rPr>
        <w:t>; 2 Nouryon</w:t>
      </w:r>
      <w:r w:rsidRPr="00FB5538">
        <w:rPr>
          <w:rFonts w:asciiTheme="minorHAnsi" w:hAnsiTheme="minorHAnsi" w:cstheme="minorHAnsi"/>
          <w:i/>
          <w:sz w:val="20"/>
          <w:lang w:val="en-US"/>
        </w:rPr>
        <w:t>, Brewster, New York 10509, United States</w:t>
      </w:r>
    </w:p>
    <w:p w14:paraId="66EEAE6A" w14:textId="77777777" w:rsidR="00DE0019" w:rsidRPr="00DE0019" w:rsidRDefault="00DE0019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</w:p>
    <w:p w14:paraId="6DA60500" w14:textId="77777777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="00FB5538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p.muller@tue.nl</w:t>
      </w:r>
    </w:p>
    <w:p w14:paraId="151AD1CE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40EF889A" w14:textId="77777777" w:rsidR="00CF3BF3" w:rsidRPr="00CF3BF3" w:rsidRDefault="00FB5538" w:rsidP="00CF3BF3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Ethylene-, propylene- and butylene oxide follow one reaction mechanism</w:t>
      </w:r>
    </w:p>
    <w:p w14:paraId="405861B3" w14:textId="36E3D1C3" w:rsidR="00704BDF" w:rsidRDefault="005F6A20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F3BF3">
        <w:rPr>
          <w:rFonts w:asciiTheme="minorHAnsi" w:hAnsiTheme="minorHAnsi"/>
        </w:rPr>
        <w:t xml:space="preserve">ower or no substitution of the </w:t>
      </w:r>
      <w:r w:rsidR="00494981">
        <w:rPr>
          <w:rFonts w:asciiTheme="minorHAnsi" w:hAnsiTheme="minorHAnsi"/>
        </w:rPr>
        <w:t>epoxide</w:t>
      </w:r>
      <w:r w:rsidR="00CF3BF3">
        <w:rPr>
          <w:rFonts w:asciiTheme="minorHAnsi" w:hAnsiTheme="minorHAnsi"/>
        </w:rPr>
        <w:t xml:space="preserve"> ring increases the reaction rate </w:t>
      </w:r>
    </w:p>
    <w:p w14:paraId="19A8DD22" w14:textId="77777777"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14:paraId="7E38114D" w14:textId="77777777" w:rsidR="00BF5726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075D8EE7" w14:textId="37D90624" w:rsidR="00494981" w:rsidRDefault="00D241ED" w:rsidP="00BF5726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reaction of fatty amines with two</w:t>
      </w:r>
      <w:r w:rsidR="001F330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equivalents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</w:t>
      </w:r>
      <w:r w:rsidR="0049498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epoxide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is an industrial process 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producing surface-active compounds used in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several </w:t>
      </w:r>
      <w:r w:rsidR="00BF5726">
        <w:rPr>
          <w:rFonts w:asciiTheme="minorHAnsi" w:eastAsia="MS PGothic" w:hAnsiTheme="minorHAnsi"/>
          <w:color w:val="000000"/>
          <w:sz w:val="22"/>
          <w:szCs w:val="22"/>
          <w:lang w:val="en-US"/>
        </w:rPr>
        <w:t>applications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, such as paints, corrosion inhibitors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textiles</w:t>
      </w:r>
      <w:r w:rsidR="00BF572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reaction follows a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>n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</w:t>
      </w:r>
      <w:r w:rsidR="009A14E1" w:rsidRPr="006A242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N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2 mechanism, which is 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>auto-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catalyzed by the formed intermediate (SEC) and 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>end product (TERT)</w:t>
      </w:r>
      <w:r w:rsidR="002759D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shown in Figure 1.</w:t>
      </w:r>
    </w:p>
    <w:p w14:paraId="5380DB22" w14:textId="7BA067FA" w:rsidR="00D97B1F" w:rsidRPr="00D97B1F" w:rsidRDefault="00D97B1F" w:rsidP="00D97B1F">
      <w:pPr>
        <w:snapToGrid w:val="0"/>
        <w:jc w:val="left"/>
        <w:rPr>
          <w:rFonts w:asciiTheme="minorHAnsi" w:hAnsiTheme="minorHAnsi" w:cstheme="minorHAnsi"/>
          <w:sz w:val="22"/>
        </w:rPr>
      </w:pPr>
      <w:r>
        <w:object w:dxaOrig="9811" w:dyaOrig="2273" w14:anchorId="2CB3A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100.5pt" o:ole="">
            <v:imagedata r:id="rId10" o:title=""/>
          </v:shape>
          <o:OLEObject Type="Embed" ProgID="ChemDraw.Document.6.0" ShapeID="_x0000_i1025" DrawAspect="Content" ObjectID="_1627896171" r:id="rId11"/>
        </w:object>
      </w:r>
      <w:r w:rsidRPr="00D97B1F">
        <w:t xml:space="preserve"> </w:t>
      </w:r>
      <w:r w:rsidRPr="00D97B1F">
        <w:rPr>
          <w:rFonts w:asciiTheme="minorHAnsi" w:hAnsiTheme="minorHAnsi" w:cstheme="minorHAnsi"/>
          <w:sz w:val="22"/>
        </w:rPr>
        <w:t>R</w:t>
      </w:r>
      <w:r w:rsidRPr="00D97B1F">
        <w:rPr>
          <w:rFonts w:asciiTheme="minorHAnsi" w:hAnsiTheme="minorHAnsi" w:cstheme="minorHAnsi"/>
          <w:sz w:val="22"/>
          <w:vertAlign w:val="subscript"/>
        </w:rPr>
        <w:t>1</w:t>
      </w:r>
      <w:r w:rsidRPr="00D97B1F">
        <w:rPr>
          <w:rFonts w:asciiTheme="minorHAnsi" w:hAnsiTheme="minorHAnsi" w:cstheme="minorHAnsi"/>
          <w:sz w:val="22"/>
        </w:rPr>
        <w:t>=C</w:t>
      </w:r>
      <w:r w:rsidRPr="00D97B1F">
        <w:rPr>
          <w:rFonts w:asciiTheme="minorHAnsi" w:hAnsiTheme="minorHAnsi" w:cstheme="minorHAnsi"/>
          <w:sz w:val="22"/>
          <w:vertAlign w:val="subscript"/>
        </w:rPr>
        <w:t>8</w:t>
      </w:r>
      <w:r w:rsidRPr="00D97B1F">
        <w:rPr>
          <w:rFonts w:asciiTheme="minorHAnsi" w:hAnsiTheme="minorHAnsi" w:cstheme="minorHAnsi"/>
          <w:sz w:val="22"/>
        </w:rPr>
        <w:t xml:space="preserve"> alkyl chain</w:t>
      </w:r>
    </w:p>
    <w:p w14:paraId="074A950A" w14:textId="53C1D49C" w:rsidR="00D97B1F" w:rsidRPr="00D97B1F" w:rsidRDefault="00D97B1F" w:rsidP="00D97B1F">
      <w:pPr>
        <w:snapToGrid w:val="0"/>
        <w:jc w:val="left"/>
        <w:rPr>
          <w:rFonts w:asciiTheme="minorHAnsi" w:hAnsiTheme="minorHAnsi" w:cstheme="minorHAnsi"/>
          <w:sz w:val="22"/>
        </w:rPr>
      </w:pPr>
      <w:r w:rsidRPr="00D97B1F">
        <w:rPr>
          <w:rFonts w:asciiTheme="minorHAnsi" w:hAnsiTheme="minorHAnsi" w:cstheme="minorHAnsi"/>
          <w:sz w:val="22"/>
        </w:rPr>
        <w:t>R</w:t>
      </w:r>
      <w:r w:rsidRPr="00D97B1F">
        <w:rPr>
          <w:rFonts w:asciiTheme="minorHAnsi" w:hAnsiTheme="minorHAnsi" w:cstheme="minorHAnsi"/>
          <w:sz w:val="22"/>
          <w:vertAlign w:val="subscript"/>
        </w:rPr>
        <w:t>2</w:t>
      </w:r>
      <w:r w:rsidRPr="00D97B1F">
        <w:rPr>
          <w:rFonts w:asciiTheme="minorHAnsi" w:hAnsiTheme="minorHAnsi" w:cstheme="minorHAnsi"/>
          <w:sz w:val="22"/>
        </w:rPr>
        <w:t>= H (EO), CH</w:t>
      </w:r>
      <w:r w:rsidRPr="00D97B1F">
        <w:rPr>
          <w:rFonts w:asciiTheme="minorHAnsi" w:hAnsiTheme="minorHAnsi" w:cstheme="minorHAnsi"/>
          <w:sz w:val="22"/>
          <w:vertAlign w:val="subscript"/>
        </w:rPr>
        <w:t>3</w:t>
      </w:r>
      <w:r w:rsidRPr="00D97B1F">
        <w:rPr>
          <w:rFonts w:asciiTheme="minorHAnsi" w:hAnsiTheme="minorHAnsi" w:cstheme="minorHAnsi"/>
          <w:sz w:val="22"/>
        </w:rPr>
        <w:t xml:space="preserve"> (PO), CH</w:t>
      </w:r>
      <w:r w:rsidRPr="00D97B1F">
        <w:rPr>
          <w:rFonts w:asciiTheme="minorHAnsi" w:hAnsiTheme="minorHAnsi" w:cstheme="minorHAnsi"/>
          <w:sz w:val="22"/>
          <w:vertAlign w:val="subscript"/>
        </w:rPr>
        <w:t>2</w:t>
      </w:r>
      <w:r w:rsidRPr="00D97B1F">
        <w:rPr>
          <w:rFonts w:asciiTheme="minorHAnsi" w:hAnsiTheme="minorHAnsi" w:cstheme="minorHAnsi"/>
          <w:sz w:val="22"/>
        </w:rPr>
        <w:t>-CH</w:t>
      </w:r>
      <w:r w:rsidRPr="00D97B1F">
        <w:rPr>
          <w:rFonts w:asciiTheme="minorHAnsi" w:hAnsiTheme="minorHAnsi" w:cstheme="minorHAnsi"/>
          <w:sz w:val="22"/>
          <w:vertAlign w:val="subscript"/>
        </w:rPr>
        <w:t>3</w:t>
      </w:r>
      <w:r w:rsidRPr="00D97B1F">
        <w:rPr>
          <w:rFonts w:asciiTheme="minorHAnsi" w:hAnsiTheme="minorHAnsi" w:cstheme="minorHAnsi"/>
          <w:sz w:val="22"/>
        </w:rPr>
        <w:t xml:space="preserve"> (BO)</w:t>
      </w:r>
    </w:p>
    <w:p w14:paraId="19A33B98" w14:textId="53446770" w:rsidR="00494981" w:rsidRPr="00882985" w:rsidRDefault="00494981" w:rsidP="002759D2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82985">
        <w:rPr>
          <w:rFonts w:asciiTheme="minorHAnsi" w:eastAsia="MS PGothic" w:hAnsiTheme="minorHAnsi"/>
          <w:b/>
          <w:color w:val="000000"/>
          <w:szCs w:val="18"/>
          <w:lang w:val="en-US"/>
        </w:rPr>
        <w:t>Figure 1.</w:t>
      </w:r>
      <w:r w:rsidRPr="00882985">
        <w:rPr>
          <w:rFonts w:asciiTheme="minorHAnsi" w:eastAsia="MS PGothic" w:hAnsiTheme="minorHAnsi"/>
          <w:color w:val="000000"/>
          <w:szCs w:val="18"/>
          <w:lang w:val="en-US"/>
        </w:rPr>
        <w:t xml:space="preserve"> Reaction scheme.</w:t>
      </w:r>
    </w:p>
    <w:p w14:paraId="47FCC0C4" w14:textId="642AB069" w:rsidR="00BF5726" w:rsidRPr="00BF5726" w:rsidRDefault="00BF5726" w:rsidP="00BF5726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As described by S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mith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CC4D6E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ZOTERO_ITEM CSL_CITATION {"citationID":"wKq3cChl","properties":{"formattedCitation":"[1]","plainCitation":"[1]","noteIndex":0},"citationItems":[{"id":242,"uris":["http://zotero.org/users/2346741/items/F8ESJJP6"],"uri":["http://zotero.org/users/2346741/items/F8ESJJP6"],"itemData":{"id":242,"type":"article-journal","title":"The mechanism of the crosslinking of epoxide resins by amines","container-title":"Polymer","page":"95-108","volume":"2","author":[{"family":"Smith","given":"Ieuan T."}],"issued":{"date-parts":[["1961"]]}}}],"schema":"https://github.com/citation-style-language/schema/raw/master/csl-citation.json"} </w:instrTex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CC4D6E" w:rsidRPr="00CC4D6E">
        <w:rPr>
          <w:rFonts w:ascii="Calibri" w:hAnsi="Calibri" w:cs="Calibri"/>
          <w:sz w:val="22"/>
        </w:rPr>
        <w:t>[1]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reaction 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catalyzed by alcohol groups</w:t>
      </w:r>
      <w:r w:rsidR="00B46A56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such as the formed products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Sundaram and co-worker f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>ound that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butylene- (BO), propylene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>-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(PO), and ethylene oxide (EO)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react with organic amine</w:t>
      </w:r>
      <w:r w:rsidR="00D41062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346C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an aqueous phase 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following the same mechanism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CC4D6E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ZOTERO_ITEM CSL_CITATION {"citationID":"wTZgRcfZ","properties":{"formattedCitation":"[2]","plainCitation":"[2]","noteIndex":0},"citationItems":[{"id":101,"uris":["http://zotero.org/users/2346741/items/AHAVZFAG"],"uri":["http://zotero.org/users/2346741/items/AHAVZFAG"],"itemData":{"id":101,"type":"article-journal","title":"Kinetics of reactions of amines with alkene oxides","container-title":"Bulletin of the chemical society of Japan","page":"3141–3147","volume":"42","issue":"11","source":"Google Scholar","author":[{"family":"Sundaram","given":"P. K."},{"family":"Sharma","given":"M. M."}],"issued":{"date-parts":[["1969"]]}}}],"schema":"https://github.com/citation-style-language/schema/raw/master/csl-citation.json"} </w:instrTex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CC4D6E" w:rsidRPr="00CC4D6E">
        <w:rPr>
          <w:rFonts w:ascii="Calibri" w:hAnsi="Calibri" w:cs="Calibri"/>
          <w:sz w:val="22"/>
        </w:rPr>
        <w:t>[2]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Furthermore, the reaction rates decrease for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increasingly substituted 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>epoxides</w:t>
      </w:r>
      <w:r w:rsidR="00B67257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B46A5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this work we aim to proof this correlation for the reaction with fatty amines without the in</w:t>
      </w:r>
      <w:r w:rsidR="008346C0">
        <w:rPr>
          <w:rFonts w:asciiTheme="minorHAnsi" w:eastAsia="MS PGothic" w:hAnsiTheme="minorHAnsi"/>
          <w:color w:val="000000"/>
          <w:sz w:val="22"/>
          <w:szCs w:val="22"/>
          <w:lang w:val="en-US"/>
        </w:rPr>
        <w:t>fluence of external catalysts or</w:t>
      </w:r>
      <w:r w:rsidR="00B46A5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solvents.</w:t>
      </w:r>
    </w:p>
    <w:p w14:paraId="467BFA8A" w14:textId="77777777"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1D476A15" w14:textId="254A2E38" w:rsidR="00B46A56" w:rsidRPr="00554224" w:rsidRDefault="00554224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B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>utylene- (BO) and propylene oxide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(PO)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reacted with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>oc</w:t>
      </w:r>
      <w:r w:rsidR="00D241ED">
        <w:rPr>
          <w:rFonts w:asciiTheme="minorHAnsi" w:eastAsia="MS PGothic" w:hAnsiTheme="minorHAnsi"/>
          <w:color w:val="000000"/>
          <w:sz w:val="22"/>
          <w:szCs w:val="22"/>
          <w:lang w:val="en-US"/>
        </w:rPr>
        <w:t>tylamine (OA)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as model substrate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in a microchannel (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>10 ml). The reaction was carried out at 130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- 160 </w:t>
      </w:r>
      <w:r w:rsidR="003D43D0">
        <w:rPr>
          <w:rFonts w:ascii="MS PGothic" w:eastAsia="MS PGothic" w:hAnsi="MS PGothic" w:hint="eastAsia"/>
          <w:color w:val="000000"/>
          <w:sz w:val="22"/>
          <w:szCs w:val="22"/>
          <w:lang w:val="en-US"/>
        </w:rPr>
        <w:t>º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>C and pressurized to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10 bar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data was collected by the switch flow method.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EO the 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>system was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>due to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safety reasons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built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inside 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>a glovebox with a set pressure of 60 bar. The products</w:t>
      </w:r>
      <w:r w:rsidR="003D43D0" w:rsidRP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</w:t>
      </w:r>
      <w:r w:rsidR="003D43D0" w:rsidRP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analyzed by GC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>, NMR</w:t>
      </w:r>
      <w:r w:rsidR="003D43D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FTIR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14:paraId="57BD7B53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lastRenderedPageBreak/>
        <w:t>3. Results and discussion</w:t>
      </w:r>
    </w:p>
    <w:p w14:paraId="1B30F4DF" w14:textId="16DB2B45" w:rsidR="00704BDF" w:rsidRPr="008D0BEB" w:rsidRDefault="009878A0" w:rsidP="00130516">
      <w:pPr>
        <w:tabs>
          <w:tab w:val="clear" w:pos="7100"/>
        </w:tabs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For the r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eaction of PO with OA </w:t>
      </w:r>
      <w:r w:rsidR="008346C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experimental data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collected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flow 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(Figure 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>2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). </w:t>
      </w:r>
      <w:r w:rsidR="006A242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Based on preliminarily experimental data </w:t>
      </w:r>
      <w:r w:rsidR="001616B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kinetic model was </w:t>
      </w:r>
      <w:r w:rsidR="00D5000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fitted. </w:t>
      </w:r>
      <w:r w:rsidR="00CA77B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overall reaction for PO was 1.5 </w:t>
      </w:r>
      <w:r w:rsidR="009A14E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times </w:t>
      </w:r>
      <w:r w:rsidR="00CA77B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as fast as for BO. It is expected </w:t>
      </w:r>
      <w:r w:rsidR="008346C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EO </w:t>
      </w:r>
      <w:r w:rsidR="001661F0">
        <w:rPr>
          <w:rFonts w:asciiTheme="minorHAnsi" w:eastAsia="MS PGothic" w:hAnsiTheme="minorHAnsi"/>
          <w:color w:val="000000"/>
          <w:sz w:val="22"/>
          <w:szCs w:val="22"/>
          <w:lang w:val="en-US"/>
        </w:rPr>
        <w:t>an increase in rate</w:t>
      </w:r>
      <w:r w:rsidR="00CA77B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 at least a factor 2 compared to PO. </w:t>
      </w:r>
      <w:r w:rsidR="007005A1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reaction proceeds slowly until</w:t>
      </w:r>
      <w:r w:rsidR="00CA77B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significant amounts of SEC are formed. This could be avoided by using a CSTR or recycle system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further increase the process efficiency</w:t>
      </w:r>
      <w:r w:rsidR="00CA77B1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1025D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Compared to the industrial process the continuous set-up is superior due to the 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higher saturation </w:t>
      </w:r>
      <w:r w:rsidR="001025D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of 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1025D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amine with </w:t>
      </w:r>
      <w:r w:rsidR="002759D2">
        <w:rPr>
          <w:rFonts w:asciiTheme="minorHAnsi" w:eastAsia="MS PGothic" w:hAnsiTheme="minorHAnsi"/>
          <w:color w:val="000000"/>
          <w:sz w:val="22"/>
          <w:szCs w:val="22"/>
          <w:lang w:val="en-US"/>
        </w:rPr>
        <w:t>epoxides.</w:t>
      </w:r>
    </w:p>
    <w:p w14:paraId="402EE10F" w14:textId="77777777" w:rsidR="00704BDF" w:rsidRPr="00DE0019" w:rsidRDefault="001616BE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  <w:r>
        <w:rPr>
          <w:noProof/>
          <w:lang w:val="en-US"/>
        </w:rPr>
        <w:drawing>
          <wp:inline distT="0" distB="0" distL="0" distR="0" wp14:anchorId="7A365689" wp14:editId="11A2B93D">
            <wp:extent cx="2639699" cy="1980000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 flo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9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CD251" w14:textId="23224DE3" w:rsidR="00704BDF" w:rsidRPr="00DE0019" w:rsidRDefault="00704BDF" w:rsidP="00CC4D6E">
      <w:pPr>
        <w:pStyle w:val="Nessunaspaziatura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 xml:space="preserve">Figure </w:t>
      </w:r>
      <w:r w:rsidR="00494981">
        <w:rPr>
          <w:rFonts w:asciiTheme="minorHAnsi" w:eastAsia="MS PGothic" w:hAnsiTheme="minorHAnsi"/>
          <w:b/>
          <w:color w:val="000000"/>
          <w:szCs w:val="18"/>
          <w:lang w:val="en-US"/>
        </w:rPr>
        <w:t>2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="00882985">
        <w:rPr>
          <w:rFonts w:asciiTheme="minorHAnsi" w:eastAsia="MS PGothic" w:hAnsiTheme="minorHAnsi"/>
          <w:color w:val="000000"/>
          <w:szCs w:val="18"/>
          <w:lang w:val="en-US"/>
        </w:rPr>
        <w:t xml:space="preserve">Exemplary </w:t>
      </w:r>
      <w:r w:rsidR="00882985">
        <w:rPr>
          <w:lang w:val="en-US"/>
        </w:rPr>
        <w:t>r</w:t>
      </w:r>
      <w:r w:rsidR="009878A0">
        <w:rPr>
          <w:lang w:val="en-US"/>
        </w:rPr>
        <w:t xml:space="preserve">eaction of PO with OA </w:t>
      </w:r>
      <w:r w:rsidR="001661F0">
        <w:rPr>
          <w:lang w:val="en-US"/>
        </w:rPr>
        <w:t xml:space="preserve">in a 1/1 ratio </w:t>
      </w:r>
      <w:r w:rsidR="009878A0">
        <w:rPr>
          <w:lang w:val="en-US"/>
        </w:rPr>
        <w:t>at</w:t>
      </w:r>
      <w:r w:rsidR="009878A0" w:rsidRPr="00EC3580">
        <w:rPr>
          <w:lang w:val="en-US"/>
        </w:rPr>
        <w:t xml:space="preserve"> 140 </w:t>
      </w:r>
      <w:r w:rsidR="009878A0" w:rsidRPr="00EC3580">
        <w:rPr>
          <w:rFonts w:ascii="MS PGothic" w:eastAsia="MS PGothic" w:hAnsi="MS PGothic" w:hint="eastAsia"/>
          <w:lang w:val="en-US"/>
        </w:rPr>
        <w:t>º</w:t>
      </w:r>
      <w:r w:rsidR="009878A0" w:rsidRPr="00EC3580">
        <w:rPr>
          <w:lang w:val="en-US"/>
        </w:rPr>
        <w:t xml:space="preserve">C and </w:t>
      </w:r>
      <w:r w:rsidR="00882985">
        <w:rPr>
          <w:lang w:val="en-US"/>
        </w:rPr>
        <w:t xml:space="preserve">10 </w:t>
      </w:r>
      <w:r w:rsidR="006A2424">
        <w:rPr>
          <w:lang w:val="en-US"/>
        </w:rPr>
        <w:t>bar.</w:t>
      </w:r>
    </w:p>
    <w:p w14:paraId="0C9D4D6A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09AF82C6" w14:textId="09FA4AA8" w:rsidR="00704BDF" w:rsidRPr="008D0BEB" w:rsidRDefault="00CC4D6E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kinetic model 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>fitting the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experimental data 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</w:t>
      </w:r>
      <w:r w:rsidR="007005A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reaction of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BO, PO, </w:t>
      </w:r>
      <w:r w:rsidR="007005A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EO</w:t>
      </w:r>
      <w:r w:rsidR="008346C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with amines</w:t>
      </w:r>
      <w:r w:rsidR="007005A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4B1A2D">
        <w:rPr>
          <w:rFonts w:asciiTheme="minorHAnsi" w:eastAsia="MS PGothic" w:hAnsiTheme="minorHAnsi"/>
          <w:color w:val="000000"/>
          <w:sz w:val="22"/>
          <w:szCs w:val="22"/>
          <w:lang w:val="en-US"/>
        </w:rPr>
        <w:t>was found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shows a rate dependency towards the substitut</w:t>
      </w:r>
      <w:r w:rsidR="00B46A56">
        <w:rPr>
          <w:rFonts w:asciiTheme="minorHAnsi" w:eastAsia="MS PGothic" w:hAnsiTheme="minorHAnsi"/>
          <w:color w:val="000000"/>
          <w:sz w:val="22"/>
          <w:szCs w:val="22"/>
          <w:lang w:val="en-US"/>
        </w:rPr>
        <w:t>ion degree.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kinetic </w:t>
      </w:r>
      <w:r w:rsidR="001661F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data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collected </w:t>
      </w:r>
      <w:r w:rsidR="001661F0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 of high importance for the intensification of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industrial process. 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>Using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continuous </w:t>
      </w:r>
      <w:r w:rsidR="0088298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flow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system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intrinsic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safety risks </w:t>
      </w:r>
      <w:r w:rsidR="005F6A20">
        <w:rPr>
          <w:rFonts w:asciiTheme="minorHAnsi" w:eastAsia="MS PGothic" w:hAnsiTheme="minorHAnsi"/>
          <w:color w:val="000000"/>
          <w:sz w:val="22"/>
          <w:szCs w:val="22"/>
          <w:lang w:val="en-US"/>
        </w:rPr>
        <w:t>associated to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process could be overcome and different options for advanced process engineering can easily be tested and predicted. </w:t>
      </w:r>
    </w:p>
    <w:p w14:paraId="2D38A04D" w14:textId="77777777" w:rsidR="00704BDF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0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14:paraId="706A708D" w14:textId="77777777" w:rsidR="00CC4D6E" w:rsidRPr="00CC4D6E" w:rsidRDefault="00CC4D6E" w:rsidP="00CC4D6E">
      <w:pPr>
        <w:pStyle w:val="Bibliografia"/>
        <w:rPr>
          <w:rFonts w:ascii="Calibri" w:hAnsi="Calibri" w:cs="Calibri"/>
          <w:sz w:val="20"/>
        </w:rPr>
      </w:pPr>
      <w:r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  <w:fldChar w:fldCharType="begin"/>
      </w:r>
      <w:r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  <w:instrText xml:space="preserve"> ADDIN ZOTERO_BIBL {"uncited":[],"omitted":[],"custom":[]} CSL_BIBLIOGRAPHY </w:instrText>
      </w:r>
      <w:r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  <w:fldChar w:fldCharType="separate"/>
      </w:r>
      <w:r w:rsidRPr="00CC4D6E">
        <w:rPr>
          <w:rFonts w:ascii="Calibri" w:hAnsi="Calibri" w:cs="Calibri"/>
          <w:sz w:val="20"/>
        </w:rPr>
        <w:t>[1]</w:t>
      </w:r>
      <w:r w:rsidRPr="00CC4D6E">
        <w:rPr>
          <w:rFonts w:ascii="Calibri" w:hAnsi="Calibri" w:cs="Calibri"/>
          <w:sz w:val="20"/>
        </w:rPr>
        <w:tab/>
        <w:t xml:space="preserve">I. T. Smith, </w:t>
      </w:r>
      <w:r w:rsidRPr="00CC4D6E">
        <w:rPr>
          <w:rFonts w:ascii="Calibri" w:hAnsi="Calibri" w:cs="Calibri"/>
          <w:iCs/>
          <w:sz w:val="20"/>
        </w:rPr>
        <w:t>Polymer</w:t>
      </w:r>
      <w:r w:rsidRPr="00CC4D6E">
        <w:rPr>
          <w:rFonts w:ascii="Calibri" w:hAnsi="Calibri" w:cs="Calibri"/>
          <w:sz w:val="20"/>
        </w:rPr>
        <w:t>, vol. 2</w:t>
      </w:r>
      <w:r>
        <w:rPr>
          <w:rFonts w:ascii="Calibri" w:hAnsi="Calibri" w:cs="Calibri"/>
          <w:sz w:val="20"/>
        </w:rPr>
        <w:t xml:space="preserve"> (1961)</w:t>
      </w:r>
      <w:r w:rsidRPr="00CC4D6E">
        <w:rPr>
          <w:rFonts w:ascii="Calibri" w:hAnsi="Calibri" w:cs="Calibri"/>
          <w:sz w:val="20"/>
        </w:rPr>
        <w:t xml:space="preserve"> 95–108</w:t>
      </w:r>
      <w:r>
        <w:rPr>
          <w:rFonts w:ascii="Calibri" w:hAnsi="Calibri" w:cs="Calibri"/>
          <w:sz w:val="20"/>
        </w:rPr>
        <w:t>.</w:t>
      </w:r>
    </w:p>
    <w:p w14:paraId="3E6CD579" w14:textId="77777777" w:rsidR="00CC4D6E" w:rsidRPr="00CC4D6E" w:rsidRDefault="00CC4D6E" w:rsidP="00CC4D6E">
      <w:pPr>
        <w:pStyle w:val="Bibliografia"/>
        <w:rPr>
          <w:rFonts w:ascii="Calibri" w:hAnsi="Calibri" w:cs="Calibri"/>
          <w:sz w:val="20"/>
        </w:rPr>
      </w:pPr>
      <w:r w:rsidRPr="00CC4D6E">
        <w:rPr>
          <w:rFonts w:ascii="Calibri" w:hAnsi="Calibri" w:cs="Calibri"/>
          <w:sz w:val="20"/>
        </w:rPr>
        <w:t>[2]</w:t>
      </w:r>
      <w:r w:rsidRPr="00CC4D6E">
        <w:rPr>
          <w:rFonts w:ascii="Calibri" w:hAnsi="Calibri" w:cs="Calibri"/>
          <w:sz w:val="20"/>
        </w:rPr>
        <w:tab/>
        <w:t xml:space="preserve">P. K. Sundaram and M. M. Sharma, </w:t>
      </w:r>
      <w:r w:rsidRPr="00CC4D6E">
        <w:rPr>
          <w:rFonts w:ascii="Calibri" w:hAnsi="Calibri" w:cs="Calibri"/>
          <w:iCs/>
          <w:sz w:val="20"/>
        </w:rPr>
        <w:t>Bull. Chem. Soc. Jpn.</w:t>
      </w:r>
      <w:r w:rsidRPr="00CC4D6E">
        <w:rPr>
          <w:rFonts w:ascii="Calibri" w:hAnsi="Calibri" w:cs="Calibri"/>
          <w:sz w:val="20"/>
        </w:rPr>
        <w:t xml:space="preserve"> vol. 42 no. 11</w:t>
      </w:r>
      <w:r>
        <w:rPr>
          <w:rFonts w:ascii="Calibri" w:hAnsi="Calibri" w:cs="Calibri"/>
          <w:sz w:val="20"/>
        </w:rPr>
        <w:t>(1969)</w:t>
      </w:r>
      <w:r w:rsidRPr="00CC4D6E">
        <w:rPr>
          <w:rFonts w:ascii="Calibri" w:hAnsi="Calibri" w:cs="Calibri"/>
          <w:sz w:val="20"/>
        </w:rPr>
        <w:t xml:space="preserve"> 3141–3147</w:t>
      </w:r>
      <w:r>
        <w:rPr>
          <w:rFonts w:ascii="Calibri" w:hAnsi="Calibri" w:cs="Calibri"/>
          <w:sz w:val="20"/>
        </w:rPr>
        <w:t>.</w:t>
      </w:r>
    </w:p>
    <w:p w14:paraId="24AF755E" w14:textId="588C477C" w:rsidR="00704BDF" w:rsidRPr="00704BDF" w:rsidRDefault="00CC4D6E" w:rsidP="002759D2">
      <w:pPr>
        <w:snapToGrid w:val="0"/>
        <w:spacing w:before="240" w:line="300" w:lineRule="auto"/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  <w:fldChar w:fldCharType="end"/>
      </w:r>
    </w:p>
    <w:sectPr w:rsidR="00704BDF" w:rsidRPr="00704BD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AC9E" w14:textId="77777777" w:rsidR="00135D95" w:rsidRDefault="00135D95" w:rsidP="004F5E36">
      <w:r>
        <w:separator/>
      </w:r>
    </w:p>
  </w:endnote>
  <w:endnote w:type="continuationSeparator" w:id="0">
    <w:p w14:paraId="0C53352F" w14:textId="77777777" w:rsidR="00135D95" w:rsidRDefault="00135D95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20257" w14:textId="77777777" w:rsidR="00135D95" w:rsidRDefault="00135D95" w:rsidP="004F5E36">
      <w:r>
        <w:separator/>
      </w:r>
    </w:p>
  </w:footnote>
  <w:footnote w:type="continuationSeparator" w:id="0">
    <w:p w14:paraId="4388674B" w14:textId="77777777" w:rsidR="00135D95" w:rsidRDefault="00135D95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72DC" w14:textId="77777777" w:rsidR="004D1162" w:rsidRDefault="00594E9F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A2A987" wp14:editId="754E7DB3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F393E2D" wp14:editId="321331D2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584A" w14:textId="77777777"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56B073A" wp14:editId="16010FEB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46AFFE00" w14:textId="77777777" w:rsidR="00704BDF" w:rsidRDefault="00704BDF">
    <w:pPr>
      <w:pStyle w:val="Intestazione"/>
    </w:pPr>
  </w:p>
  <w:p w14:paraId="68B02E26" w14:textId="77777777" w:rsidR="00704BDF" w:rsidRDefault="00704BDF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C67AA" wp14:editId="59B1AE90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4A"/>
    <w:rsid w:val="000027C0"/>
    <w:rsid w:val="000117CB"/>
    <w:rsid w:val="0003148D"/>
    <w:rsid w:val="00062A9A"/>
    <w:rsid w:val="000853CF"/>
    <w:rsid w:val="000A03B2"/>
    <w:rsid w:val="000D34BE"/>
    <w:rsid w:val="000E03FF"/>
    <w:rsid w:val="000E36F1"/>
    <w:rsid w:val="000E3A73"/>
    <w:rsid w:val="000E404F"/>
    <w:rsid w:val="000E414A"/>
    <w:rsid w:val="001025D1"/>
    <w:rsid w:val="00121EB3"/>
    <w:rsid w:val="00130516"/>
    <w:rsid w:val="0013121F"/>
    <w:rsid w:val="00134DE4"/>
    <w:rsid w:val="00135D95"/>
    <w:rsid w:val="00150E59"/>
    <w:rsid w:val="001616BE"/>
    <w:rsid w:val="001661F0"/>
    <w:rsid w:val="00184AD6"/>
    <w:rsid w:val="001B65C1"/>
    <w:rsid w:val="001C684B"/>
    <w:rsid w:val="001D53FC"/>
    <w:rsid w:val="001F2EC7"/>
    <w:rsid w:val="001F330E"/>
    <w:rsid w:val="002065DB"/>
    <w:rsid w:val="002447EF"/>
    <w:rsid w:val="00251550"/>
    <w:rsid w:val="0027221A"/>
    <w:rsid w:val="002759D2"/>
    <w:rsid w:val="00275B61"/>
    <w:rsid w:val="002D1F12"/>
    <w:rsid w:val="003009B7"/>
    <w:rsid w:val="0030469C"/>
    <w:rsid w:val="003723D4"/>
    <w:rsid w:val="003A7D1C"/>
    <w:rsid w:val="003D43D0"/>
    <w:rsid w:val="0046164A"/>
    <w:rsid w:val="00462DCD"/>
    <w:rsid w:val="00494981"/>
    <w:rsid w:val="004B1A2D"/>
    <w:rsid w:val="004D1162"/>
    <w:rsid w:val="004E4DD6"/>
    <w:rsid w:val="004F5E36"/>
    <w:rsid w:val="005119A5"/>
    <w:rsid w:val="005278B7"/>
    <w:rsid w:val="005346C8"/>
    <w:rsid w:val="00554224"/>
    <w:rsid w:val="00594E9F"/>
    <w:rsid w:val="005B61E6"/>
    <w:rsid w:val="005C77E1"/>
    <w:rsid w:val="005D6A2F"/>
    <w:rsid w:val="005E1A82"/>
    <w:rsid w:val="005F0A28"/>
    <w:rsid w:val="005F0E5E"/>
    <w:rsid w:val="005F6A20"/>
    <w:rsid w:val="00620DEE"/>
    <w:rsid w:val="00625639"/>
    <w:rsid w:val="0064184D"/>
    <w:rsid w:val="00660E3E"/>
    <w:rsid w:val="00662E74"/>
    <w:rsid w:val="006A2424"/>
    <w:rsid w:val="006A4847"/>
    <w:rsid w:val="006A58D2"/>
    <w:rsid w:val="006C5579"/>
    <w:rsid w:val="007005A1"/>
    <w:rsid w:val="00704BDF"/>
    <w:rsid w:val="00736B13"/>
    <w:rsid w:val="007447F3"/>
    <w:rsid w:val="007661C8"/>
    <w:rsid w:val="007D52CD"/>
    <w:rsid w:val="00813288"/>
    <w:rsid w:val="008168FC"/>
    <w:rsid w:val="008346C0"/>
    <w:rsid w:val="008479A2"/>
    <w:rsid w:val="0087637F"/>
    <w:rsid w:val="00882985"/>
    <w:rsid w:val="008A1512"/>
    <w:rsid w:val="008D0BEB"/>
    <w:rsid w:val="008E566E"/>
    <w:rsid w:val="00901EB6"/>
    <w:rsid w:val="009450CE"/>
    <w:rsid w:val="0095164B"/>
    <w:rsid w:val="00960914"/>
    <w:rsid w:val="009878A0"/>
    <w:rsid w:val="00996483"/>
    <w:rsid w:val="009A14E1"/>
    <w:rsid w:val="009E788A"/>
    <w:rsid w:val="009F7A5A"/>
    <w:rsid w:val="00A1763D"/>
    <w:rsid w:val="00A17CEC"/>
    <w:rsid w:val="00A27EF0"/>
    <w:rsid w:val="00A32C39"/>
    <w:rsid w:val="00A76EFC"/>
    <w:rsid w:val="00A9626B"/>
    <w:rsid w:val="00A97F29"/>
    <w:rsid w:val="00AA5FB7"/>
    <w:rsid w:val="00AB0964"/>
    <w:rsid w:val="00AB5957"/>
    <w:rsid w:val="00AE377D"/>
    <w:rsid w:val="00B46A56"/>
    <w:rsid w:val="00B47960"/>
    <w:rsid w:val="00B61DBF"/>
    <w:rsid w:val="00B67257"/>
    <w:rsid w:val="00BC30C9"/>
    <w:rsid w:val="00BE3E58"/>
    <w:rsid w:val="00BF55C3"/>
    <w:rsid w:val="00BF5726"/>
    <w:rsid w:val="00C01616"/>
    <w:rsid w:val="00C0162B"/>
    <w:rsid w:val="00C345B1"/>
    <w:rsid w:val="00C40142"/>
    <w:rsid w:val="00C57182"/>
    <w:rsid w:val="00C655FD"/>
    <w:rsid w:val="00C867B1"/>
    <w:rsid w:val="00C94434"/>
    <w:rsid w:val="00CA1C95"/>
    <w:rsid w:val="00CA5A9C"/>
    <w:rsid w:val="00CA77B1"/>
    <w:rsid w:val="00CC4D6E"/>
    <w:rsid w:val="00CD5FE2"/>
    <w:rsid w:val="00CF3BF3"/>
    <w:rsid w:val="00D02B4C"/>
    <w:rsid w:val="00D241ED"/>
    <w:rsid w:val="00D41062"/>
    <w:rsid w:val="00D5000A"/>
    <w:rsid w:val="00D84576"/>
    <w:rsid w:val="00D97B1F"/>
    <w:rsid w:val="00DE0019"/>
    <w:rsid w:val="00DE264A"/>
    <w:rsid w:val="00E041E7"/>
    <w:rsid w:val="00E23CA1"/>
    <w:rsid w:val="00E334A4"/>
    <w:rsid w:val="00E409A8"/>
    <w:rsid w:val="00E6383A"/>
    <w:rsid w:val="00E7209D"/>
    <w:rsid w:val="00E75377"/>
    <w:rsid w:val="00EA50E1"/>
    <w:rsid w:val="00EA6B82"/>
    <w:rsid w:val="00EE0131"/>
    <w:rsid w:val="00F30C64"/>
    <w:rsid w:val="00F75D21"/>
    <w:rsid w:val="00FB5538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F07C9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unhideWhenUsed/>
    <w:rsid w:val="0003148D"/>
    <w:pPr>
      <w:tabs>
        <w:tab w:val="clear" w:pos="7100"/>
        <w:tab w:val="left" w:pos="384"/>
      </w:tabs>
      <w:spacing w:line="240" w:lineRule="auto"/>
      <w:ind w:left="384" w:hanging="384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locked/>
    <w:rsid w:val="00FB553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locked/>
    <w:rsid w:val="00BF5726"/>
    <w:pPr>
      <w:ind w:left="720"/>
      <w:contextualSpacing/>
    </w:pPr>
  </w:style>
  <w:style w:type="paragraph" w:styleId="Nessunaspaziatura">
    <w:name w:val="No Spacing"/>
    <w:uiPriority w:val="1"/>
    <w:qFormat/>
    <w:locked/>
    <w:rsid w:val="00CC4D6E"/>
    <w:pPr>
      <w:tabs>
        <w:tab w:val="right" w:pos="7100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E7537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F925A-DD4C-4490-91EB-B4DDDABC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Sauro Pierucci</cp:lastModifiedBy>
  <cp:revision>4</cp:revision>
  <cp:lastPrinted>2015-05-12T18:31:00Z</cp:lastPrinted>
  <dcterms:created xsi:type="dcterms:W3CDTF">2019-01-10T14:39:00Z</dcterms:created>
  <dcterms:modified xsi:type="dcterms:W3CDTF">2019-08-21T10:36:00Z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zotero-version="5.0.58"&gt;&lt;session id="Lsuc5SKX"/&gt;&lt;style id="http://www.zotero.org/styles/ieee" locale="en-US"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