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77768" w14:textId="77777777"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6009B0">
          <w:headerReference w:type="default" r:id="rId8"/>
          <w:headerReference w:type="first" r:id="rId9"/>
          <w:type w:val="continuous"/>
          <w:pgSz w:w="11906" w:h="16838" w:code="9"/>
          <w:pgMar w:top="1843" w:right="1418" w:bottom="1276" w:left="1418" w:header="709" w:footer="0" w:gutter="0"/>
          <w:cols w:space="708"/>
          <w:titlePg/>
          <w:docGrid w:linePitch="360"/>
        </w:sectPr>
      </w:pPr>
    </w:p>
    <w:p w14:paraId="7027CB7F" w14:textId="77777777" w:rsidR="00751C97" w:rsidRPr="00DE0019" w:rsidRDefault="00751C97" w:rsidP="00751C97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The development of an </w:t>
      </w:r>
      <w:proofErr w:type="spellStart"/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>exergoeconomic</w:t>
      </w:r>
      <w:proofErr w:type="spellEnd"/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indicator to define the optimum blending fraction in processing crude oils</w:t>
      </w:r>
    </w:p>
    <w:p w14:paraId="387C2E4B" w14:textId="77777777" w:rsidR="00ED3A83" w:rsidRPr="00486C14" w:rsidRDefault="00ED3A83" w:rsidP="00ED3A83">
      <w:pPr>
        <w:snapToGrid w:val="0"/>
        <w:jc w:val="center"/>
        <w:rPr>
          <w:rFonts w:eastAsia="SimSun"/>
          <w:color w:val="000000"/>
          <w:lang w:val="pt-PT" w:eastAsia="zh-CN"/>
        </w:rPr>
      </w:pPr>
      <w:r w:rsidRPr="00486C14">
        <w:rPr>
          <w:rFonts w:asciiTheme="minorHAnsi" w:eastAsia="SimSun" w:hAnsiTheme="minorHAnsi"/>
          <w:color w:val="000000"/>
          <w:sz w:val="24"/>
          <w:szCs w:val="24"/>
          <w:u w:val="single"/>
          <w:lang w:val="pt-PT" w:eastAsia="zh-CN"/>
        </w:rPr>
        <w:t>P. S. O. Silva</w:t>
      </w:r>
      <w:r w:rsidRPr="00486C14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pt-PT" w:eastAsia="zh-CN"/>
        </w:rPr>
        <w:t>1</w:t>
      </w:r>
      <w:r w:rsidRPr="00486C14">
        <w:rPr>
          <w:rFonts w:asciiTheme="minorHAnsi" w:eastAsia="SimSun" w:hAnsiTheme="minorHAnsi"/>
          <w:color w:val="000000"/>
          <w:sz w:val="24"/>
          <w:szCs w:val="24"/>
          <w:lang w:val="pt-PT" w:eastAsia="zh-CN"/>
        </w:rPr>
        <w:t>, F</w:t>
      </w:r>
      <w:r>
        <w:rPr>
          <w:rFonts w:asciiTheme="minorHAnsi" w:eastAsia="SimSun" w:hAnsiTheme="minorHAnsi"/>
          <w:color w:val="000000"/>
          <w:sz w:val="24"/>
          <w:szCs w:val="24"/>
          <w:lang w:val="pt-PT" w:eastAsia="zh-CN"/>
        </w:rPr>
        <w:t>. G.</w:t>
      </w:r>
      <w:r w:rsidRPr="00486C14">
        <w:rPr>
          <w:rFonts w:asciiTheme="minorHAnsi" w:eastAsia="SimSun" w:hAnsiTheme="minorHAnsi"/>
          <w:color w:val="000000"/>
          <w:sz w:val="24"/>
          <w:szCs w:val="24"/>
          <w:lang w:val="pt-PT" w:eastAsia="zh-CN"/>
        </w:rPr>
        <w:t xml:space="preserve"> Martins</w:t>
      </w:r>
      <w:r>
        <w:rPr>
          <w:rFonts w:eastAsia="SimSun"/>
          <w:color w:val="000000"/>
          <w:vertAlign w:val="superscript"/>
          <w:lang w:val="pt-PT" w:eastAsia="zh-CN"/>
        </w:rPr>
        <w:t>1*</w:t>
      </w:r>
    </w:p>
    <w:p w14:paraId="0F08C0CD" w14:textId="77777777" w:rsidR="00ED3A83" w:rsidRPr="00DE0019" w:rsidRDefault="00ED3A83" w:rsidP="00ED3A83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A15B93">
        <w:rPr>
          <w:rFonts w:eastAsia="MS PGothic"/>
          <w:i/>
          <w:iCs/>
          <w:color w:val="000000"/>
          <w:sz w:val="20"/>
          <w:lang w:val="en-US"/>
        </w:rPr>
        <w:t>1</w:t>
      </w:r>
      <w:r w:rsidRP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Pr="00486C1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LEPABE - Laboratory for Process Engineering, Environment, Biotechnology and Energy, Faculty of Engineering, University of Porto, </w:t>
      </w:r>
      <w:proofErr w:type="spellStart"/>
      <w:r w:rsidRPr="00486C1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Rua</w:t>
      </w:r>
      <w:proofErr w:type="spellEnd"/>
      <w:r w:rsidRPr="00486C1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Dr. Roberto Frias, 4200-465 Porto, Portugal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]</w:t>
      </w:r>
    </w:p>
    <w:p w14:paraId="5DD92BDF" w14:textId="77777777" w:rsidR="00ED3A83" w:rsidRPr="00DE0019" w:rsidRDefault="00ED3A83" w:rsidP="00ED3A83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</w:t>
      </w:r>
      <w:r>
        <w:rPr>
          <w:rFonts w:asciiTheme="minorHAnsi" w:eastAsia="MS PGothic" w:hAnsiTheme="minorHAnsi"/>
          <w:bCs/>
          <w:i/>
          <w:iCs/>
          <w:sz w:val="20"/>
          <w:lang w:val="en-US"/>
        </w:rPr>
        <w:t>fgm@fe.up.pt</w:t>
      </w:r>
    </w:p>
    <w:p w14:paraId="1171B36C" w14:textId="77777777"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14:paraId="51FCF46D" w14:textId="2A532EE1" w:rsidR="00704BDF" w:rsidRDefault="00C16BE9" w:rsidP="00802F2C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055D9D">
        <w:rPr>
          <w:rFonts w:asciiTheme="minorHAnsi" w:hAnsiTheme="minorHAnsi"/>
        </w:rPr>
        <w:t>Heav</w:t>
      </w:r>
      <w:r w:rsidR="007E230C" w:rsidRPr="00055D9D">
        <w:rPr>
          <w:rFonts w:asciiTheme="minorHAnsi" w:hAnsiTheme="minorHAnsi"/>
        </w:rPr>
        <w:t>y</w:t>
      </w:r>
      <w:r w:rsidRPr="00055D9D">
        <w:rPr>
          <w:rFonts w:asciiTheme="minorHAnsi" w:hAnsiTheme="minorHAnsi"/>
        </w:rPr>
        <w:t xml:space="preserve"> </w:t>
      </w:r>
      <w:r w:rsidR="00B03653" w:rsidRPr="00055D9D">
        <w:rPr>
          <w:rFonts w:asciiTheme="minorHAnsi" w:hAnsiTheme="minorHAnsi"/>
        </w:rPr>
        <w:t xml:space="preserve">crude </w:t>
      </w:r>
      <w:r w:rsidRPr="00055D9D">
        <w:rPr>
          <w:rFonts w:asciiTheme="minorHAnsi" w:hAnsiTheme="minorHAnsi"/>
        </w:rPr>
        <w:t>oils have</w:t>
      </w:r>
      <w:r w:rsidR="00A8349C">
        <w:rPr>
          <w:rFonts w:asciiTheme="minorHAnsi" w:hAnsiTheme="minorHAnsi"/>
        </w:rPr>
        <w:t xml:space="preserve"> a</w:t>
      </w:r>
      <w:r w:rsidRPr="00055D9D">
        <w:rPr>
          <w:rFonts w:asciiTheme="minorHAnsi" w:hAnsiTheme="minorHAnsi"/>
        </w:rPr>
        <w:t xml:space="preserve"> better exergy efficiency</w:t>
      </w:r>
      <w:r w:rsidR="00031AE3" w:rsidRPr="00055D9D">
        <w:rPr>
          <w:rFonts w:asciiTheme="minorHAnsi" w:hAnsiTheme="minorHAnsi"/>
        </w:rPr>
        <w:t>.</w:t>
      </w:r>
    </w:p>
    <w:p w14:paraId="543A3691" w14:textId="2BCBA0C2" w:rsidR="00A8349C" w:rsidRPr="00055D9D" w:rsidRDefault="00A8349C" w:rsidP="00802F2C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t>Conventional</w:t>
      </w:r>
      <w:r w:rsidRPr="00055D9D">
        <w:rPr>
          <w:rFonts w:asciiTheme="minorHAnsi" w:hAnsiTheme="minorHAnsi"/>
        </w:rPr>
        <w:t xml:space="preserve"> crude oils are more profitable</w:t>
      </w:r>
      <w:r>
        <w:rPr>
          <w:rFonts w:asciiTheme="minorHAnsi" w:hAnsiTheme="minorHAnsi"/>
        </w:rPr>
        <w:t>.</w:t>
      </w:r>
    </w:p>
    <w:p w14:paraId="7039CA4B" w14:textId="6F74FB13" w:rsidR="00704BDF" w:rsidRPr="00055D9D" w:rsidRDefault="004D0EA3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055D9D">
        <w:rPr>
          <w:rFonts w:asciiTheme="minorHAnsi" w:hAnsiTheme="minorHAnsi"/>
          <w:noProof/>
        </w:rPr>
        <w:t xml:space="preserve">An indicator </w:t>
      </w:r>
      <w:proofErr w:type="gramStart"/>
      <w:r w:rsidRPr="00055D9D">
        <w:rPr>
          <w:rFonts w:asciiTheme="minorHAnsi" w:hAnsiTheme="minorHAnsi"/>
          <w:noProof/>
        </w:rPr>
        <w:t>is</w:t>
      </w:r>
      <w:r w:rsidRPr="00055D9D">
        <w:rPr>
          <w:rFonts w:asciiTheme="minorHAnsi" w:hAnsiTheme="minorHAnsi"/>
        </w:rPr>
        <w:t xml:space="preserve"> proposed</w:t>
      </w:r>
      <w:proofErr w:type="gramEnd"/>
      <w:r w:rsidRPr="00055D9D">
        <w:rPr>
          <w:rFonts w:asciiTheme="minorHAnsi" w:hAnsiTheme="minorHAnsi"/>
        </w:rPr>
        <w:t xml:space="preserve"> to achieve a compromise between sustainability and </w:t>
      </w:r>
      <w:r w:rsidRPr="00055D9D">
        <w:rPr>
          <w:rFonts w:asciiTheme="minorHAnsi" w:hAnsiTheme="minorHAnsi"/>
          <w:noProof/>
        </w:rPr>
        <w:t>profitability</w:t>
      </w:r>
      <w:r w:rsidRPr="00055D9D">
        <w:rPr>
          <w:rFonts w:asciiTheme="minorHAnsi" w:hAnsiTheme="minorHAnsi"/>
        </w:rPr>
        <w:t>.</w:t>
      </w:r>
    </w:p>
    <w:p w14:paraId="75D10BC6" w14:textId="77777777" w:rsidR="00ED3A83" w:rsidRPr="00EC66CC" w:rsidRDefault="00ED3A83" w:rsidP="003E4D56">
      <w:pPr>
        <w:pStyle w:val="AbstractBody"/>
        <w:ind w:left="1440"/>
        <w:rPr>
          <w:rFonts w:asciiTheme="minorHAnsi" w:hAnsiTheme="minorHAnsi"/>
        </w:rPr>
      </w:pPr>
    </w:p>
    <w:p w14:paraId="00F839FE" w14:textId="77777777"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14:paraId="5D3AD97A" w14:textId="38FF1217" w:rsidR="00FD3F09" w:rsidRDefault="003E4D56" w:rsidP="00BE648F">
      <w:pPr>
        <w:snapToGrid w:val="0"/>
        <w:spacing w:after="120"/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reserves of typical</w:t>
      </w:r>
      <w:r w:rsidR="00FD3F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crude oil</w:t>
      </w:r>
      <w:r w:rsidR="00616876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(CO)</w:t>
      </w:r>
      <w:r w:rsidR="00FD3F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are </w:t>
      </w:r>
      <w:r w:rsidR="00542203">
        <w:rPr>
          <w:rFonts w:asciiTheme="minorHAnsi" w:eastAsia="MS PGothic" w:hAnsiTheme="minorHAnsi"/>
          <w:color w:val="000000"/>
          <w:sz w:val="22"/>
          <w:szCs w:val="22"/>
          <w:lang w:val="en-US"/>
        </w:rPr>
        <w:t>scarce,</w:t>
      </w:r>
      <w:r w:rsidR="00FD3F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542203">
        <w:rPr>
          <w:rFonts w:asciiTheme="minorHAnsi" w:eastAsia="MS PGothic" w:hAnsiTheme="minorHAnsi"/>
          <w:color w:val="000000"/>
          <w:sz w:val="22"/>
          <w:szCs w:val="22"/>
          <w:lang w:val="en-US"/>
        </w:rPr>
        <w:t>although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</w:t>
      </w:r>
      <w:r w:rsidR="00FD3F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soci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ety still heavily depends on them.</w:t>
      </w:r>
      <w:r w:rsidR="00303BE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</w:t>
      </w:r>
      <w:r w:rsidR="00FD3F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society is consuming this resource in a non-sustainable </w:t>
      </w:r>
      <w:proofErr w:type="gramStart"/>
      <w:r w:rsidR="00FD3F09">
        <w:rPr>
          <w:rFonts w:asciiTheme="minorHAnsi" w:eastAsia="MS PGothic" w:hAnsiTheme="minorHAnsi"/>
          <w:color w:val="000000"/>
          <w:sz w:val="22"/>
          <w:szCs w:val="22"/>
          <w:lang w:val="en-US"/>
        </w:rPr>
        <w:t>wa</w:t>
      </w:r>
      <w:bookmarkStart w:id="0" w:name="_GoBack"/>
      <w:bookmarkEnd w:id="0"/>
      <w:r w:rsidR="00FD3F09">
        <w:rPr>
          <w:rFonts w:asciiTheme="minorHAnsi" w:eastAsia="MS PGothic" w:hAnsiTheme="minorHAnsi"/>
          <w:color w:val="000000"/>
          <w:sz w:val="22"/>
          <w:szCs w:val="22"/>
          <w:lang w:val="en-US"/>
        </w:rPr>
        <w:t>y which</w:t>
      </w:r>
      <w:proofErr w:type="gramEnd"/>
      <w:r w:rsidR="00FD3F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will make it collapse. </w:t>
      </w:r>
      <w:proofErr w:type="gramStart"/>
      <w:r w:rsidR="00303BE9">
        <w:rPr>
          <w:rFonts w:asciiTheme="minorHAnsi" w:eastAsia="MS PGothic" w:hAnsiTheme="minorHAnsi"/>
          <w:color w:val="000000"/>
          <w:sz w:val="22"/>
          <w:szCs w:val="22"/>
          <w:lang w:val="en-US"/>
        </w:rPr>
        <w:t>70%</w:t>
      </w:r>
      <w:proofErr w:type="gramEnd"/>
      <w:r w:rsidR="00303BE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of the CO</w:t>
      </w:r>
      <w:r w:rsidR="00FD3F09" w:rsidRPr="005E1F8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resources are available as heavy </w:t>
      </w:r>
      <w:r w:rsid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>CO</w:t>
      </w:r>
      <w:r w:rsidR="00FD3F09" w:rsidRPr="005E1F8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oil sands and </w:t>
      </w:r>
      <w:proofErr w:type="spellStart"/>
      <w:r w:rsidR="00FD3F09" w:rsidRPr="005E1F81">
        <w:rPr>
          <w:rFonts w:asciiTheme="minorHAnsi" w:eastAsia="MS PGothic" w:hAnsiTheme="minorHAnsi"/>
          <w:color w:val="000000"/>
          <w:sz w:val="22"/>
          <w:szCs w:val="22"/>
          <w:lang w:val="en-US"/>
        </w:rPr>
        <w:t>bitumens</w:t>
      </w:r>
      <w:proofErr w:type="spellEnd"/>
      <w:r w:rsidR="00FD3F09" w:rsidRPr="005E1F8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which are less attractive to refineries. </w:t>
      </w:r>
      <w:r w:rsidR="00FD3F09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Refining these types of </w:t>
      </w:r>
      <w:r w:rsidR="00B03653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>CO</w:t>
      </w:r>
      <w:r w:rsidR="00FD3F09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303BE9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>is</w:t>
      </w:r>
      <w:r w:rsidR="00FD3F09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more expensive due to </w:t>
      </w:r>
      <w:r w:rsidR="00542203" w:rsidRPr="00055D9D">
        <w:rPr>
          <w:rFonts w:asciiTheme="minorHAnsi" w:eastAsia="MS PGothic" w:hAnsiTheme="minorHAnsi"/>
          <w:noProof/>
          <w:color w:val="000000"/>
          <w:sz w:val="22"/>
          <w:szCs w:val="22"/>
          <w:lang w:val="en-US"/>
        </w:rPr>
        <w:t>their</w:t>
      </w:r>
      <w:r w:rsidR="00FD3F09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high viscosity and high sulfur content</w:t>
      </w:r>
      <w:r w:rsidR="00303BE9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but they are very cheap</w:t>
      </w:r>
      <w:r w:rsidR="00FD3F09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A677C1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Refineries must often blend different types of </w:t>
      </w:r>
      <w:r w:rsidR="00B03653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>CO</w:t>
      </w:r>
      <w:r w:rsidR="00A677C1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achieve the desired products specifications. </w:t>
      </w:r>
      <w:r w:rsidR="00BE648F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>An</w:t>
      </w:r>
      <w:r w:rsidR="00303BE9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objective of</w:t>
      </w:r>
      <w:r w:rsidR="00BC1375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blending is using </w:t>
      </w:r>
      <w:r w:rsidR="00303BE9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>heavy CO without co</w:t>
      </w:r>
      <w:r w:rsidR="00BE648F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mpromising the </w:t>
      </w:r>
      <w:r w:rsidR="00EA5969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>quality of products</w:t>
      </w:r>
      <w:r w:rsidR="00303BE9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C1375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>while increasing the</w:t>
      </w:r>
      <w:r w:rsidR="00303BE9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profitability and sustainability of the </w:t>
      </w:r>
      <w:r w:rsidR="00B03653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>refining processes</w:t>
      </w:r>
      <w:r w:rsidR="00303BE9" w:rsidRPr="00055D9D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14:paraId="11DC6B8C" w14:textId="77777777" w:rsidR="00704BDF" w:rsidRPr="008D0BEB" w:rsidRDefault="00704BDF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14:paraId="50168FCF" w14:textId="44881126" w:rsidR="00704BDF" w:rsidRDefault="00542203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In this </w:t>
      </w:r>
      <w:r w:rsidRPr="00542203">
        <w:rPr>
          <w:rFonts w:asciiTheme="minorHAnsi" w:eastAsia="MS PGothic" w:hAnsiTheme="minorHAnsi"/>
          <w:color w:val="000000"/>
          <w:sz w:val="22"/>
          <w:szCs w:val="22"/>
          <w:lang w:val="en-US"/>
        </w:rPr>
        <w:t>work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, it is evaluated the impact of the blend composition on the performance of the</w:t>
      </w:r>
      <w:r w:rsidR="00BE648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topping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distillation </w:t>
      </w:r>
      <w:r w:rsidR="00BE648F">
        <w:rPr>
          <w:rFonts w:asciiTheme="minorHAnsi" w:eastAsia="MS PGothic" w:hAnsiTheme="minorHAnsi"/>
          <w:color w:val="000000"/>
          <w:sz w:val="22"/>
          <w:szCs w:val="22"/>
          <w:lang w:val="en-US"/>
        </w:rPr>
        <w:t>unit</w:t>
      </w:r>
      <w:r w:rsidR="00355923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355923" w:rsidRPr="0035592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35592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blend considers the </w:t>
      </w:r>
      <w:proofErr w:type="gramStart"/>
      <w:r w:rsidR="00DB0E1E">
        <w:rPr>
          <w:rFonts w:asciiTheme="minorHAnsi" w:eastAsia="MS PGothic" w:hAnsiTheme="minorHAnsi"/>
          <w:color w:val="000000"/>
          <w:sz w:val="22"/>
          <w:szCs w:val="22"/>
          <w:lang w:val="en-US"/>
        </w:rPr>
        <w:t>CO:</w:t>
      </w:r>
      <w:proofErr w:type="gramEnd"/>
      <w:r w:rsidR="00DB0E1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Sahara Blend and Tia Juana</w:t>
      </w:r>
      <w:r w:rsidR="0035592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Heavy</w:t>
      </w:r>
      <w:r w:rsidR="00E31F8C">
        <w:rPr>
          <w:rFonts w:asciiTheme="minorHAnsi" w:eastAsia="MS PGothic" w:hAnsiTheme="minorHAnsi"/>
          <w:color w:val="000000"/>
          <w:sz w:val="22"/>
          <w:szCs w:val="22"/>
          <w:lang w:val="en-US"/>
        </w:rPr>
        <w:t>.  The mass fraction of each CO</w:t>
      </w:r>
      <w:r w:rsidR="00830D8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is </w:t>
      </w:r>
      <w:r w:rsidR="007E343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</w:t>
      </w:r>
      <w:r w:rsidR="00830D8E">
        <w:rPr>
          <w:rFonts w:asciiTheme="minorHAnsi" w:eastAsia="MS PGothic" w:hAnsiTheme="minorHAnsi"/>
          <w:color w:val="000000"/>
          <w:sz w:val="22"/>
          <w:szCs w:val="22"/>
          <w:lang w:val="en-US"/>
        </w:rPr>
        <w:t>manipulated</w:t>
      </w:r>
      <w:r w:rsidR="007E343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variable </w:t>
      </w:r>
      <w:r w:rsidR="00830D8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while the </w:t>
      </w:r>
      <w:r w:rsidR="00830D8E" w:rsidRPr="00830D8E">
        <w:rPr>
          <w:rFonts w:asciiTheme="minorHAnsi" w:eastAsia="MS PGothic" w:hAnsiTheme="minorHAnsi"/>
          <w:color w:val="000000"/>
          <w:sz w:val="22"/>
          <w:szCs w:val="22"/>
          <w:lang w:val="en-US"/>
        </w:rPr>
        <w:t>other</w:t>
      </w:r>
      <w:r w:rsidR="00557C1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operatory conditions </w:t>
      </w:r>
      <w:proofErr w:type="gramStart"/>
      <w:r w:rsidR="007E3433">
        <w:rPr>
          <w:rFonts w:asciiTheme="minorHAnsi" w:eastAsia="MS PGothic" w:hAnsiTheme="minorHAnsi"/>
          <w:color w:val="000000"/>
          <w:sz w:val="22"/>
          <w:szCs w:val="22"/>
          <w:lang w:val="en-US"/>
        </w:rPr>
        <w:t>are</w:t>
      </w:r>
      <w:r w:rsidR="00557C1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kept</w:t>
      </w:r>
      <w:proofErr w:type="gramEnd"/>
      <w:r w:rsidR="00557C1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constant.</w:t>
      </w:r>
    </w:p>
    <w:p w14:paraId="4C771222" w14:textId="1E8F47FF" w:rsidR="00584A47" w:rsidRDefault="00584A47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E</w:t>
      </w:r>
      <w:r w:rsidR="00FC6143" w:rsidRP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t>nergy</w:t>
      </w:r>
      <w:r w:rsidR="00FC614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analysis </w:t>
      </w:r>
      <w:proofErr w:type="gramStart"/>
      <w:r w:rsidR="00FC6143">
        <w:rPr>
          <w:rFonts w:asciiTheme="minorHAnsi" w:eastAsia="MS PGothic" w:hAnsiTheme="minorHAnsi"/>
          <w:color w:val="000000"/>
          <w:sz w:val="22"/>
          <w:szCs w:val="22"/>
          <w:lang w:val="en-US"/>
        </w:rPr>
        <w:t>is performed</w:t>
      </w:r>
      <w:proofErr w:type="gramEnd"/>
      <w:r w:rsidR="00FC614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quantity heating and cooling requirements. This </w:t>
      </w:r>
      <w:proofErr w:type="gramStart"/>
      <w:r w:rsidR="00FC6143">
        <w:rPr>
          <w:rFonts w:asciiTheme="minorHAnsi" w:eastAsia="MS PGothic" w:hAnsiTheme="minorHAnsi"/>
          <w:color w:val="000000"/>
          <w:sz w:val="22"/>
          <w:szCs w:val="22"/>
          <w:lang w:val="en-US"/>
        </w:rPr>
        <w:t>is combined</w:t>
      </w:r>
      <w:proofErr w:type="gramEnd"/>
      <w:r w:rsidR="00FC614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with an e</w:t>
      </w:r>
      <w:r w:rsidR="00AC37A0">
        <w:rPr>
          <w:rFonts w:asciiTheme="minorHAnsi" w:eastAsia="MS PGothic" w:hAnsiTheme="minorHAnsi"/>
          <w:color w:val="000000"/>
          <w:sz w:val="22"/>
          <w:szCs w:val="22"/>
          <w:lang w:val="en-US"/>
        </w:rPr>
        <w:t>x</w:t>
      </w:r>
      <w:r w:rsidR="00FC614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ergy analysis to identify how </w:t>
      </w:r>
      <w:r w:rsidR="00FC6143" w:rsidRPr="00FC6143">
        <w:rPr>
          <w:rFonts w:asciiTheme="minorHAnsi" w:eastAsia="MS PGothic" w:hAnsiTheme="minorHAnsi"/>
          <w:color w:val="000000"/>
          <w:sz w:val="22"/>
          <w:szCs w:val="22"/>
          <w:lang w:val="en-US"/>
        </w:rPr>
        <w:t>energy</w:t>
      </w:r>
      <w:r w:rsidR="00FC614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quality is conserved during the process.</w:t>
      </w:r>
      <w:r w:rsidR="00AC37A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C16BE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Exergy </w:t>
      </w:r>
      <w:proofErr w:type="gramStart"/>
      <w:r w:rsidR="00C16BE9">
        <w:rPr>
          <w:rFonts w:asciiTheme="minorHAnsi" w:eastAsia="MS PGothic" w:hAnsiTheme="minorHAnsi"/>
          <w:color w:val="000000"/>
          <w:sz w:val="22"/>
          <w:szCs w:val="22"/>
          <w:lang w:val="en-US"/>
        </w:rPr>
        <w:t>is strongly related</w:t>
      </w:r>
      <w:proofErr w:type="gramEnd"/>
      <w:r w:rsidR="00C16BE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</w:t>
      </w:r>
      <w:r w:rsidR="00C839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sustainability because it allows </w:t>
      </w:r>
      <w:r w:rsidR="00E31F8C">
        <w:rPr>
          <w:rFonts w:asciiTheme="minorHAnsi" w:eastAsia="MS PGothic" w:hAnsiTheme="minorHAnsi"/>
          <w:color w:val="000000"/>
          <w:sz w:val="22"/>
          <w:szCs w:val="22"/>
          <w:lang w:val="en-US"/>
        </w:rPr>
        <w:t>reducing</w:t>
      </w:r>
      <w:r w:rsidR="00C839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degradation of energy quality.</w:t>
      </w:r>
    </w:p>
    <w:p w14:paraId="3380881C" w14:textId="56D5A685" w:rsidR="00FC6143" w:rsidRDefault="00AC37A0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Exergy </w:t>
      </w:r>
      <w:proofErr w:type="gramStart"/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is divided</w:t>
      </w:r>
      <w:proofErr w:type="gramEnd"/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Pr="00AC37A0">
        <w:rPr>
          <w:rFonts w:asciiTheme="minorHAnsi" w:eastAsia="MS PGothic" w:hAnsiTheme="minorHAnsi"/>
          <w:color w:val="000000"/>
          <w:sz w:val="22"/>
          <w:szCs w:val="22"/>
          <w:lang w:val="en-US"/>
        </w:rPr>
        <w:t>in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to </w:t>
      </w:r>
      <w:r w:rsidRPr="00AC37A0">
        <w:rPr>
          <w:rFonts w:asciiTheme="minorHAnsi" w:eastAsia="MS PGothic" w:hAnsiTheme="minorHAnsi"/>
          <w:color w:val="000000"/>
          <w:sz w:val="22"/>
          <w:szCs w:val="22"/>
          <w:lang w:val="en-US"/>
        </w:rPr>
        <w:t>phys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i</w:t>
      </w:r>
      <w:r w:rsidRPr="00AC37A0">
        <w:rPr>
          <w:rFonts w:asciiTheme="minorHAnsi" w:eastAsia="MS PGothic" w:hAnsiTheme="minorHAnsi"/>
          <w:color w:val="000000"/>
          <w:sz w:val="22"/>
          <w:szCs w:val="22"/>
          <w:lang w:val="en-US"/>
        </w:rPr>
        <w:t>cal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chemical exergy.</w:t>
      </w:r>
      <w:r w:rsid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584A47" w:rsidRP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Chemical exergy is difficult to quantify, </w:t>
      </w:r>
      <w:r w:rsidR="00930678">
        <w:rPr>
          <w:rFonts w:asciiTheme="minorHAnsi" w:eastAsia="MS PGothic" w:hAnsiTheme="minorHAnsi"/>
          <w:color w:val="000000"/>
          <w:sz w:val="22"/>
          <w:szCs w:val="22"/>
          <w:lang w:val="en-US"/>
        </w:rPr>
        <w:t>e</w:t>
      </w:r>
      <w:r w:rsidR="00584A47" w:rsidRPr="00930678">
        <w:rPr>
          <w:rFonts w:asciiTheme="minorHAnsi" w:eastAsia="MS PGothic" w:hAnsiTheme="minorHAnsi"/>
          <w:color w:val="000000"/>
          <w:sz w:val="22"/>
          <w:szCs w:val="22"/>
          <w:lang w:val="en-US"/>
        </w:rPr>
        <w:t>specially</w:t>
      </w:r>
      <w:r w:rsid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584A47" w:rsidRP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in petroleum cuts. Each of these cuts </w:t>
      </w:r>
      <w:proofErr w:type="gramStart"/>
      <w:r w:rsidR="00584A47" w:rsidRP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t>is defined</w:t>
      </w:r>
      <w:proofErr w:type="gramEnd"/>
      <w:r w:rsidR="00584A47" w:rsidRP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as a pseudo-component because its chemical composition cannot be specified.</w:t>
      </w:r>
      <w:r w:rsid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 order to obtain this </w:t>
      </w:r>
      <w:r w:rsidR="00A97B70">
        <w:rPr>
          <w:rFonts w:asciiTheme="minorHAnsi" w:eastAsia="MS PGothic" w:hAnsiTheme="minorHAnsi"/>
          <w:color w:val="000000"/>
          <w:sz w:val="22"/>
          <w:szCs w:val="22"/>
          <w:lang w:val="en-US"/>
        </w:rPr>
        <w:t>value, a set of correlations has</w:t>
      </w:r>
      <w:r w:rsid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be used </w:t>
      </w:r>
      <w:r w:rsid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begin"/>
      </w:r>
      <w:r w:rsid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instrText xml:space="preserve"> ADDIN EN.CITE &lt;EndNote&gt;&lt;Cite&gt;&lt;Author&gt;Coker&lt;/Author&gt;&lt;Year&gt;2018&lt;/Year&gt;&lt;RecNum&gt;1&lt;/RecNum&gt;&lt;DisplayText&gt;[1]&lt;/DisplayText&gt;&lt;record&gt;&lt;rec-number&gt;1&lt;/rec-number&gt;&lt;foreign-keys&gt;&lt;key app="EN" db-id="fswxa0tr6xezfiet00mxx957t20wz5xafwea" timestamp="1551357852"&gt;1&lt;/key&gt;&lt;/foreign-keys&gt;&lt;ref-type name="Book"&gt;6&lt;/ref-type&gt;&lt;contributors&gt;&lt;authors&gt;&lt;author&gt;Coker, A Kayode&lt;/author&gt;&lt;/authors&gt;&lt;/contributors&gt;&lt;titles&gt;&lt;title&gt;Petroleum Refining Design and Applications Handbook&lt;/title&gt;&lt;/titles&gt;&lt;dates&gt;&lt;year&gt;2018&lt;/year&gt;&lt;/dates&gt;&lt;publisher&gt;John Wiley &amp;amp; Sons&lt;/publisher&gt;&lt;isbn&gt;1119257093&lt;/isbn&gt;&lt;urls&gt;&lt;/urls&gt;&lt;/record&gt;&lt;/Cite&gt;&lt;/EndNote&gt;</w:instrText>
      </w:r>
      <w:r w:rsid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separate"/>
      </w:r>
      <w:r w:rsid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t>[1]</w:t>
      </w:r>
      <w:r w:rsid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end"/>
      </w:r>
      <w:r w:rsidR="00584A47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14:paraId="13A21E64" w14:textId="39C8C846" w:rsidR="00E90C9C" w:rsidRDefault="00E90C9C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Feed composition affects the products obtained </w:t>
      </w:r>
      <w:r w:rsidR="00A97B70">
        <w:rPr>
          <w:rFonts w:asciiTheme="minorHAnsi" w:eastAsia="MS PGothic" w:hAnsiTheme="minorHAnsi"/>
          <w:color w:val="000000"/>
          <w:sz w:val="22"/>
          <w:szCs w:val="22"/>
          <w:lang w:val="en-US"/>
        </w:rPr>
        <w:t>in the distillation unit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. Heav</w:t>
      </w:r>
      <w:r w:rsidR="0004528B">
        <w:rPr>
          <w:rFonts w:asciiTheme="minorHAnsi" w:eastAsia="MS PGothic" w:hAnsiTheme="minorHAnsi"/>
          <w:color w:val="000000"/>
          <w:sz w:val="22"/>
          <w:szCs w:val="22"/>
          <w:lang w:val="en-US"/>
        </w:rPr>
        <w:t>y</w:t>
      </w:r>
      <w:r w:rsidR="00A97B7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 yield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higher percentage</w:t>
      </w:r>
      <w:r w:rsidR="00A97B70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of </w:t>
      </w:r>
      <w:proofErr w:type="gramStart"/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residue</w:t>
      </w:r>
      <w:r w:rsidR="00A97B70">
        <w:rPr>
          <w:rFonts w:asciiTheme="minorHAnsi" w:eastAsia="MS PGothic" w:hAnsiTheme="minorHAnsi"/>
          <w:color w:val="000000"/>
          <w:sz w:val="22"/>
          <w:szCs w:val="22"/>
          <w:lang w:val="en-US"/>
        </w:rPr>
        <w:t>s which</w:t>
      </w:r>
      <w:proofErr w:type="gramEnd"/>
      <w:r w:rsidR="00A97B7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A97B70" w:rsidRPr="00B03653">
        <w:rPr>
          <w:rFonts w:asciiTheme="minorHAnsi" w:eastAsia="MS PGothic" w:hAnsiTheme="minorHAnsi"/>
          <w:color w:val="000000"/>
          <w:sz w:val="22"/>
          <w:szCs w:val="22"/>
          <w:lang w:val="en-US"/>
        </w:rPr>
        <w:t>have</w:t>
      </w:r>
      <w:r w:rsidRPr="00B0365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03653" w:rsidRPr="00B03653">
        <w:rPr>
          <w:rFonts w:asciiTheme="minorHAnsi" w:eastAsia="MS PGothic" w:hAnsiTheme="minorHAnsi"/>
          <w:color w:val="000000"/>
          <w:sz w:val="22"/>
          <w:szCs w:val="22"/>
          <w:lang w:val="en-US"/>
        </w:rPr>
        <w:t>a lower</w:t>
      </w:r>
      <w:r w:rsidRPr="00B0365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economic interest.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 economic analysis </w:t>
      </w:r>
      <w:r w:rsidR="00A97B70">
        <w:rPr>
          <w:rFonts w:asciiTheme="minorHAnsi" w:eastAsia="MS PGothic" w:hAnsiTheme="minorHAnsi"/>
          <w:color w:val="000000"/>
          <w:sz w:val="22"/>
          <w:szCs w:val="22"/>
          <w:lang w:val="en-US"/>
        </w:rPr>
        <w:t>has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also performed to identify which composition</w:t>
      </w:r>
      <w:r w:rsidR="00A97B70">
        <w:rPr>
          <w:rFonts w:asciiTheme="minorHAnsi" w:eastAsia="MS PGothic" w:hAnsiTheme="minorHAnsi"/>
          <w:color w:val="000000"/>
          <w:sz w:val="22"/>
          <w:szCs w:val="22"/>
          <w:lang w:val="en-US"/>
        </w:rPr>
        <w:t>s are</w:t>
      </w:r>
      <w:r w:rsidR="00830D8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more profitable.</w:t>
      </w:r>
    </w:p>
    <w:p w14:paraId="4949319A" w14:textId="0CEC74B1" w:rsidR="00B91018" w:rsidRPr="00584A47" w:rsidRDefault="009B5E71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Analyses</w:t>
      </w:r>
      <w:r w:rsidR="00A677C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where the economic and </w:t>
      </w:r>
      <w:proofErr w:type="spellStart"/>
      <w:r w:rsidR="00A677C1" w:rsidRPr="00C8235B">
        <w:rPr>
          <w:rFonts w:asciiTheme="minorHAnsi" w:eastAsia="MS PGothic" w:hAnsiTheme="minorHAnsi"/>
          <w:color w:val="000000"/>
          <w:sz w:val="22"/>
          <w:szCs w:val="22"/>
          <w:lang w:val="en-US"/>
        </w:rPr>
        <w:t>exergetic</w:t>
      </w:r>
      <w:proofErr w:type="spellEnd"/>
      <w:r w:rsidR="005A665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5A665E" w:rsidRPr="005A665E">
        <w:rPr>
          <w:rFonts w:asciiTheme="minorHAnsi" w:eastAsia="MS PGothic" w:hAnsiTheme="minorHAnsi"/>
          <w:color w:val="000000"/>
          <w:sz w:val="22"/>
          <w:szCs w:val="22"/>
          <w:lang w:val="en-US"/>
        </w:rPr>
        <w:t>p</w:t>
      </w:r>
      <w:r w:rsidR="005A665E">
        <w:rPr>
          <w:rFonts w:asciiTheme="minorHAnsi" w:eastAsia="MS PGothic" w:hAnsiTheme="minorHAnsi"/>
          <w:color w:val="000000"/>
          <w:sz w:val="22"/>
          <w:szCs w:val="22"/>
          <w:lang w:val="en-US"/>
        </w:rPr>
        <w:t>er</w:t>
      </w:r>
      <w:r w:rsidR="005A665E" w:rsidRPr="005A665E">
        <w:rPr>
          <w:rFonts w:asciiTheme="minorHAnsi" w:eastAsia="MS PGothic" w:hAnsiTheme="minorHAnsi"/>
          <w:color w:val="000000"/>
          <w:sz w:val="22"/>
          <w:szCs w:val="22"/>
          <w:lang w:val="en-US"/>
        </w:rPr>
        <w:t>spectives</w:t>
      </w:r>
      <w:r w:rsidR="00A677C1" w:rsidRPr="00C8235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are</w:t>
      </w:r>
      <w:r w:rsidR="00A677C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combined,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A677C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have been proposed in </w:t>
      </w:r>
      <w:r w:rsidR="00B03653" w:rsidRPr="00802F2C">
        <w:rPr>
          <w:rFonts w:asciiTheme="minorHAnsi" w:eastAsia="MS PGothic" w:hAnsiTheme="minorHAnsi"/>
          <w:color w:val="000000"/>
          <w:sz w:val="22"/>
          <w:szCs w:val="22"/>
          <w:lang w:val="en-US"/>
        </w:rPr>
        <w:t>some</w:t>
      </w:r>
      <w:r w:rsidR="00A677C1" w:rsidRPr="00802F2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literature</w:t>
      </w:r>
      <w:r w:rsidR="005A665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are called </w:t>
      </w:r>
      <w:r w:rsidR="005A665E" w:rsidRPr="00CE5B5D">
        <w:rPr>
          <w:rFonts w:asciiTheme="minorHAnsi" w:eastAsia="MS PGothic" w:hAnsiTheme="minorHAnsi"/>
          <w:noProof/>
          <w:color w:val="000000"/>
          <w:sz w:val="22"/>
          <w:szCs w:val="22"/>
          <w:lang w:val="en-US"/>
        </w:rPr>
        <w:t>exergoeconomic</w:t>
      </w:r>
      <w:r w:rsidR="00CE5B5D" w:rsidRPr="00CE5B5D">
        <w:rPr>
          <w:rFonts w:asciiTheme="minorHAnsi" w:eastAsia="MS PGothic" w:hAnsiTheme="minorHAnsi"/>
          <w:noProof/>
          <w:color w:val="000000"/>
          <w:sz w:val="22"/>
          <w:szCs w:val="22"/>
          <w:lang w:val="en-US"/>
        </w:rPr>
        <w:t>s</w:t>
      </w:r>
      <w:r w:rsidR="003D5902">
        <w:rPr>
          <w:rFonts w:asciiTheme="minorHAnsi" w:eastAsia="MS PGothic" w:hAnsiTheme="minorHAnsi"/>
          <w:noProof/>
          <w:color w:val="000000"/>
          <w:sz w:val="22"/>
          <w:szCs w:val="22"/>
          <w:lang w:val="en-US"/>
        </w:rPr>
        <w:t xml:space="preserve"> analysis</w:t>
      </w:r>
      <w:r w:rsidR="00C8235B">
        <w:rPr>
          <w:rFonts w:asciiTheme="minorHAnsi" w:eastAsia="MS PGothic" w:hAnsiTheme="minorHAnsi"/>
          <w:color w:val="000000"/>
          <w:sz w:val="22"/>
          <w:szCs w:val="22"/>
          <w:lang w:val="en-US"/>
        </w:rPr>
        <w:t> </w:t>
      </w:r>
      <w:r w:rsidR="00C8235B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begin"/>
      </w:r>
      <w:r w:rsidR="00C8235B">
        <w:rPr>
          <w:rFonts w:asciiTheme="minorHAnsi" w:eastAsia="MS PGothic" w:hAnsiTheme="minorHAnsi"/>
          <w:color w:val="000000"/>
          <w:sz w:val="22"/>
          <w:szCs w:val="22"/>
          <w:lang w:val="en-US"/>
        </w:rPr>
        <w:instrText xml:space="preserve"> ADDIN EN.CITE &lt;EndNote&gt;&lt;Cite&gt;&lt;Author&gt;Tsatsaronis&lt;/Author&gt;&lt;Year&gt;2007&lt;/Year&gt;&lt;RecNum&gt;2&lt;/RecNum&gt;&lt;DisplayText&gt;[2]&lt;/DisplayText&gt;&lt;record&gt;&lt;rec-number&gt;2&lt;/rec-number&gt;&lt;foreign-keys&gt;&lt;key app="EN" db-id="fswxa0tr6xezfiet00mxx957t20wz5xafwea" timestamp="1551360827"&gt;2&lt;/key&gt;&lt;/foreign-keys&gt;&lt;ref-type name="Journal Article"&gt;17&lt;/ref-type&gt;&lt;contributors&gt;&lt;authors&gt;&lt;author&gt;Tsatsaronis, George&lt;/author&gt;&lt;/authors&gt;&lt;/contributors&gt;&lt;titles&gt;&lt;title&gt;Definitions and nomenclature in exergy analysis and exergoeconomics&lt;/title&gt;&lt;secondary-title&gt;Energy&lt;/secondary-title&gt;&lt;/titles&gt;&lt;periodical&gt;&lt;full-title&gt;Energy&lt;/full-title&gt;&lt;/periodical&gt;&lt;pages&gt;249-253&lt;/pages&gt;&lt;volume&gt;32&lt;/volume&gt;&lt;number&gt;4&lt;/number&gt;&lt;dates&gt;&lt;year&gt;2007&lt;/year&gt;&lt;/dates&gt;&lt;isbn&gt;0360-5442&lt;/isbn&gt;&lt;urls&gt;&lt;/urls&gt;&lt;/record&gt;&lt;/Cite&gt;&lt;/EndNote&gt;</w:instrText>
      </w:r>
      <w:r w:rsidR="00C8235B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separate"/>
      </w:r>
      <w:r w:rsidR="00C8235B">
        <w:rPr>
          <w:rFonts w:asciiTheme="minorHAnsi" w:eastAsia="MS PGothic" w:hAnsiTheme="minorHAnsi"/>
          <w:color w:val="000000"/>
          <w:sz w:val="22"/>
          <w:szCs w:val="22"/>
          <w:lang w:val="en-US"/>
        </w:rPr>
        <w:t>[2]</w:t>
      </w:r>
      <w:r w:rsidR="00C8235B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end"/>
      </w:r>
      <w:r w:rsidR="00A677C1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C8235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 this work, </w:t>
      </w:r>
      <w:r w:rsidR="003D5902">
        <w:rPr>
          <w:rFonts w:asciiTheme="minorHAnsi" w:eastAsia="MS PGothic" w:hAnsiTheme="minorHAnsi"/>
          <w:color w:val="000000"/>
          <w:sz w:val="22"/>
          <w:szCs w:val="22"/>
          <w:lang w:val="en-US"/>
        </w:rPr>
        <w:t>a new</w:t>
      </w:r>
      <w:r w:rsidR="005A665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5A665E" w:rsidRPr="00124108">
        <w:rPr>
          <w:rFonts w:asciiTheme="minorHAnsi" w:eastAsia="MS PGothic" w:hAnsiTheme="minorHAnsi"/>
          <w:noProof/>
          <w:color w:val="000000"/>
          <w:sz w:val="22"/>
          <w:szCs w:val="22"/>
          <w:lang w:val="en-US"/>
        </w:rPr>
        <w:t>exergoenomic</w:t>
      </w:r>
      <w:r w:rsidR="005A665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indicator</w:t>
      </w:r>
      <w:r w:rsidR="003D590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proofErr w:type="gramStart"/>
      <w:r w:rsidR="003D5902">
        <w:rPr>
          <w:rFonts w:asciiTheme="minorHAnsi" w:eastAsia="MS PGothic" w:hAnsiTheme="minorHAnsi"/>
          <w:color w:val="000000"/>
          <w:sz w:val="22"/>
          <w:szCs w:val="22"/>
          <w:lang w:val="en-US"/>
        </w:rPr>
        <w:t>is proposed</w:t>
      </w:r>
      <w:proofErr w:type="gramEnd"/>
      <w:r w:rsidR="00D51F5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D51F5B" w:rsidRPr="00D51F5B">
        <w:rPr>
          <w:rFonts w:asciiTheme="minorHAnsi" w:eastAsia="MS PGothic" w:hAnsiTheme="minorHAnsi"/>
          <w:color w:val="000000"/>
          <w:sz w:val="22"/>
          <w:szCs w:val="22"/>
          <w:lang w:val="en-US"/>
        </w:rPr>
        <w:t>because improving the exergy efficiency may incur in additional costs and it may not be attractive for a company to implement the proposed optimization.</w:t>
      </w:r>
    </w:p>
    <w:p w14:paraId="0C97C9A6" w14:textId="4D96C930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lastRenderedPageBreak/>
        <w:t>3. Results and discussion</w:t>
      </w:r>
    </w:p>
    <w:p w14:paraId="361FA9CA" w14:textId="2D5B7DE5" w:rsidR="00704BDF" w:rsidRDefault="00CE5B5D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02F2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Heating and cooling </w:t>
      </w:r>
      <w:r w:rsidR="00EC70E8" w:rsidRPr="00802F2C">
        <w:rPr>
          <w:rFonts w:asciiTheme="minorHAnsi" w:eastAsia="MS PGothic" w:hAnsiTheme="minorHAnsi"/>
          <w:color w:val="000000"/>
          <w:sz w:val="22"/>
          <w:szCs w:val="22"/>
          <w:lang w:val="en-US"/>
        </w:rPr>
        <w:t>dut</w:t>
      </w:r>
      <w:r w:rsidR="00B03653" w:rsidRPr="00802F2C">
        <w:rPr>
          <w:rFonts w:asciiTheme="minorHAnsi" w:eastAsia="MS PGothic" w:hAnsiTheme="minorHAnsi"/>
          <w:color w:val="000000"/>
          <w:sz w:val="22"/>
          <w:szCs w:val="22"/>
          <w:lang w:val="en-US"/>
        </w:rPr>
        <w:t>ies</w:t>
      </w:r>
      <w:r w:rsidRPr="00802F2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03653" w:rsidRPr="00802F2C">
        <w:rPr>
          <w:rFonts w:asciiTheme="minorHAnsi" w:eastAsia="MS PGothic" w:hAnsiTheme="minorHAnsi"/>
          <w:color w:val="000000"/>
          <w:sz w:val="22"/>
          <w:szCs w:val="22"/>
          <w:lang w:val="en-US"/>
        </w:rPr>
        <w:t>vary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during this analysis because a lighter blend requires more </w:t>
      </w:r>
      <w:r>
        <w:rPr>
          <w:rFonts w:asciiTheme="minorHAnsi" w:eastAsia="MS PGothic" w:hAnsiTheme="minorHAnsi"/>
          <w:noProof/>
          <w:color w:val="000000"/>
          <w:sz w:val="22"/>
          <w:szCs w:val="22"/>
          <w:lang w:val="en-US"/>
        </w:rPr>
        <w:t>heating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due to a higher co</w:t>
      </w:r>
      <w:r w:rsidR="00003660">
        <w:rPr>
          <w:rFonts w:asciiTheme="minorHAnsi" w:eastAsia="MS PGothic" w:hAnsiTheme="minorHAnsi"/>
          <w:color w:val="000000"/>
          <w:sz w:val="22"/>
          <w:szCs w:val="22"/>
          <w:lang w:val="en-US"/>
        </w:rPr>
        <w:t>ntent of light-ends to be distilled (</w:t>
      </w:r>
      <w:r w:rsidR="00E1213E">
        <w:rPr>
          <w:rFonts w:asciiTheme="minorHAnsi" w:eastAsia="MS PGothic" w:hAnsiTheme="minorHAnsi"/>
          <w:color w:val="000000"/>
          <w:sz w:val="22"/>
          <w:szCs w:val="22"/>
          <w:lang w:val="en-US"/>
        </w:rPr>
        <w:t>Figure 1</w:t>
      </w:r>
      <w:r w:rsidR="00003660">
        <w:rPr>
          <w:rFonts w:asciiTheme="minorHAnsi" w:eastAsia="MS PGothic" w:hAnsiTheme="minorHAnsi"/>
          <w:color w:val="000000"/>
          <w:sz w:val="22"/>
          <w:szCs w:val="22"/>
          <w:lang w:val="en-US"/>
        </w:rPr>
        <w:t>)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</w:p>
    <w:p w14:paraId="0282850F" w14:textId="796071AD" w:rsidR="00CE5B5D" w:rsidRDefault="00CE5B5D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Exergy efficiency decreases wit</w:t>
      </w:r>
      <w:r w:rsidR="00C13155">
        <w:rPr>
          <w:rFonts w:asciiTheme="minorHAnsi" w:eastAsia="MS PGothic" w:hAnsiTheme="minorHAnsi"/>
          <w:color w:val="000000"/>
          <w:sz w:val="22"/>
          <w:szCs w:val="22"/>
          <w:lang w:val="en-US"/>
        </w:rPr>
        <w:t>h the amount of typical CO (</w:t>
      </w:r>
      <w:r w:rsidR="00E1213E">
        <w:rPr>
          <w:rFonts w:asciiTheme="minorHAnsi" w:eastAsia="MS PGothic" w:hAnsiTheme="minorHAnsi"/>
          <w:color w:val="000000"/>
          <w:sz w:val="22"/>
          <w:szCs w:val="22"/>
          <w:lang w:val="en-US"/>
        </w:rPr>
        <w:t>Figure 2</w:t>
      </w:r>
      <w:r w:rsidR="00C13155">
        <w:rPr>
          <w:rFonts w:asciiTheme="minorHAnsi" w:eastAsia="MS PGothic" w:hAnsiTheme="minorHAnsi"/>
          <w:color w:val="000000"/>
          <w:sz w:val="22"/>
          <w:szCs w:val="22"/>
          <w:lang w:val="en-US"/>
        </w:rPr>
        <w:t>)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. Heav</w:t>
      </w:r>
      <w:r w:rsidR="0004528B">
        <w:rPr>
          <w:rFonts w:asciiTheme="minorHAnsi" w:eastAsia="MS PGothic" w:hAnsiTheme="minorHAnsi"/>
          <w:color w:val="000000"/>
          <w:sz w:val="22"/>
          <w:szCs w:val="22"/>
          <w:lang w:val="en-US"/>
        </w:rPr>
        <w:t>y</w:t>
      </w:r>
      <w:r w:rsidR="00C1315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Pr="00CE5B5D">
        <w:rPr>
          <w:rFonts w:asciiTheme="minorHAnsi" w:eastAsia="MS PGothic" w:hAnsiTheme="minorHAnsi"/>
          <w:noProof/>
          <w:color w:val="000000"/>
          <w:sz w:val="22"/>
          <w:szCs w:val="22"/>
          <w:lang w:val="en-US"/>
        </w:rPr>
        <w:t>yield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 greater amount of fractions with high boiling points and, according to the defini</w:t>
      </w:r>
      <w:r w:rsidR="00C1315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tion of exergy, a stream with </w:t>
      </w:r>
      <w:r w:rsidRPr="00CE5B5D">
        <w:rPr>
          <w:rFonts w:asciiTheme="minorHAnsi" w:eastAsia="MS PGothic" w:hAnsiTheme="minorHAnsi"/>
          <w:noProof/>
          <w:color w:val="000000"/>
          <w:sz w:val="22"/>
          <w:szCs w:val="22"/>
          <w:lang w:val="en-US"/>
        </w:rPr>
        <w:t>higher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temperature has more energy quality.</w:t>
      </w:r>
    </w:p>
    <w:p w14:paraId="22D49D30" w14:textId="3360D910" w:rsidR="00A72B5B" w:rsidRDefault="00881228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73600" behindDoc="0" locked="0" layoutInCell="1" allowOverlap="1" wp14:anchorId="58DCD24E" wp14:editId="553FCD7F">
            <wp:simplePos x="0" y="0"/>
            <wp:positionH relativeFrom="column">
              <wp:posOffset>3044190</wp:posOffset>
            </wp:positionH>
            <wp:positionV relativeFrom="paragraph">
              <wp:posOffset>10796</wp:posOffset>
            </wp:positionV>
            <wp:extent cx="2562225" cy="1181100"/>
            <wp:effectExtent l="0" t="0" r="9525" b="0"/>
            <wp:wrapNone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188">
        <w:rPr>
          <w:noProof/>
          <w:lang w:val="pt-PT" w:eastAsia="pt-PT"/>
        </w:rPr>
        <w:drawing>
          <wp:anchor distT="0" distB="0" distL="114300" distR="114300" simplePos="0" relativeHeight="251672576" behindDoc="0" locked="0" layoutInCell="1" allowOverlap="1" wp14:anchorId="63EA21CA" wp14:editId="0C75FA6B">
            <wp:simplePos x="0" y="0"/>
            <wp:positionH relativeFrom="margin">
              <wp:posOffset>34290</wp:posOffset>
            </wp:positionH>
            <wp:positionV relativeFrom="paragraph">
              <wp:posOffset>10795</wp:posOffset>
            </wp:positionV>
            <wp:extent cx="2619375" cy="1155236"/>
            <wp:effectExtent l="0" t="0" r="9525" b="698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28ABD" w14:textId="16D1DE1C" w:rsidR="00A72B5B" w:rsidRDefault="00A72B5B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</w:p>
    <w:p w14:paraId="5811BBBB" w14:textId="40A6FF62" w:rsidR="00A72B5B" w:rsidRDefault="00A72B5B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</w:p>
    <w:p w14:paraId="4F964B61" w14:textId="1805914C" w:rsidR="00A72B5B" w:rsidRDefault="00A72B5B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</w:p>
    <w:p w14:paraId="6F6A6486" w14:textId="2565CE76" w:rsidR="00A72B5B" w:rsidRDefault="00413CAD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2BB7A" wp14:editId="39BA7E85">
                <wp:simplePos x="0" y="0"/>
                <wp:positionH relativeFrom="margin">
                  <wp:posOffset>3063240</wp:posOffset>
                </wp:positionH>
                <wp:positionV relativeFrom="paragraph">
                  <wp:posOffset>135255</wp:posOffset>
                </wp:positionV>
                <wp:extent cx="2381885" cy="28575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285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56950C" w14:textId="1322E0D7" w:rsidR="00764157" w:rsidRDefault="00764157" w:rsidP="00764157">
                            <w:pPr>
                              <w:pStyle w:val="Caption"/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</w:rPr>
                            </w:pPr>
                            <w:r w:rsidRPr="00764157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Figure </w:t>
                            </w:r>
                            <w:proofErr w:type="gramStart"/>
                            <w:r w:rsidRPr="00764157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2</w:t>
                            </w:r>
                            <w:proofErr w:type="gramEnd"/>
                            <w:r w:rsidRPr="00764157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</w:rPr>
                              <w:t xml:space="preserve"> – Effect of the feed composition on the exergy efficiency.</w:t>
                            </w:r>
                          </w:p>
                          <w:p w14:paraId="3C184B35" w14:textId="0B0A0573" w:rsidR="00680D47" w:rsidRDefault="00680D47" w:rsidP="00680D47"/>
                          <w:p w14:paraId="1A7FD469" w14:textId="77777777" w:rsidR="00680D47" w:rsidRPr="00680D47" w:rsidRDefault="00680D47" w:rsidP="00680D4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2BB7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41.2pt;margin-top:10.65pt;width:187.5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" stroked="f">
                <v:textbox inset="0,0,0,0">
                  <w:txbxContent>
                    <w:p w14:paraId="5F56950C" w14:textId="1322E0D7" w:rsidR="00764157" w:rsidRDefault="00764157" w:rsidP="00764157">
                      <w:pPr>
                        <w:pStyle w:val="Caption"/>
                        <w:rPr>
                          <w:rFonts w:asciiTheme="minorHAnsi" w:hAnsiTheme="minorHAnsi" w:cstheme="minorHAnsi"/>
                          <w:b w:val="0"/>
                          <w:color w:val="auto"/>
                        </w:rPr>
                      </w:pPr>
                      <w:r w:rsidRPr="00764157">
                        <w:rPr>
                          <w:rFonts w:asciiTheme="minorHAnsi" w:hAnsiTheme="minorHAnsi" w:cstheme="minorHAnsi"/>
                          <w:color w:val="auto"/>
                        </w:rPr>
                        <w:t>Figure 2</w:t>
                      </w:r>
                      <w:r w:rsidRPr="00764157">
                        <w:rPr>
                          <w:rFonts w:asciiTheme="minorHAnsi" w:hAnsiTheme="minorHAnsi" w:cstheme="minorHAnsi"/>
                          <w:b w:val="0"/>
                          <w:color w:val="auto"/>
                        </w:rPr>
                        <w:t xml:space="preserve"> – Effect of the feed composition on the exergy efficiency.</w:t>
                      </w:r>
                    </w:p>
                    <w:p w14:paraId="3C184B35" w14:textId="0B0A0573" w:rsidR="00680D47" w:rsidRDefault="00680D47" w:rsidP="00680D47"/>
                    <w:p w14:paraId="1A7FD469" w14:textId="77777777" w:rsidR="00680D47" w:rsidRPr="00680D47" w:rsidRDefault="00680D47" w:rsidP="00680D4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1BF5B" wp14:editId="07895326">
                <wp:simplePos x="0" y="0"/>
                <wp:positionH relativeFrom="margin">
                  <wp:posOffset>0</wp:posOffset>
                </wp:positionH>
                <wp:positionV relativeFrom="paragraph">
                  <wp:posOffset>135255</wp:posOffset>
                </wp:positionV>
                <wp:extent cx="2543175" cy="635"/>
                <wp:effectExtent l="0" t="0" r="9525" b="698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68CE77" w14:textId="35048C7F" w:rsidR="00A72B5B" w:rsidRDefault="00A72B5B" w:rsidP="00A72B5B">
                            <w:pPr>
                              <w:pStyle w:val="Caption"/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</w:rPr>
                            </w:pPr>
                            <w:r w:rsidRPr="00764157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Figure </w:t>
                            </w:r>
                            <w:proofErr w:type="gramStart"/>
                            <w:r w:rsidR="00764157" w:rsidRPr="00764157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1</w:t>
                            </w:r>
                            <w:proofErr w:type="gramEnd"/>
                            <w:r w:rsidRPr="00764157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</w:rPr>
                              <w:t xml:space="preserve"> – Effect of the feed composition on the utilities consumption.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71BF5B" id="Caixa de texto 3" o:spid="_x0000_s1027" type="#_x0000_t202" style="position:absolute;left:0;text-align:left;margin-left:0;margin-top:10.65pt;width:200.25pt;height:.0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" stroked="f">
                <v:textbox style="mso-fit-shape-to-text:t" inset="0,0,0,0">
                  <w:txbxContent>
                    <w:p w14:paraId="5268CE77" w14:textId="35048C7F" w:rsidR="00A72B5B" w:rsidRDefault="00A72B5B" w:rsidP="00A72B5B">
                      <w:pPr>
                        <w:pStyle w:val="Caption"/>
                        <w:rPr>
                          <w:rFonts w:asciiTheme="minorHAnsi" w:hAnsiTheme="minorHAnsi" w:cstheme="minorHAnsi"/>
                          <w:b w:val="0"/>
                          <w:color w:val="auto"/>
                        </w:rPr>
                      </w:pPr>
                      <w:r w:rsidRPr="00764157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Figure </w:t>
                      </w:r>
                      <w:r w:rsidR="00764157" w:rsidRPr="00764157">
                        <w:rPr>
                          <w:rFonts w:asciiTheme="minorHAnsi" w:hAnsiTheme="minorHAnsi" w:cstheme="minorHAnsi"/>
                          <w:color w:val="auto"/>
                        </w:rPr>
                        <w:t>1</w:t>
                      </w:r>
                      <w:r w:rsidRPr="00764157">
                        <w:rPr>
                          <w:rFonts w:asciiTheme="minorHAnsi" w:hAnsiTheme="minorHAnsi" w:cstheme="minorHAnsi"/>
                          <w:b w:val="0"/>
                          <w:color w:val="auto"/>
                        </w:rPr>
                        <w:t xml:space="preserve"> – Effect of the feed composition on the utilities consumption.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1228" w:rsidRPr="00881228">
        <w:rPr>
          <w:noProof/>
        </w:rPr>
        <w:t xml:space="preserve"> </w:t>
      </w:r>
    </w:p>
    <w:p w14:paraId="0203125E" w14:textId="0AD454BC" w:rsidR="00A72B5B" w:rsidRDefault="00A72B5B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</w:p>
    <w:p w14:paraId="53ABFF8E" w14:textId="7BFFE33D" w:rsidR="00680D47" w:rsidRDefault="00802F2C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rFonts w:asciiTheme="minorHAnsi" w:eastAsia="MS PGothic" w:hAnsiTheme="minorHAnsi"/>
          <w:color w:val="000000"/>
          <w:sz w:val="22"/>
          <w:szCs w:val="22"/>
        </w:rPr>
        <w:t>Economically, conventional</w:t>
      </w:r>
      <w:r w:rsidR="001266C8">
        <w:rPr>
          <w:rFonts w:asciiTheme="minorHAnsi" w:eastAsia="MS PGothic" w:hAnsiTheme="minorHAnsi"/>
          <w:color w:val="000000"/>
          <w:sz w:val="22"/>
          <w:szCs w:val="22"/>
        </w:rPr>
        <w:t xml:space="preserve"> CO</w:t>
      </w:r>
      <w:r w:rsidR="002B6347">
        <w:rPr>
          <w:rFonts w:asciiTheme="minorHAnsi" w:eastAsia="MS PGothic" w:hAnsiTheme="minorHAnsi"/>
          <w:color w:val="000000"/>
          <w:sz w:val="22"/>
          <w:szCs w:val="22"/>
        </w:rPr>
        <w:t xml:space="preserve"> increase the profitability of the </w:t>
      </w:r>
      <w:r w:rsidR="002B6347" w:rsidRPr="002B6347">
        <w:rPr>
          <w:rFonts w:asciiTheme="minorHAnsi" w:eastAsia="MS PGothic" w:hAnsiTheme="minorHAnsi"/>
          <w:noProof/>
          <w:color w:val="000000"/>
          <w:sz w:val="22"/>
          <w:szCs w:val="22"/>
        </w:rPr>
        <w:t>process</w:t>
      </w:r>
      <w:r w:rsidR="001E30BB">
        <w:rPr>
          <w:rFonts w:asciiTheme="minorHAnsi" w:eastAsia="MS PGothic" w:hAnsiTheme="minorHAnsi"/>
          <w:noProof/>
          <w:color w:val="000000"/>
          <w:sz w:val="22"/>
          <w:szCs w:val="22"/>
        </w:rPr>
        <w:t xml:space="preserve"> because the fractions obtained have higher economic interest</w:t>
      </w:r>
      <w:r w:rsidR="001266C8">
        <w:rPr>
          <w:rFonts w:asciiTheme="minorHAnsi" w:eastAsia="MS PGothic" w:hAnsiTheme="minorHAnsi"/>
          <w:noProof/>
          <w:color w:val="000000"/>
          <w:sz w:val="22"/>
          <w:szCs w:val="22"/>
        </w:rPr>
        <w:t xml:space="preserve"> </w:t>
      </w:r>
      <w:r w:rsidR="00E1213E">
        <w:rPr>
          <w:rFonts w:asciiTheme="minorHAnsi" w:eastAsia="MS PGothic" w:hAnsiTheme="minorHAnsi"/>
          <w:noProof/>
          <w:color w:val="000000"/>
          <w:sz w:val="22"/>
          <w:szCs w:val="22"/>
        </w:rPr>
        <w:t xml:space="preserve"> </w:t>
      </w:r>
      <w:r w:rsidR="001266C8">
        <w:rPr>
          <w:rFonts w:asciiTheme="minorHAnsi" w:eastAsia="MS PGothic" w:hAnsiTheme="minorHAnsi"/>
          <w:noProof/>
          <w:color w:val="000000"/>
          <w:sz w:val="22"/>
          <w:szCs w:val="22"/>
        </w:rPr>
        <w:t>(</w:t>
      </w:r>
      <w:r w:rsidR="00E1213E">
        <w:rPr>
          <w:rFonts w:asciiTheme="minorHAnsi" w:eastAsia="MS PGothic" w:hAnsiTheme="minorHAnsi"/>
          <w:noProof/>
          <w:color w:val="000000"/>
          <w:sz w:val="22"/>
          <w:szCs w:val="22"/>
        </w:rPr>
        <w:t>Figure 3</w:t>
      </w:r>
      <w:r w:rsidR="001266C8">
        <w:rPr>
          <w:rFonts w:asciiTheme="minorHAnsi" w:eastAsia="MS PGothic" w:hAnsiTheme="minorHAnsi"/>
          <w:noProof/>
          <w:color w:val="000000"/>
          <w:sz w:val="22"/>
          <w:szCs w:val="22"/>
        </w:rPr>
        <w:t>)</w:t>
      </w:r>
      <w:r w:rsidR="002B6347" w:rsidRPr="002B6347">
        <w:rPr>
          <w:rFonts w:asciiTheme="minorHAnsi" w:eastAsia="MS PGothic" w:hAnsiTheme="minorHAnsi"/>
          <w:noProof/>
          <w:color w:val="000000"/>
          <w:sz w:val="22"/>
          <w:szCs w:val="22"/>
        </w:rPr>
        <w:t>.</w:t>
      </w:r>
      <w:r w:rsidR="002B6347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1E30BB">
        <w:rPr>
          <w:rFonts w:asciiTheme="minorHAnsi" w:eastAsia="MS PGothic" w:hAnsiTheme="minorHAnsi"/>
          <w:color w:val="000000"/>
          <w:sz w:val="22"/>
          <w:szCs w:val="22"/>
        </w:rPr>
        <w:t xml:space="preserve">This indicator measures the </w:t>
      </w:r>
      <w:proofErr w:type="gramStart"/>
      <w:r w:rsidR="001E30BB">
        <w:rPr>
          <w:rFonts w:asciiTheme="minorHAnsi" w:eastAsia="MS PGothic" w:hAnsiTheme="minorHAnsi"/>
          <w:color w:val="000000"/>
          <w:sz w:val="22"/>
          <w:szCs w:val="22"/>
        </w:rPr>
        <w:t>added value</w:t>
      </w:r>
      <w:proofErr w:type="gramEnd"/>
      <w:r w:rsidR="001E30BB">
        <w:rPr>
          <w:rFonts w:asciiTheme="minorHAnsi" w:eastAsia="MS PGothic" w:hAnsiTheme="minorHAnsi"/>
          <w:color w:val="000000"/>
          <w:sz w:val="22"/>
          <w:szCs w:val="22"/>
        </w:rPr>
        <w:t xml:space="preserve"> to the production</w:t>
      </w:r>
      <w:r w:rsidR="002B6347">
        <w:rPr>
          <w:rFonts w:asciiTheme="minorHAnsi" w:eastAsia="MS PGothic" w:hAnsiTheme="minorHAnsi"/>
          <w:color w:val="000000"/>
          <w:sz w:val="22"/>
          <w:szCs w:val="22"/>
        </w:rPr>
        <w:t xml:space="preserve">. Since exergy and economic indicators have </w:t>
      </w:r>
      <w:r w:rsidR="002B6347" w:rsidRPr="002B6347">
        <w:rPr>
          <w:rFonts w:asciiTheme="minorHAnsi" w:eastAsia="MS PGothic" w:hAnsiTheme="minorHAnsi"/>
          <w:noProof/>
          <w:color w:val="000000"/>
          <w:sz w:val="22"/>
          <w:szCs w:val="22"/>
        </w:rPr>
        <w:t>con</w:t>
      </w:r>
      <w:r w:rsidR="002B6347">
        <w:rPr>
          <w:rFonts w:asciiTheme="minorHAnsi" w:eastAsia="MS PGothic" w:hAnsiTheme="minorHAnsi"/>
          <w:noProof/>
          <w:color w:val="000000"/>
          <w:sz w:val="22"/>
          <w:szCs w:val="22"/>
        </w:rPr>
        <w:t>tras</w:t>
      </w:r>
      <w:r w:rsidR="002B6347" w:rsidRPr="002B6347">
        <w:rPr>
          <w:rFonts w:asciiTheme="minorHAnsi" w:eastAsia="MS PGothic" w:hAnsiTheme="minorHAnsi"/>
          <w:noProof/>
          <w:color w:val="000000"/>
          <w:sz w:val="22"/>
          <w:szCs w:val="22"/>
        </w:rPr>
        <w:t>ting</w:t>
      </w:r>
      <w:r w:rsidR="002B6347">
        <w:rPr>
          <w:rFonts w:asciiTheme="minorHAnsi" w:eastAsia="MS PGothic" w:hAnsiTheme="minorHAnsi"/>
          <w:color w:val="000000"/>
          <w:sz w:val="22"/>
          <w:szCs w:val="22"/>
        </w:rPr>
        <w:t xml:space="preserve"> results, a new indicator </w:t>
      </w:r>
      <w:proofErr w:type="gramStart"/>
      <w:r w:rsidR="002B6347">
        <w:rPr>
          <w:rFonts w:asciiTheme="minorHAnsi" w:eastAsia="MS PGothic" w:hAnsiTheme="minorHAnsi"/>
          <w:color w:val="000000"/>
          <w:sz w:val="22"/>
          <w:szCs w:val="22"/>
        </w:rPr>
        <w:t>was proposed</w:t>
      </w:r>
      <w:proofErr w:type="gramEnd"/>
      <w:r w:rsidR="002B6347">
        <w:rPr>
          <w:rFonts w:asciiTheme="minorHAnsi" w:eastAsia="MS PGothic" w:hAnsiTheme="minorHAnsi"/>
          <w:color w:val="000000"/>
          <w:sz w:val="22"/>
          <w:szCs w:val="22"/>
        </w:rPr>
        <w:t xml:space="preserve"> to evaluate both aspects simultaneously. This indicator is </w:t>
      </w:r>
      <w:r w:rsidR="003B73BB">
        <w:rPr>
          <w:rFonts w:asciiTheme="minorHAnsi" w:eastAsia="MS PGothic" w:hAnsiTheme="minorHAnsi"/>
          <w:color w:val="000000"/>
          <w:sz w:val="22"/>
          <w:szCs w:val="22"/>
        </w:rPr>
        <w:t xml:space="preserve">a </w:t>
      </w:r>
      <w:r w:rsidR="002B6347" w:rsidRPr="003B73BB">
        <w:rPr>
          <w:rFonts w:asciiTheme="minorHAnsi" w:eastAsia="MS PGothic" w:hAnsiTheme="minorHAnsi"/>
          <w:noProof/>
          <w:color w:val="000000"/>
          <w:sz w:val="22"/>
          <w:szCs w:val="22"/>
        </w:rPr>
        <w:t>compromise</w:t>
      </w:r>
      <w:r w:rsidR="002B6347">
        <w:rPr>
          <w:rFonts w:asciiTheme="minorHAnsi" w:eastAsia="MS PGothic" w:hAnsiTheme="minorHAnsi"/>
          <w:color w:val="000000"/>
          <w:sz w:val="22"/>
          <w:szCs w:val="22"/>
        </w:rPr>
        <w:t xml:space="preserve"> between </w:t>
      </w:r>
      <w:r w:rsidR="003B73BB">
        <w:rPr>
          <w:rFonts w:asciiTheme="minorHAnsi" w:eastAsia="MS PGothic" w:hAnsiTheme="minorHAnsi"/>
          <w:color w:val="000000"/>
          <w:sz w:val="22"/>
          <w:szCs w:val="22"/>
        </w:rPr>
        <w:t xml:space="preserve">the </w:t>
      </w:r>
      <w:r w:rsidR="002B6347" w:rsidRPr="003B73BB">
        <w:rPr>
          <w:rFonts w:asciiTheme="minorHAnsi" w:eastAsia="MS PGothic" w:hAnsiTheme="minorHAnsi"/>
          <w:noProof/>
          <w:color w:val="000000"/>
          <w:sz w:val="22"/>
          <w:szCs w:val="22"/>
        </w:rPr>
        <w:t>profitability</w:t>
      </w:r>
      <w:r w:rsidR="002B6347">
        <w:rPr>
          <w:rFonts w:asciiTheme="minorHAnsi" w:eastAsia="MS PGothic" w:hAnsiTheme="minorHAnsi"/>
          <w:color w:val="000000"/>
          <w:sz w:val="22"/>
          <w:szCs w:val="22"/>
        </w:rPr>
        <w:t xml:space="preserve"> and sustainability of the process</w:t>
      </w:r>
      <w:r w:rsidR="0081075A">
        <w:rPr>
          <w:rFonts w:asciiTheme="minorHAnsi" w:eastAsia="MS PGothic" w:hAnsiTheme="minorHAnsi"/>
          <w:color w:val="000000"/>
          <w:sz w:val="22"/>
          <w:szCs w:val="22"/>
        </w:rPr>
        <w:t xml:space="preserve"> and </w:t>
      </w:r>
      <w:proofErr w:type="gramStart"/>
      <w:r w:rsidR="0081075A">
        <w:rPr>
          <w:rFonts w:asciiTheme="minorHAnsi" w:eastAsia="MS PGothic" w:hAnsiTheme="minorHAnsi"/>
          <w:color w:val="000000"/>
          <w:sz w:val="22"/>
          <w:szCs w:val="22"/>
        </w:rPr>
        <w:t>is obtained</w:t>
      </w:r>
      <w:proofErr w:type="gramEnd"/>
      <w:r w:rsidR="0081075A">
        <w:rPr>
          <w:rFonts w:asciiTheme="minorHAnsi" w:eastAsia="MS PGothic" w:hAnsiTheme="minorHAnsi"/>
          <w:color w:val="000000"/>
          <w:sz w:val="22"/>
          <w:szCs w:val="22"/>
        </w:rPr>
        <w:t xml:space="preserve"> through the multiplication of the previous indicators (Figure 4)</w:t>
      </w:r>
      <w:r w:rsidR="002B6347">
        <w:rPr>
          <w:rFonts w:asciiTheme="minorHAnsi" w:eastAsia="MS PGothic" w:hAnsiTheme="minorHAnsi"/>
          <w:color w:val="000000"/>
          <w:sz w:val="22"/>
          <w:szCs w:val="22"/>
        </w:rPr>
        <w:t>.</w:t>
      </w:r>
    </w:p>
    <w:p w14:paraId="32DF2485" w14:textId="1FFD9E60" w:rsidR="00A72B5B" w:rsidRDefault="00C262EA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75648" behindDoc="0" locked="0" layoutInCell="1" allowOverlap="1" wp14:anchorId="33011B72" wp14:editId="5FEC1CCA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2406015" cy="1371600"/>
            <wp:effectExtent l="0" t="0" r="13335" b="0"/>
            <wp:wrapNone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674624" behindDoc="0" locked="0" layoutInCell="1" allowOverlap="1" wp14:anchorId="6F1BADC2" wp14:editId="50678F6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390775" cy="1400175"/>
            <wp:effectExtent l="0" t="0" r="9525" b="9525"/>
            <wp:wrapNone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941EB465-C81A-4E2B-8B45-70E31F1935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EBE" w:rsidRPr="00872EBE">
        <w:rPr>
          <w:noProof/>
        </w:rPr>
        <w:t xml:space="preserve"> </w:t>
      </w:r>
      <w:r w:rsidR="00052059" w:rsidRPr="00052059">
        <w:rPr>
          <w:noProof/>
        </w:rPr>
        <w:t xml:space="preserve"> </w:t>
      </w:r>
    </w:p>
    <w:p w14:paraId="5A736A3E" w14:textId="4063EA0F" w:rsidR="00A72B5B" w:rsidRDefault="00A72B5B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</w:p>
    <w:p w14:paraId="0CB14033" w14:textId="411578F1" w:rsidR="00A72B5B" w:rsidRDefault="00A72B5B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</w:p>
    <w:p w14:paraId="0BB81B59" w14:textId="3AC0B8C5" w:rsidR="00A72B5B" w:rsidRDefault="00A72B5B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</w:p>
    <w:p w14:paraId="144E1C11" w14:textId="28081714" w:rsidR="00A72B5B" w:rsidRPr="008D0BEB" w:rsidRDefault="00A72B5B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</w:p>
    <w:p w14:paraId="77C184F8" w14:textId="05C3E191" w:rsidR="00704BDF" w:rsidRDefault="00C262EA" w:rsidP="00704BDF">
      <w:pPr>
        <w:snapToGrid w:val="0"/>
        <w:spacing w:after="120"/>
        <w:jc w:val="center"/>
        <w:rPr>
          <w:rFonts w:asciiTheme="minorHAnsi" w:eastAsia="MS PGothic" w:hAnsiTheme="minorHAnsi"/>
          <w:color w:val="000000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F11F63" wp14:editId="4D190111">
                <wp:simplePos x="0" y="0"/>
                <wp:positionH relativeFrom="column">
                  <wp:posOffset>3200400</wp:posOffset>
                </wp:positionH>
                <wp:positionV relativeFrom="paragraph">
                  <wp:posOffset>106680</wp:posOffset>
                </wp:positionV>
                <wp:extent cx="2457450" cy="635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67E616" w14:textId="22F0E4FE" w:rsidR="00BC6541" w:rsidRPr="00764157" w:rsidRDefault="005A665E" w:rsidP="00BC6541">
                            <w:pPr>
                              <w:pStyle w:val="Caption"/>
                              <w:rPr>
                                <w:rFonts w:asciiTheme="minorHAnsi" w:hAnsiTheme="minorHAnsi" w:cstheme="minorHAnsi"/>
                                <w:b w:val="0"/>
                                <w:noProof/>
                                <w:color w:val="auto"/>
                                <w:szCs w:val="20"/>
                              </w:rPr>
                            </w:pPr>
                            <w:r w:rsidRPr="00BC654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Figure </w:t>
                            </w:r>
                            <w:proofErr w:type="gramStart"/>
                            <w:r w:rsidR="00BC6541" w:rsidRPr="00BC654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4</w:t>
                            </w:r>
                            <w:proofErr w:type="gramEnd"/>
                            <w:r w:rsidR="00BC6541" w:rsidRPr="00BC654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–</w:t>
                            </w:r>
                            <w:r w:rsidR="00BC6541" w:rsidRPr="00BC6541">
                              <w:rPr>
                                <w:color w:val="auto"/>
                              </w:rPr>
                              <w:t xml:space="preserve"> </w:t>
                            </w:r>
                            <w:r w:rsidR="00BC6541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</w:rPr>
                              <w:t xml:space="preserve">Proposed </w:t>
                            </w:r>
                            <w:proofErr w:type="spellStart"/>
                            <w:r w:rsidR="00BC6541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</w:rPr>
                              <w:t>exergoeconomic</w:t>
                            </w:r>
                            <w:proofErr w:type="spellEnd"/>
                            <w:r w:rsidR="00BC6541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</w:rPr>
                              <w:t xml:space="preserve"> indicator.</w:t>
                            </w:r>
                          </w:p>
                          <w:p w14:paraId="0B7A2052" w14:textId="34018569" w:rsidR="005A665E" w:rsidRPr="00F81801" w:rsidRDefault="005A665E" w:rsidP="005A665E">
                            <w:pPr>
                              <w:pStyle w:val="Caption"/>
                              <w:rPr>
                                <w:noProof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11F63" id="Caixa de texto 11" o:spid="_x0000_s1028" type="#_x0000_t202" style="position:absolute;left:0;text-align:left;margin-left:252pt;margin-top:8.4pt;width:193.5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" stroked="f">
                <v:textbox style="mso-fit-shape-to-text:t" inset="0,0,0,0">
                  <w:txbxContent>
                    <w:p w14:paraId="3967E616" w14:textId="22F0E4FE" w:rsidR="00BC6541" w:rsidRPr="00764157" w:rsidRDefault="005A665E" w:rsidP="00BC6541">
                      <w:pPr>
                        <w:pStyle w:val="Caption"/>
                        <w:rPr>
                          <w:rFonts w:asciiTheme="minorHAnsi" w:hAnsiTheme="minorHAnsi" w:cstheme="minorHAnsi"/>
                          <w:b w:val="0"/>
                          <w:noProof/>
                          <w:color w:val="auto"/>
                          <w:szCs w:val="20"/>
                        </w:rPr>
                      </w:pPr>
                      <w:r w:rsidRPr="00BC654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Figure </w:t>
                      </w:r>
                      <w:r w:rsidR="00BC6541" w:rsidRPr="00BC6541">
                        <w:rPr>
                          <w:rFonts w:asciiTheme="minorHAnsi" w:hAnsiTheme="minorHAnsi" w:cstheme="minorHAnsi"/>
                          <w:color w:val="auto"/>
                        </w:rPr>
                        <w:t>4 –</w:t>
                      </w:r>
                      <w:r w:rsidR="00BC6541" w:rsidRPr="00BC6541">
                        <w:rPr>
                          <w:color w:val="auto"/>
                        </w:rPr>
                        <w:t xml:space="preserve"> </w:t>
                      </w:r>
                      <w:r w:rsidR="00BC6541">
                        <w:rPr>
                          <w:rFonts w:asciiTheme="minorHAnsi" w:hAnsiTheme="minorHAnsi" w:cstheme="minorHAnsi"/>
                          <w:b w:val="0"/>
                          <w:color w:val="auto"/>
                        </w:rPr>
                        <w:t xml:space="preserve">Proposed </w:t>
                      </w:r>
                      <w:proofErr w:type="spellStart"/>
                      <w:r w:rsidR="00BC6541">
                        <w:rPr>
                          <w:rFonts w:asciiTheme="minorHAnsi" w:hAnsiTheme="minorHAnsi" w:cstheme="minorHAnsi"/>
                          <w:b w:val="0"/>
                          <w:color w:val="auto"/>
                        </w:rPr>
                        <w:t>exergoeconomic</w:t>
                      </w:r>
                      <w:proofErr w:type="spellEnd"/>
                      <w:r w:rsidR="00BC6541">
                        <w:rPr>
                          <w:rFonts w:asciiTheme="minorHAnsi" w:hAnsiTheme="minorHAnsi" w:cstheme="minorHAnsi"/>
                          <w:b w:val="0"/>
                          <w:color w:val="auto"/>
                        </w:rPr>
                        <w:t xml:space="preserve"> indicator.</w:t>
                      </w:r>
                    </w:p>
                    <w:p w14:paraId="0B7A2052" w14:textId="34018569" w:rsidR="005A665E" w:rsidRPr="00F81801" w:rsidRDefault="005A665E" w:rsidP="005A665E">
                      <w:pPr>
                        <w:pStyle w:val="Caption"/>
                        <w:rPr>
                          <w:noProof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02866" wp14:editId="23B85DF2">
                <wp:simplePos x="0" y="0"/>
                <wp:positionH relativeFrom="column">
                  <wp:posOffset>-22860</wp:posOffset>
                </wp:positionH>
                <wp:positionV relativeFrom="paragraph">
                  <wp:posOffset>99695</wp:posOffset>
                </wp:positionV>
                <wp:extent cx="2590800" cy="635"/>
                <wp:effectExtent l="0" t="0" r="0" b="889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52A8BE" w14:textId="52E26958" w:rsidR="003771CE" w:rsidRPr="00764157" w:rsidRDefault="005A665E" w:rsidP="003771CE">
                            <w:pPr>
                              <w:pStyle w:val="Caption"/>
                              <w:rPr>
                                <w:rFonts w:asciiTheme="minorHAnsi" w:hAnsiTheme="minorHAnsi" w:cstheme="minorHAnsi"/>
                                <w:b w:val="0"/>
                                <w:noProof/>
                                <w:color w:val="auto"/>
                                <w:szCs w:val="20"/>
                              </w:rPr>
                            </w:pPr>
                            <w:r w:rsidRPr="00BC654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Figure </w:t>
                            </w:r>
                            <w:proofErr w:type="gramStart"/>
                            <w:r w:rsidR="00BC6541" w:rsidRPr="00BC654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3</w:t>
                            </w:r>
                            <w:proofErr w:type="gramEnd"/>
                            <w:r w:rsidR="003771CE" w:rsidRPr="00BC654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3771CE" w:rsidRPr="003771CE">
                              <w:rPr>
                                <w:b w:val="0"/>
                                <w:color w:val="auto"/>
                              </w:rPr>
                              <w:t>–</w:t>
                            </w:r>
                            <w:r w:rsidR="003771CE" w:rsidRPr="003771CE">
                              <w:rPr>
                                <w:color w:val="auto"/>
                              </w:rPr>
                              <w:t xml:space="preserve"> </w:t>
                            </w:r>
                            <w:r w:rsidR="003771CE" w:rsidRPr="00764157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</w:rPr>
                              <w:t xml:space="preserve">Effect of the feed composition on the </w:t>
                            </w:r>
                            <w:r w:rsidR="003771CE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</w:rPr>
                              <w:t>economic efficiency</w:t>
                            </w:r>
                            <w:r w:rsidR="003771CE" w:rsidRPr="00764157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</w:rPr>
                              <w:t>.</w:t>
                            </w:r>
                          </w:p>
                          <w:p w14:paraId="0D2DB142" w14:textId="251150BA" w:rsidR="005A665E" w:rsidRPr="00365088" w:rsidRDefault="005A665E" w:rsidP="005A665E">
                            <w:pPr>
                              <w:pStyle w:val="Caption"/>
                              <w:rPr>
                                <w:noProof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02866" id="Caixa de texto 10" o:spid="_x0000_s1029" type="#_x0000_t202" style="position:absolute;left:0;text-align:left;margin-left:-1.8pt;margin-top:7.85pt;width:204pt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" stroked="f">
                <v:textbox style="mso-fit-shape-to-text:t" inset="0,0,0,0">
                  <w:txbxContent>
                    <w:p w14:paraId="2452A8BE" w14:textId="52E26958" w:rsidR="003771CE" w:rsidRPr="00764157" w:rsidRDefault="005A665E" w:rsidP="003771CE">
                      <w:pPr>
                        <w:pStyle w:val="Caption"/>
                        <w:rPr>
                          <w:rFonts w:asciiTheme="minorHAnsi" w:hAnsiTheme="minorHAnsi" w:cstheme="minorHAnsi"/>
                          <w:b w:val="0"/>
                          <w:noProof/>
                          <w:color w:val="auto"/>
                          <w:szCs w:val="20"/>
                        </w:rPr>
                      </w:pPr>
                      <w:r w:rsidRPr="00BC654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Figure </w:t>
                      </w:r>
                      <w:r w:rsidR="00BC6541" w:rsidRPr="00BC6541">
                        <w:rPr>
                          <w:rFonts w:asciiTheme="minorHAnsi" w:hAnsiTheme="minorHAnsi" w:cstheme="minorHAnsi"/>
                          <w:color w:val="auto"/>
                        </w:rPr>
                        <w:t>3</w:t>
                      </w:r>
                      <w:r w:rsidR="003771CE" w:rsidRPr="00BC654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3771CE" w:rsidRPr="003771CE">
                        <w:rPr>
                          <w:b w:val="0"/>
                          <w:color w:val="auto"/>
                        </w:rPr>
                        <w:t>–</w:t>
                      </w:r>
                      <w:r w:rsidR="003771CE" w:rsidRPr="003771CE">
                        <w:rPr>
                          <w:color w:val="auto"/>
                        </w:rPr>
                        <w:t xml:space="preserve"> </w:t>
                      </w:r>
                      <w:r w:rsidR="003771CE" w:rsidRPr="00764157">
                        <w:rPr>
                          <w:rFonts w:asciiTheme="minorHAnsi" w:hAnsiTheme="minorHAnsi" w:cstheme="minorHAnsi"/>
                          <w:b w:val="0"/>
                          <w:color w:val="auto"/>
                        </w:rPr>
                        <w:t xml:space="preserve">Effect of the feed composition on the </w:t>
                      </w:r>
                      <w:r w:rsidR="003771CE">
                        <w:rPr>
                          <w:rFonts w:asciiTheme="minorHAnsi" w:hAnsiTheme="minorHAnsi" w:cstheme="minorHAnsi"/>
                          <w:b w:val="0"/>
                          <w:color w:val="auto"/>
                        </w:rPr>
                        <w:t>economic efficiency</w:t>
                      </w:r>
                      <w:r w:rsidR="003771CE" w:rsidRPr="00764157">
                        <w:rPr>
                          <w:rFonts w:asciiTheme="minorHAnsi" w:hAnsiTheme="minorHAnsi" w:cstheme="minorHAnsi"/>
                          <w:b w:val="0"/>
                          <w:color w:val="auto"/>
                        </w:rPr>
                        <w:t>.</w:t>
                      </w:r>
                    </w:p>
                    <w:p w14:paraId="0D2DB142" w14:textId="251150BA" w:rsidR="005A665E" w:rsidRPr="00365088" w:rsidRDefault="005A665E" w:rsidP="005A665E">
                      <w:pPr>
                        <w:pStyle w:val="Caption"/>
                        <w:rPr>
                          <w:noProof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E0CB12" w14:textId="68CB5B9F" w:rsidR="00A72B5B" w:rsidRPr="00DE0019" w:rsidRDefault="00A72B5B" w:rsidP="00704BDF">
      <w:pPr>
        <w:snapToGrid w:val="0"/>
        <w:spacing w:after="120"/>
        <w:jc w:val="center"/>
        <w:rPr>
          <w:rFonts w:asciiTheme="minorHAnsi" w:eastAsia="MS PGothic" w:hAnsiTheme="minorHAnsi"/>
          <w:color w:val="000000"/>
        </w:rPr>
      </w:pPr>
    </w:p>
    <w:p w14:paraId="4DAA9589" w14:textId="41DC1453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14:paraId="1F20E485" w14:textId="2DD8C9CC" w:rsidR="003B1E0C" w:rsidRDefault="003B73BB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In this work, it was evaluated the effect of crude oil composition on the overall performance of the</w:t>
      </w:r>
      <w:r w:rsidR="006168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topping distillation unit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Energy, exergy and economic analyses </w:t>
      </w:r>
      <w:proofErr w:type="gramStart"/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were performed</w:t>
      </w:r>
      <w:proofErr w:type="gramEnd"/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. Heav</w:t>
      </w:r>
      <w:r w:rsidR="00813AC9">
        <w:rPr>
          <w:rFonts w:asciiTheme="minorHAnsi" w:eastAsia="MS PGothic" w:hAnsiTheme="minorHAnsi"/>
          <w:color w:val="000000"/>
          <w:sz w:val="22"/>
          <w:szCs w:val="22"/>
          <w:lang w:val="en-US"/>
        </w:rPr>
        <w:t>y</w:t>
      </w:r>
      <w:r w:rsidR="006168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 have higher exergy efficiencies</w:t>
      </w:r>
      <w:r w:rsidR="00802F2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while conventional</w:t>
      </w:r>
      <w:r w:rsidR="006168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are more profitable. A new indicator </w:t>
      </w:r>
      <w:proofErr w:type="gramStart"/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was proposed</w:t>
      </w:r>
      <w:proofErr w:type="gramEnd"/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achieve a compromise between profitability and sustainability</w:t>
      </w:r>
      <w:r w:rsidR="006168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indicating the optimum blend fraction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</w:p>
    <w:p w14:paraId="3155AA0D" w14:textId="77777777" w:rsidR="00413CAD" w:rsidRDefault="00616876" w:rsidP="00413CAD">
      <w:pPr>
        <w:snapToGrid w:val="0"/>
        <w:spacing w:after="120"/>
        <w:rPr>
          <w:rFonts w:asciiTheme="minorHAnsi" w:eastAsia="MS PGothic" w:hAnsiTheme="minorHAnsi" w:cstheme="minorHAnsi"/>
          <w:color w:val="000000"/>
          <w:szCs w:val="18"/>
          <w:lang w:val="en-US"/>
        </w:rPr>
      </w:pPr>
      <w:r w:rsidRPr="003F05AC">
        <w:rPr>
          <w:rFonts w:asciiTheme="minorHAnsi" w:eastAsiaTheme="minorHAnsi" w:hAnsiTheme="minorHAnsi" w:cstheme="minorHAnsi"/>
          <w:b/>
          <w:szCs w:val="18"/>
        </w:rPr>
        <w:t>Acknowledgements</w:t>
      </w:r>
      <w:r w:rsidRPr="005A4794">
        <w:rPr>
          <w:rFonts w:asciiTheme="minorHAnsi" w:eastAsiaTheme="minorHAnsi" w:hAnsiTheme="minorHAnsi" w:cstheme="minorHAnsi"/>
          <w:szCs w:val="18"/>
        </w:rPr>
        <w:t xml:space="preserve">: </w:t>
      </w:r>
      <w:r w:rsidRPr="005A4794">
        <w:rPr>
          <w:rFonts w:asciiTheme="minorHAnsi" w:eastAsia="MS PGothic" w:hAnsiTheme="minorHAnsi" w:cstheme="minorHAnsi"/>
          <w:color w:val="000000"/>
          <w:szCs w:val="18"/>
          <w:lang w:val="en-US"/>
        </w:rPr>
        <w:t xml:space="preserve">This work </w:t>
      </w:r>
      <w:proofErr w:type="gramStart"/>
      <w:r w:rsidRPr="005A4794">
        <w:rPr>
          <w:rFonts w:asciiTheme="minorHAnsi" w:eastAsia="MS PGothic" w:hAnsiTheme="minorHAnsi" w:cstheme="minorHAnsi"/>
          <w:color w:val="000000"/>
          <w:szCs w:val="18"/>
          <w:lang w:val="en-US"/>
        </w:rPr>
        <w:t>was financially supported</w:t>
      </w:r>
      <w:proofErr w:type="gramEnd"/>
      <w:r w:rsidRPr="005A4794">
        <w:rPr>
          <w:rFonts w:asciiTheme="minorHAnsi" w:eastAsia="MS PGothic" w:hAnsiTheme="minorHAnsi" w:cstheme="minorHAnsi"/>
          <w:color w:val="000000"/>
          <w:szCs w:val="18"/>
          <w:lang w:val="en-US"/>
        </w:rPr>
        <w:t xml:space="preserve"> by: Project </w:t>
      </w:r>
      <w:r w:rsidRPr="005A4794">
        <w:rPr>
          <w:rFonts w:asciiTheme="minorHAnsi" w:eastAsia="MS PGothic" w:hAnsiTheme="minorHAnsi" w:cstheme="minorHAnsi" w:hint="eastAsia"/>
          <w:color w:val="000000"/>
          <w:szCs w:val="18"/>
          <w:lang w:val="en-US"/>
        </w:rPr>
        <w:t>“</w:t>
      </w:r>
      <w:r w:rsidRPr="005A4794">
        <w:rPr>
          <w:rFonts w:asciiTheme="minorHAnsi" w:eastAsia="MS PGothic" w:hAnsiTheme="minorHAnsi" w:cstheme="minorHAnsi"/>
          <w:color w:val="000000"/>
          <w:szCs w:val="18"/>
          <w:lang w:val="en-US"/>
        </w:rPr>
        <w:t>LEPABE-2-ECO-INNOVATION</w:t>
      </w:r>
      <w:r w:rsidRPr="005A4794">
        <w:rPr>
          <w:rFonts w:asciiTheme="minorHAnsi" w:eastAsia="MS PGothic" w:hAnsiTheme="minorHAnsi" w:cstheme="minorHAnsi" w:hint="eastAsia"/>
          <w:color w:val="000000"/>
          <w:szCs w:val="18"/>
          <w:lang w:val="en-US"/>
        </w:rPr>
        <w:t>”</w:t>
      </w:r>
      <w:r w:rsidRPr="005A4794">
        <w:rPr>
          <w:rFonts w:asciiTheme="minorHAnsi" w:eastAsia="MS PGothic" w:hAnsiTheme="minorHAnsi" w:cstheme="minorHAnsi"/>
          <w:color w:val="000000"/>
          <w:szCs w:val="18"/>
          <w:lang w:val="en-US"/>
        </w:rPr>
        <w:t xml:space="preserve"> </w:t>
      </w:r>
      <w:r w:rsidRPr="005A4794">
        <w:rPr>
          <w:rFonts w:asciiTheme="minorHAnsi" w:eastAsia="MS PGothic" w:hAnsiTheme="minorHAnsi" w:cstheme="minorHAnsi" w:hint="eastAsia"/>
          <w:color w:val="000000"/>
          <w:szCs w:val="18"/>
          <w:lang w:val="en-US"/>
        </w:rPr>
        <w:t>–</w:t>
      </w:r>
      <w:r w:rsidRPr="005A4794">
        <w:rPr>
          <w:rFonts w:asciiTheme="minorHAnsi" w:eastAsia="MS PGothic" w:hAnsiTheme="minorHAnsi" w:cstheme="minorHAnsi"/>
          <w:color w:val="000000"/>
          <w:szCs w:val="18"/>
          <w:lang w:val="en-US"/>
        </w:rPr>
        <w:t xml:space="preserve"> NORTE</w:t>
      </w:r>
      <w:r w:rsidRPr="005A4794">
        <w:rPr>
          <w:rFonts w:asciiTheme="minorHAnsi" w:eastAsia="MS PGothic" w:hAnsiTheme="minorHAnsi" w:cstheme="minorHAnsi" w:hint="eastAsia"/>
          <w:color w:val="000000"/>
          <w:szCs w:val="18"/>
          <w:lang w:val="en-US"/>
        </w:rPr>
        <w:t>‐</w:t>
      </w:r>
      <w:r w:rsidRPr="005A4794">
        <w:rPr>
          <w:rFonts w:asciiTheme="minorHAnsi" w:eastAsia="MS PGothic" w:hAnsiTheme="minorHAnsi" w:cstheme="minorHAnsi"/>
          <w:color w:val="000000"/>
          <w:szCs w:val="18"/>
          <w:lang w:val="en-US"/>
        </w:rPr>
        <w:t>01</w:t>
      </w:r>
      <w:r w:rsidRPr="005A4794">
        <w:rPr>
          <w:rFonts w:asciiTheme="minorHAnsi" w:eastAsia="MS PGothic" w:hAnsiTheme="minorHAnsi" w:cstheme="minorHAnsi" w:hint="eastAsia"/>
          <w:color w:val="000000"/>
          <w:szCs w:val="18"/>
          <w:lang w:val="en-US"/>
        </w:rPr>
        <w:t>‐</w:t>
      </w:r>
      <w:r w:rsidRPr="005A4794">
        <w:rPr>
          <w:rFonts w:asciiTheme="minorHAnsi" w:eastAsia="MS PGothic" w:hAnsiTheme="minorHAnsi" w:cstheme="minorHAnsi"/>
          <w:color w:val="000000"/>
          <w:szCs w:val="18"/>
          <w:lang w:val="en-US"/>
        </w:rPr>
        <w:t>0145</w:t>
      </w:r>
      <w:r w:rsidRPr="005A4794">
        <w:rPr>
          <w:rFonts w:asciiTheme="minorHAnsi" w:eastAsia="MS PGothic" w:hAnsiTheme="minorHAnsi" w:cstheme="minorHAnsi" w:hint="eastAsia"/>
          <w:color w:val="000000"/>
          <w:szCs w:val="18"/>
          <w:lang w:val="en-US"/>
        </w:rPr>
        <w:t>‐</w:t>
      </w:r>
      <w:r w:rsidRPr="005A4794">
        <w:rPr>
          <w:rFonts w:asciiTheme="minorHAnsi" w:eastAsia="MS PGothic" w:hAnsiTheme="minorHAnsi" w:cstheme="minorHAnsi"/>
          <w:color w:val="000000"/>
          <w:szCs w:val="18"/>
          <w:lang w:val="en-US"/>
        </w:rPr>
        <w:t>FEDER</w:t>
      </w:r>
      <w:r w:rsidRPr="005A4794">
        <w:rPr>
          <w:rFonts w:asciiTheme="minorHAnsi" w:eastAsia="MS PGothic" w:hAnsiTheme="minorHAnsi" w:cstheme="minorHAnsi" w:hint="eastAsia"/>
          <w:color w:val="000000"/>
          <w:szCs w:val="18"/>
          <w:lang w:val="en-US"/>
        </w:rPr>
        <w:t>‐</w:t>
      </w:r>
      <w:r w:rsidRPr="005A4794">
        <w:rPr>
          <w:rFonts w:asciiTheme="minorHAnsi" w:eastAsia="MS PGothic" w:hAnsiTheme="minorHAnsi" w:cstheme="minorHAnsi"/>
          <w:color w:val="000000"/>
          <w:szCs w:val="18"/>
          <w:lang w:val="en-US"/>
        </w:rPr>
        <w:t xml:space="preserve">000005, funded by Norte Portugal Regional Operational </w:t>
      </w:r>
      <w:proofErr w:type="spellStart"/>
      <w:r w:rsidRPr="005A4794">
        <w:rPr>
          <w:rFonts w:asciiTheme="minorHAnsi" w:eastAsia="MS PGothic" w:hAnsiTheme="minorHAnsi" w:cstheme="minorHAnsi"/>
          <w:color w:val="000000"/>
          <w:szCs w:val="18"/>
          <w:lang w:val="en-US"/>
        </w:rPr>
        <w:t>Programme</w:t>
      </w:r>
      <w:proofErr w:type="spellEnd"/>
      <w:r w:rsidRPr="005A4794">
        <w:rPr>
          <w:rFonts w:asciiTheme="minorHAnsi" w:eastAsia="MS PGothic" w:hAnsiTheme="minorHAnsi" w:cstheme="minorHAnsi"/>
          <w:color w:val="000000"/>
          <w:szCs w:val="18"/>
          <w:lang w:val="en-US"/>
        </w:rPr>
        <w:t xml:space="preserve"> (NORTE 2020), under PORTUGAL 2020 Partnership Agreement, through the European Regional Development Fund (ERDF).</w:t>
      </w:r>
    </w:p>
    <w:p w14:paraId="0F0526C7" w14:textId="3E698113" w:rsidR="00584A47" w:rsidRDefault="00704BDF" w:rsidP="00413CAD">
      <w:pPr>
        <w:snapToGrid w:val="0"/>
        <w:spacing w:after="120"/>
        <w:rPr>
          <w:rFonts w:asciiTheme="minorHAnsi" w:eastAsia="SimSun" w:hAnsiTheme="minorHAnsi"/>
          <w:sz w:val="22"/>
          <w:szCs w:val="22"/>
          <w:lang w:eastAsia="zh-CN"/>
        </w:rPr>
      </w:pPr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References </w:t>
      </w:r>
    </w:p>
    <w:p w14:paraId="6038AE24" w14:textId="37F30912" w:rsidR="003B1E0C" w:rsidRPr="003B1E0C" w:rsidRDefault="00584A47" w:rsidP="003B1E0C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</w:rPr>
      </w:pPr>
      <w:r w:rsidRPr="00413CAD">
        <w:rPr>
          <w:rFonts w:asciiTheme="minorHAnsi" w:hAnsiTheme="minorHAnsi"/>
          <w:color w:val="000000"/>
        </w:rPr>
        <w:fldChar w:fldCharType="begin"/>
      </w:r>
      <w:r w:rsidRPr="003B1E0C">
        <w:rPr>
          <w:rFonts w:asciiTheme="minorHAnsi" w:hAnsiTheme="minorHAnsi"/>
          <w:color w:val="000000"/>
        </w:rPr>
        <w:instrText xml:space="preserve"> ADDIN EN.REFLIST </w:instrText>
      </w:r>
      <w:r w:rsidRPr="00413CAD">
        <w:rPr>
          <w:rFonts w:asciiTheme="minorHAnsi" w:hAnsiTheme="minorHAnsi"/>
          <w:color w:val="000000"/>
        </w:rPr>
        <w:fldChar w:fldCharType="separate"/>
      </w:r>
      <w:r w:rsidR="003B1E0C" w:rsidRPr="003B1E0C">
        <w:rPr>
          <w:rFonts w:asciiTheme="minorHAnsi" w:hAnsiTheme="minorHAnsi"/>
          <w:color w:val="000000"/>
        </w:rPr>
        <w:t>Coker, A.K., Petroleum Refining Design and Applications Handbook. 2018: John Wiley &amp; Sons.</w:t>
      </w:r>
    </w:p>
    <w:p w14:paraId="6307CFDF" w14:textId="041F2270" w:rsidR="00704BDF" w:rsidRPr="00943013" w:rsidRDefault="003B1E0C" w:rsidP="00A47DC8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</w:rPr>
      </w:pPr>
      <w:r w:rsidRPr="00413CAD">
        <w:rPr>
          <w:rFonts w:asciiTheme="minorHAnsi" w:hAnsiTheme="minorHAnsi"/>
          <w:color w:val="000000"/>
        </w:rPr>
        <w:t xml:space="preserve">Tsatsaronis, G., Definitions </w:t>
      </w:r>
      <w:r w:rsidRPr="00413CAD">
        <w:rPr>
          <w:rFonts w:asciiTheme="minorHAnsi" w:hAnsiTheme="minorHAnsi"/>
          <w:noProof/>
          <w:color w:val="000000"/>
        </w:rPr>
        <w:t>and</w:t>
      </w:r>
      <w:r w:rsidRPr="00413CAD">
        <w:rPr>
          <w:rFonts w:asciiTheme="minorHAnsi" w:hAnsiTheme="minorHAnsi"/>
          <w:color w:val="000000"/>
        </w:rPr>
        <w:t xml:space="preserve"> nomenclature in exergy analysis and </w:t>
      </w:r>
      <w:r w:rsidRPr="00413CAD">
        <w:rPr>
          <w:rFonts w:asciiTheme="minorHAnsi" w:hAnsiTheme="minorHAnsi"/>
          <w:noProof/>
          <w:color w:val="000000"/>
        </w:rPr>
        <w:t>exergoeconomics</w:t>
      </w:r>
      <w:r w:rsidRPr="00413CAD">
        <w:rPr>
          <w:rFonts w:asciiTheme="minorHAnsi" w:hAnsiTheme="minorHAnsi"/>
          <w:color w:val="000000"/>
        </w:rPr>
        <w:t>. Energy, 2007. 32(4): p. 249-253.</w:t>
      </w:r>
      <w:r w:rsidR="00584A47" w:rsidRPr="00413CAD">
        <w:rPr>
          <w:rFonts w:asciiTheme="minorHAnsi" w:hAnsiTheme="minorHAnsi"/>
          <w:color w:val="000000"/>
        </w:rPr>
        <w:fldChar w:fldCharType="end"/>
      </w:r>
    </w:p>
    <w:sectPr w:rsidR="00704BDF" w:rsidRPr="00943013" w:rsidSect="006009B0">
      <w:type w:val="continuous"/>
      <w:pgSz w:w="11906" w:h="16838" w:code="9"/>
      <w:pgMar w:top="2835" w:right="1418" w:bottom="426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DEC45" w14:textId="77777777" w:rsidR="00157A77" w:rsidRDefault="00157A77" w:rsidP="004F5E36">
      <w:r>
        <w:separator/>
      </w:r>
    </w:p>
  </w:endnote>
  <w:endnote w:type="continuationSeparator" w:id="0">
    <w:p w14:paraId="4F7B7A5C" w14:textId="77777777" w:rsidR="00157A77" w:rsidRDefault="00157A77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B310A" w14:textId="77777777" w:rsidR="00157A77" w:rsidRDefault="00157A77" w:rsidP="004F5E36">
      <w:r>
        <w:separator/>
      </w:r>
    </w:p>
  </w:footnote>
  <w:footnote w:type="continuationSeparator" w:id="0">
    <w:p w14:paraId="24A0EE4F" w14:textId="77777777" w:rsidR="00157A77" w:rsidRDefault="00157A77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CD59D" w14:textId="77777777" w:rsidR="004D1162" w:rsidRDefault="00594E9F">
    <w:pPr>
      <w:pStyle w:val="Header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11C6A1" wp14:editId="2CFDB920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402DFF5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pt-PT" w:eastAsia="pt-PT"/>
      </w:rPr>
      <w:drawing>
        <wp:anchor distT="0" distB="0" distL="114300" distR="114300" simplePos="0" relativeHeight="251662336" behindDoc="0" locked="0" layoutInCell="1" allowOverlap="1" wp14:anchorId="1CB3C1AA" wp14:editId="371963B6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0F79F" w14:textId="77777777" w:rsidR="00704BDF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pt-PT" w:eastAsia="pt-PT"/>
      </w:rPr>
      <w:drawing>
        <wp:anchor distT="0" distB="0" distL="114300" distR="114300" simplePos="0" relativeHeight="251659264" behindDoc="0" locked="0" layoutInCell="1" allowOverlap="1" wp14:anchorId="6413057F" wp14:editId="48C6C4CF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14:paraId="6F5842E9" w14:textId="77777777" w:rsidR="00C2112F" w:rsidRDefault="00C2112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</w:p>
  <w:p w14:paraId="280BCEAB" w14:textId="77777777" w:rsidR="005D0FAF" w:rsidRDefault="00C2112F" w:rsidP="005D0FA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                         </w:t>
    </w:r>
    <w:r w:rsidR="005D0FAF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   </w:t>
    </w:r>
    <w:r w:rsidR="005D0FAF" w:rsidRPr="005D0FAF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Energy and Chemical Engineering </w:t>
    </w:r>
  </w:p>
  <w:p w14:paraId="680450DB" w14:textId="77777777" w:rsidR="00704BDF" w:rsidRDefault="00704BDF" w:rsidP="005D0FAF">
    <w:pPr>
      <w:ind w:left="-426" w:right="-285"/>
      <w:jc w:val="center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913B7" wp14:editId="1BF61725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74280B6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4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0409000F" w:tentative="1">
      <w:start w:val="1"/>
      <w:numFmt w:val="decimal"/>
      <w:lvlText w:val="%4."/>
      <w:lvlJc w:val="left"/>
      <w:pPr>
        <w:ind w:left="8010" w:hanging="360"/>
      </w:p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leSimpl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wsrQ0NTc2MDMyMTJU0lEKTi0uzszPAykwqQUAWne/N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swxa0tr6xezfiet00mxx957t20wz5xafwea&quot;&gt;My EndNote Library&lt;record-ids&gt;&lt;item&gt;1&lt;/item&gt;&lt;item&gt;2&lt;/item&gt;&lt;/record-ids&gt;&lt;/item&gt;&lt;/Libraries&gt;"/>
  </w:docVars>
  <w:rsids>
    <w:rsidRoot w:val="000E414A"/>
    <w:rsid w:val="000027C0"/>
    <w:rsid w:val="00003660"/>
    <w:rsid w:val="000117CB"/>
    <w:rsid w:val="0003148D"/>
    <w:rsid w:val="00031AE3"/>
    <w:rsid w:val="0004528B"/>
    <w:rsid w:val="00052059"/>
    <w:rsid w:val="00055D9D"/>
    <w:rsid w:val="00057114"/>
    <w:rsid w:val="00062A9A"/>
    <w:rsid w:val="00073665"/>
    <w:rsid w:val="0007509A"/>
    <w:rsid w:val="000A03B2"/>
    <w:rsid w:val="000D34BE"/>
    <w:rsid w:val="000E36F1"/>
    <w:rsid w:val="000E3A73"/>
    <w:rsid w:val="000E414A"/>
    <w:rsid w:val="00124108"/>
    <w:rsid w:val="001266C8"/>
    <w:rsid w:val="0013121F"/>
    <w:rsid w:val="00134DE4"/>
    <w:rsid w:val="00150E59"/>
    <w:rsid w:val="00157A77"/>
    <w:rsid w:val="00184AD6"/>
    <w:rsid w:val="001B65C1"/>
    <w:rsid w:val="001C684B"/>
    <w:rsid w:val="001D53FC"/>
    <w:rsid w:val="001E30BB"/>
    <w:rsid w:val="001F00B0"/>
    <w:rsid w:val="001F1188"/>
    <w:rsid w:val="001F2EC7"/>
    <w:rsid w:val="002065DB"/>
    <w:rsid w:val="002267B1"/>
    <w:rsid w:val="00243F24"/>
    <w:rsid w:val="002447EF"/>
    <w:rsid w:val="00247DEE"/>
    <w:rsid w:val="00251550"/>
    <w:rsid w:val="0027221A"/>
    <w:rsid w:val="00275B61"/>
    <w:rsid w:val="002B6347"/>
    <w:rsid w:val="002D1F12"/>
    <w:rsid w:val="003009B7"/>
    <w:rsid w:val="00303BE9"/>
    <w:rsid w:val="0030469C"/>
    <w:rsid w:val="00355923"/>
    <w:rsid w:val="00357711"/>
    <w:rsid w:val="003723D4"/>
    <w:rsid w:val="00375655"/>
    <w:rsid w:val="003771CE"/>
    <w:rsid w:val="003A65B3"/>
    <w:rsid w:val="003A7D1C"/>
    <w:rsid w:val="003B1E0C"/>
    <w:rsid w:val="003B73BB"/>
    <w:rsid w:val="003D5902"/>
    <w:rsid w:val="003E4D56"/>
    <w:rsid w:val="00413CAD"/>
    <w:rsid w:val="004166F2"/>
    <w:rsid w:val="00426854"/>
    <w:rsid w:val="0046164A"/>
    <w:rsid w:val="00462DCD"/>
    <w:rsid w:val="004923A8"/>
    <w:rsid w:val="004D0EA3"/>
    <w:rsid w:val="004D1162"/>
    <w:rsid w:val="004E4DD6"/>
    <w:rsid w:val="004F5E36"/>
    <w:rsid w:val="005119A5"/>
    <w:rsid w:val="005278B7"/>
    <w:rsid w:val="005346C8"/>
    <w:rsid w:val="00542203"/>
    <w:rsid w:val="00557100"/>
    <w:rsid w:val="00557C11"/>
    <w:rsid w:val="00584A47"/>
    <w:rsid w:val="00594E9F"/>
    <w:rsid w:val="005A082C"/>
    <w:rsid w:val="005A665E"/>
    <w:rsid w:val="005B61E6"/>
    <w:rsid w:val="005C2E77"/>
    <w:rsid w:val="005C7639"/>
    <w:rsid w:val="005C77E1"/>
    <w:rsid w:val="005D0FAF"/>
    <w:rsid w:val="005D6A2F"/>
    <w:rsid w:val="005E1A82"/>
    <w:rsid w:val="005F0A28"/>
    <w:rsid w:val="005F0E5E"/>
    <w:rsid w:val="006009B0"/>
    <w:rsid w:val="00616876"/>
    <w:rsid w:val="00620DEE"/>
    <w:rsid w:val="00625639"/>
    <w:rsid w:val="0064184D"/>
    <w:rsid w:val="00660E3E"/>
    <w:rsid w:val="00662E74"/>
    <w:rsid w:val="00680D47"/>
    <w:rsid w:val="006A58D2"/>
    <w:rsid w:val="006C2879"/>
    <w:rsid w:val="006C5579"/>
    <w:rsid w:val="006E7678"/>
    <w:rsid w:val="00704BDF"/>
    <w:rsid w:val="00720862"/>
    <w:rsid w:val="00736B13"/>
    <w:rsid w:val="0074065D"/>
    <w:rsid w:val="007447F3"/>
    <w:rsid w:val="00751C97"/>
    <w:rsid w:val="00764157"/>
    <w:rsid w:val="007661C8"/>
    <w:rsid w:val="007D52CD"/>
    <w:rsid w:val="007E230C"/>
    <w:rsid w:val="007E3433"/>
    <w:rsid w:val="00802F2C"/>
    <w:rsid w:val="0081075A"/>
    <w:rsid w:val="00813288"/>
    <w:rsid w:val="00813AC9"/>
    <w:rsid w:val="008168FC"/>
    <w:rsid w:val="00830D8E"/>
    <w:rsid w:val="008479A2"/>
    <w:rsid w:val="0085156E"/>
    <w:rsid w:val="00872EBE"/>
    <w:rsid w:val="0087637F"/>
    <w:rsid w:val="00881228"/>
    <w:rsid w:val="008A1512"/>
    <w:rsid w:val="008B5E85"/>
    <w:rsid w:val="008D0BEB"/>
    <w:rsid w:val="008E566E"/>
    <w:rsid w:val="00901EB6"/>
    <w:rsid w:val="00930678"/>
    <w:rsid w:val="00943013"/>
    <w:rsid w:val="009450CE"/>
    <w:rsid w:val="0095164B"/>
    <w:rsid w:val="009824B2"/>
    <w:rsid w:val="00982F44"/>
    <w:rsid w:val="00996483"/>
    <w:rsid w:val="009B5E71"/>
    <w:rsid w:val="009E788A"/>
    <w:rsid w:val="00A1763D"/>
    <w:rsid w:val="00A17CEC"/>
    <w:rsid w:val="00A27EF0"/>
    <w:rsid w:val="00A677C1"/>
    <w:rsid w:val="00A72B5B"/>
    <w:rsid w:val="00A76EFC"/>
    <w:rsid w:val="00A8349C"/>
    <w:rsid w:val="00A9626B"/>
    <w:rsid w:val="00A97B70"/>
    <w:rsid w:val="00A97F29"/>
    <w:rsid w:val="00AB0964"/>
    <w:rsid w:val="00AC37A0"/>
    <w:rsid w:val="00AE377D"/>
    <w:rsid w:val="00B03653"/>
    <w:rsid w:val="00B53C9E"/>
    <w:rsid w:val="00B61DBF"/>
    <w:rsid w:val="00B91018"/>
    <w:rsid w:val="00BB7F48"/>
    <w:rsid w:val="00BC1375"/>
    <w:rsid w:val="00BC30C9"/>
    <w:rsid w:val="00BC6541"/>
    <w:rsid w:val="00BE3E58"/>
    <w:rsid w:val="00BE648F"/>
    <w:rsid w:val="00C01616"/>
    <w:rsid w:val="00C0162B"/>
    <w:rsid w:val="00C13155"/>
    <w:rsid w:val="00C16BE9"/>
    <w:rsid w:val="00C2112F"/>
    <w:rsid w:val="00C262EA"/>
    <w:rsid w:val="00C345B1"/>
    <w:rsid w:val="00C40142"/>
    <w:rsid w:val="00C57182"/>
    <w:rsid w:val="00C655FD"/>
    <w:rsid w:val="00C8235B"/>
    <w:rsid w:val="00C83985"/>
    <w:rsid w:val="00C867B1"/>
    <w:rsid w:val="00C94434"/>
    <w:rsid w:val="00CA1C95"/>
    <w:rsid w:val="00CA4099"/>
    <w:rsid w:val="00CA5A9C"/>
    <w:rsid w:val="00CD5FE2"/>
    <w:rsid w:val="00CE5B5D"/>
    <w:rsid w:val="00CF543E"/>
    <w:rsid w:val="00D02B4C"/>
    <w:rsid w:val="00D51F5B"/>
    <w:rsid w:val="00D84576"/>
    <w:rsid w:val="00DA2F6B"/>
    <w:rsid w:val="00DB0E1E"/>
    <w:rsid w:val="00DD7DBC"/>
    <w:rsid w:val="00DE0019"/>
    <w:rsid w:val="00DE264A"/>
    <w:rsid w:val="00E041E7"/>
    <w:rsid w:val="00E1213E"/>
    <w:rsid w:val="00E23CA1"/>
    <w:rsid w:val="00E31F8C"/>
    <w:rsid w:val="00E409A8"/>
    <w:rsid w:val="00E53D13"/>
    <w:rsid w:val="00E60126"/>
    <w:rsid w:val="00E7209D"/>
    <w:rsid w:val="00E90C9C"/>
    <w:rsid w:val="00EA50E1"/>
    <w:rsid w:val="00EA5969"/>
    <w:rsid w:val="00EC70E8"/>
    <w:rsid w:val="00ED3A83"/>
    <w:rsid w:val="00EE0131"/>
    <w:rsid w:val="00F30C64"/>
    <w:rsid w:val="00FB730C"/>
    <w:rsid w:val="00FC2695"/>
    <w:rsid w:val="00FC3E03"/>
    <w:rsid w:val="00FC6143"/>
    <w:rsid w:val="00FD224C"/>
    <w:rsid w:val="00FD3F09"/>
    <w:rsid w:val="00FE6A2D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573C9E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ing1">
    <w:name w:val="heading 1"/>
    <w:basedOn w:val="CETHeading1"/>
    <w:next w:val="Normal"/>
    <w:link w:val="Heading1Ch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leSimple1">
    <w:name w:val="Table Simple 1"/>
    <w:basedOn w:val="TableNormal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148D"/>
  </w:style>
  <w:style w:type="paragraph" w:styleId="BodyText2">
    <w:name w:val="Body Text 2"/>
    <w:basedOn w:val="Normal"/>
    <w:link w:val="BodyText2Char"/>
    <w:uiPriority w:val="99"/>
    <w:semiHidden/>
    <w:unhideWhenUsed/>
    <w:rsid w:val="000314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148D"/>
  </w:style>
  <w:style w:type="paragraph" w:styleId="BodyText3">
    <w:name w:val="Body Text 3"/>
    <w:basedOn w:val="Normal"/>
    <w:link w:val="BodyText3Char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148D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314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148D"/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03148D"/>
  </w:style>
  <w:style w:type="character" w:customStyle="1" w:styleId="DateChar">
    <w:name w:val="Date Char"/>
    <w:basedOn w:val="DefaultParagraphFont"/>
    <w:link w:val="Date"/>
    <w:uiPriority w:val="99"/>
    <w:semiHidden/>
    <w:rsid w:val="0003148D"/>
  </w:style>
  <w:style w:type="paragraph" w:styleId="Caption">
    <w:name w:val="caption"/>
    <w:basedOn w:val="Normal"/>
    <w:next w:val="Normal"/>
    <w:uiPriority w:val="35"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">
    <w:name w:val="List"/>
    <w:basedOn w:val="Normal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03148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148D"/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03148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148D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0314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148D"/>
  </w:style>
  <w:style w:type="paragraph" w:styleId="Closing">
    <w:name w:val="Closing"/>
    <w:basedOn w:val="Normal"/>
    <w:link w:val="ClosingCh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148D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03148D"/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03148D"/>
    <w:pPr>
      <w:ind w:left="220" w:hanging="220"/>
    </w:pPr>
  </w:style>
  <w:style w:type="paragraph" w:styleId="EnvelopeAddress">
    <w:name w:val="envelope address"/>
    <w:basedOn w:val="Normal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148D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03148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148D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locked/>
    <w:rsid w:val="0003148D"/>
    <w:rPr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148D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148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148D"/>
  </w:style>
  <w:style w:type="paragraph" w:styleId="ListBullet">
    <w:name w:val="List Bullet"/>
    <w:basedOn w:val="Normal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148D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148D"/>
    <w:rPr>
      <w:sz w:val="16"/>
      <w:szCs w:val="16"/>
    </w:rPr>
  </w:style>
  <w:style w:type="paragraph" w:styleId="NormalIndent">
    <w:name w:val="Normal Indent"/>
    <w:basedOn w:val="Normal"/>
    <w:uiPriority w:val="99"/>
    <w:semiHidden/>
    <w:unhideWhenUsed/>
    <w:locked/>
    <w:rsid w:val="0003148D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314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1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48D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03148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BlockText">
    <w:name w:val="Block Text"/>
    <w:basedOn w:val="Normal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MacroText">
    <w:name w:val="macro"/>
    <w:link w:val="MacroTextChar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03148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48D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03148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148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DefaultParagraphFont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TableGrid">
    <w:name w:val="Table Grid"/>
    <w:basedOn w:val="TableNormal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paragraph" w:customStyle="1" w:styleId="EndNoteBibliographyTitle">
    <w:name w:val="EndNote Bibliography Title"/>
    <w:basedOn w:val="Normal"/>
    <w:link w:val="EndNoteBibliographyTitleCarter"/>
    <w:rsid w:val="00584A47"/>
    <w:pPr>
      <w:jc w:val="center"/>
    </w:pPr>
    <w:rPr>
      <w:rFonts w:ascii="Times" w:hAnsi="Times" w:cs="Times"/>
      <w:noProof/>
      <w:sz w:val="20"/>
      <w:lang w:val="en-US"/>
    </w:rPr>
  </w:style>
  <w:style w:type="character" w:customStyle="1" w:styleId="EndNoteBibliographyTitleCarter">
    <w:name w:val="EndNote Bibliography Title Caráter"/>
    <w:basedOn w:val="DefaultParagraphFont"/>
    <w:link w:val="EndNoteBibliographyTitle"/>
    <w:rsid w:val="00584A47"/>
    <w:rPr>
      <w:rFonts w:ascii="Times" w:eastAsia="Times New Roman" w:hAnsi="Times" w:cs="Times"/>
      <w:noProof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arter"/>
    <w:rsid w:val="00584A47"/>
    <w:pPr>
      <w:spacing w:line="240" w:lineRule="auto"/>
    </w:pPr>
    <w:rPr>
      <w:rFonts w:ascii="Times" w:hAnsi="Times" w:cs="Times"/>
      <w:noProof/>
      <w:sz w:val="20"/>
      <w:lang w:val="en-US"/>
    </w:rPr>
  </w:style>
  <w:style w:type="character" w:customStyle="1" w:styleId="EndNoteBibliographyCarter">
    <w:name w:val="EndNote Bibliography Caráter"/>
    <w:basedOn w:val="DefaultParagraphFont"/>
    <w:link w:val="EndNoteBibliography"/>
    <w:rsid w:val="00584A47"/>
    <w:rPr>
      <w:rFonts w:ascii="Times" w:eastAsia="Times New Roman" w:hAnsi="Times" w:cs="Times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H:\Impress&#227;o\analiseavan&#231;ada\BLENDING\exergoeconomic\blend_sustainability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H:\Impress&#227;o\analiseavan&#231;ada\BLENDING\exergoeconomic\blend_sustainability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H:\Impress&#227;o\analiseavan&#231;ada\BLENDING\exergoeconomic\blend_sustainability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H:\Impress&#227;o\analiseavan&#231;ada\BLENDING\exergoeconomic\blend_sustainability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055352281708282"/>
          <c:y val="0.1070559610705596"/>
          <c:w val="0.74362243752988133"/>
          <c:h val="0.6144721022775379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Resumo!$A$2:$A$10</c:f>
              <c:numCache>
                <c:formatCode>General</c:formatCode>
                <c:ptCount val="9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</c:numCache>
            </c:numRef>
          </c:xVal>
          <c:yVal>
            <c:numRef>
              <c:f>Resumo!$F$2:$F$10</c:f>
              <c:numCache>
                <c:formatCode>General</c:formatCode>
                <c:ptCount val="9"/>
                <c:pt idx="0">
                  <c:v>0.75289143163337979</c:v>
                </c:pt>
                <c:pt idx="1">
                  <c:v>0.71570243141270584</c:v>
                </c:pt>
                <c:pt idx="2">
                  <c:v>0.68154675033015188</c:v>
                </c:pt>
                <c:pt idx="3">
                  <c:v>0.65022738968413096</c:v>
                </c:pt>
                <c:pt idx="4">
                  <c:v>0.62</c:v>
                </c:pt>
                <c:pt idx="5">
                  <c:v>0.59424644628009149</c:v>
                </c:pt>
                <c:pt idx="6">
                  <c:v>0.56881496704559154</c:v>
                </c:pt>
                <c:pt idx="7">
                  <c:v>0.54480276198891564</c:v>
                </c:pt>
                <c:pt idx="8">
                  <c:v>0.52183139758773056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D10-4DCC-AB33-674384083E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2363672"/>
        <c:axId val="332366952"/>
      </c:scatterChart>
      <c:valAx>
        <c:axId val="332363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Mass fraction of typical</a:t>
                </a:r>
                <a:r>
                  <a:rPr lang="pt-PT" baseline="0"/>
                  <a:t> CO</a:t>
                </a:r>
                <a:endParaRPr lang="pt-PT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32366952"/>
        <c:crosses val="autoZero"/>
        <c:crossBetween val="midCat"/>
        <c:majorUnit val="0.2"/>
      </c:valAx>
      <c:valAx>
        <c:axId val="33236695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 sz="900" b="0">
                    <a:solidFill>
                      <a:schemeClr val="tx1">
                        <a:lumMod val="65000"/>
                        <a:lumOff val="35000"/>
                      </a:schemeClr>
                    </a:solidFill>
                  </a:rPr>
                  <a:t>Exergy efficiency</a:t>
                </a:r>
              </a:p>
            </c:rich>
          </c:tx>
          <c:layout>
            <c:manualLayout>
              <c:xMode val="edge"/>
              <c:yMode val="edge"/>
              <c:x val="9.5311691986457083E-3"/>
              <c:y val="0.113917658102956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323636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060628875573821"/>
          <c:y val="0.12071218709601599"/>
          <c:w val="0.73540964749924176"/>
          <c:h val="0.58208239363152725"/>
        </c:manualLayout>
      </c:layout>
      <c:scatterChart>
        <c:scatterStyle val="lineMarker"/>
        <c:varyColors val="0"/>
        <c:ser>
          <c:idx val="0"/>
          <c:order val="0"/>
          <c:tx>
            <c:v>Heating</c:v>
          </c:tx>
          <c:spPr>
            <a:ln w="19050" cap="rnd">
              <a:solidFill>
                <a:srgbClr val="FF0000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Resumo!$A$2:$A$10</c:f>
              <c:numCache>
                <c:formatCode>General</c:formatCode>
                <c:ptCount val="9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</c:numCache>
            </c:numRef>
          </c:xVal>
          <c:yVal>
            <c:numRef>
              <c:f>Resumo!$C$2:$C$10</c:f>
              <c:numCache>
                <c:formatCode>General</c:formatCode>
                <c:ptCount val="9"/>
                <c:pt idx="0">
                  <c:v>46.848578699999997</c:v>
                </c:pt>
                <c:pt idx="1">
                  <c:v>48.628522199999999</c:v>
                </c:pt>
                <c:pt idx="2">
                  <c:v>50.143781400000002</c:v>
                </c:pt>
                <c:pt idx="3">
                  <c:v>51.610736899999999</c:v>
                </c:pt>
                <c:pt idx="4">
                  <c:v>53.256628800000001</c:v>
                </c:pt>
                <c:pt idx="5">
                  <c:v>55.452360400000003</c:v>
                </c:pt>
                <c:pt idx="6">
                  <c:v>57.070756299999999</c:v>
                </c:pt>
                <c:pt idx="7">
                  <c:v>58.778063899999999</c:v>
                </c:pt>
                <c:pt idx="8">
                  <c:v>61.435661500000002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9C2-4DE9-B6E5-1570BB65EA6B}"/>
            </c:ext>
          </c:extLst>
        </c:ser>
        <c:ser>
          <c:idx val="1"/>
          <c:order val="1"/>
          <c:tx>
            <c:v>Cooling</c:v>
          </c:tx>
          <c:spPr>
            <a:ln w="19050" cap="rnd">
              <a:solidFill>
                <a:schemeClr val="accent1">
                  <a:lumMod val="50000"/>
                </a:schemeClr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50000"/>
                </a:schemeClr>
              </a:solidFill>
              <a:ln w="9525">
                <a:solidFill>
                  <a:schemeClr val="accent1">
                    <a:lumMod val="50000"/>
                  </a:schemeClr>
                </a:solidFill>
              </a:ln>
              <a:effectLst/>
            </c:spPr>
          </c:marker>
          <c:xVal>
            <c:numRef>
              <c:f>Resumo!$A$2:$A$10</c:f>
              <c:numCache>
                <c:formatCode>General</c:formatCode>
                <c:ptCount val="9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</c:numCache>
            </c:numRef>
          </c:xVal>
          <c:yVal>
            <c:numRef>
              <c:f>Resumo!$D$2:$D$10</c:f>
              <c:numCache>
                <c:formatCode>General</c:formatCode>
                <c:ptCount val="9"/>
                <c:pt idx="0">
                  <c:v>31.5307</c:v>
                </c:pt>
                <c:pt idx="1">
                  <c:v>28.354199999999999</c:v>
                </c:pt>
                <c:pt idx="2">
                  <c:v>25.113600000000002</c:v>
                </c:pt>
                <c:pt idx="3">
                  <c:v>21.746300000000002</c:v>
                </c:pt>
                <c:pt idx="4">
                  <c:v>18.425599999999999</c:v>
                </c:pt>
                <c:pt idx="5">
                  <c:v>14.614599999999999</c:v>
                </c:pt>
                <c:pt idx="6">
                  <c:v>10.863200000000001</c:v>
                </c:pt>
                <c:pt idx="7">
                  <c:v>7.04453</c:v>
                </c:pt>
                <c:pt idx="8">
                  <c:v>3.4720599999999999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9C2-4DE9-B6E5-1570BB65EA6B}"/>
            </c:ext>
          </c:extLst>
        </c:ser>
        <c:ser>
          <c:idx val="2"/>
          <c:order val="2"/>
          <c:tx>
            <c:v>Total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Resumo!$A$2:$A$10</c:f>
              <c:numCache>
                <c:formatCode>General</c:formatCode>
                <c:ptCount val="9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</c:numCache>
            </c:numRef>
          </c:xVal>
          <c:yVal>
            <c:numRef>
              <c:f>Resumo!$E$2:$E$10</c:f>
              <c:numCache>
                <c:formatCode>General</c:formatCode>
                <c:ptCount val="9"/>
                <c:pt idx="0">
                  <c:v>78.3792787</c:v>
                </c:pt>
                <c:pt idx="1">
                  <c:v>76.982722199999998</c:v>
                </c:pt>
                <c:pt idx="2">
                  <c:v>75.2573814</c:v>
                </c:pt>
                <c:pt idx="3">
                  <c:v>73.357036899999997</c:v>
                </c:pt>
                <c:pt idx="4">
                  <c:v>71.682228800000004</c:v>
                </c:pt>
                <c:pt idx="5">
                  <c:v>70.066960399999999</c:v>
                </c:pt>
                <c:pt idx="6">
                  <c:v>67.933956300000006</c:v>
                </c:pt>
                <c:pt idx="7">
                  <c:v>65.822593900000001</c:v>
                </c:pt>
                <c:pt idx="8">
                  <c:v>64.907721500000008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49C2-4DE9-B6E5-1570BB65E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3037776"/>
        <c:axId val="393038432"/>
      </c:scatterChart>
      <c:valAx>
        <c:axId val="393037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Mass fraction of typical CO</a:t>
                </a:r>
              </a:p>
            </c:rich>
          </c:tx>
          <c:layout>
            <c:manualLayout>
              <c:xMode val="edge"/>
              <c:yMode val="edge"/>
              <c:x val="0.20677311750373836"/>
              <c:y val="0.848706075919614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93038432"/>
        <c:crosses val="autoZero"/>
        <c:crossBetween val="midCat"/>
        <c:majorUnit val="0.2"/>
      </c:valAx>
      <c:valAx>
        <c:axId val="39303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 sz="900" b="0" i="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effectLst/>
                  </a:rPr>
                  <a:t>Utilities (Gcal/hr)</a:t>
                </a:r>
                <a:endParaRPr lang="pt-PT" sz="900">
                  <a:solidFill>
                    <a:schemeClr val="tx1">
                      <a:lumMod val="65000"/>
                      <a:lumOff val="35000"/>
                    </a:schemeClr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2.0430613503989292E-2"/>
              <c:y val="0.124784737728679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9303777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0.16124189930804103"/>
          <c:y val="2.0575860853214244E-2"/>
          <c:w val="0.83344576473395371"/>
          <c:h val="0.144283307870098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702630698478606"/>
          <c:y val="9.9233198015336047E-2"/>
          <c:w val="0.70926822983231608"/>
          <c:h val="0.63551369339996244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Resumo!$A$2:$A$10</c:f>
              <c:numCache>
                <c:formatCode>General</c:formatCode>
                <c:ptCount val="9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</c:numCache>
            </c:numRef>
          </c:xVal>
          <c:yVal>
            <c:numRef>
              <c:f>Resumo!$H$2:$H$10</c:f>
              <c:numCache>
                <c:formatCode>General</c:formatCode>
                <c:ptCount val="9"/>
                <c:pt idx="0">
                  <c:v>2.0579059033603766</c:v>
                </c:pt>
                <c:pt idx="1">
                  <c:v>2.084351820130121</c:v>
                </c:pt>
                <c:pt idx="2">
                  <c:v>2.10208190080446</c:v>
                </c:pt>
                <c:pt idx="3">
                  <c:v>2.1142427035846434</c:v>
                </c:pt>
                <c:pt idx="4">
                  <c:v>2.1190684877449595</c:v>
                </c:pt>
                <c:pt idx="5">
                  <c:v>2.1242491779870876</c:v>
                </c:pt>
                <c:pt idx="6">
                  <c:v>2.125041430147435</c:v>
                </c:pt>
                <c:pt idx="7">
                  <c:v>2.1231964807231325</c:v>
                </c:pt>
                <c:pt idx="8">
                  <c:v>2.1188454930745002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682-464F-99DA-134D6D2F32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2681071"/>
        <c:axId val="402675247"/>
      </c:scatterChart>
      <c:valAx>
        <c:axId val="4026810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Mass fraction of typical</a:t>
                </a:r>
                <a:r>
                  <a:rPr lang="pt-PT" baseline="0"/>
                  <a:t> CO</a:t>
                </a:r>
                <a:endParaRPr lang="pt-PT"/>
              </a:p>
            </c:rich>
          </c:tx>
          <c:layout>
            <c:manualLayout>
              <c:xMode val="edge"/>
              <c:yMode val="edge"/>
              <c:x val="0.24978647265291362"/>
              <c:y val="0.8357687021192716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02675247"/>
        <c:crosses val="autoZero"/>
        <c:crossBetween val="midCat"/>
        <c:majorUnit val="0.2"/>
      </c:valAx>
      <c:valAx>
        <c:axId val="402675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 sz="900"/>
                  <a:t>Exergoeconomic efficiency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02681071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53074839748617"/>
          <c:y val="0.10476190476190476"/>
          <c:w val="0.72414802731331884"/>
          <c:h val="0.62473040869891261"/>
        </c:manualLayout>
      </c:layout>
      <c:scatterChart>
        <c:scatterStyle val="smoothMarker"/>
        <c:varyColors val="0"/>
        <c:ser>
          <c:idx val="0"/>
          <c:order val="0"/>
          <c:tx>
            <c:v>Economic Efficiency</c:v>
          </c:tx>
          <c:spPr>
            <a:ln w="19050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Resumo!$A$2:$A$10</c:f>
              <c:numCache>
                <c:formatCode>General</c:formatCode>
                <c:ptCount val="9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</c:numCache>
            </c:numRef>
          </c:xVal>
          <c:yVal>
            <c:numRef>
              <c:f>Resumo!$G$2:$G$10</c:f>
              <c:numCache>
                <c:formatCode>General</c:formatCode>
                <c:ptCount val="9"/>
                <c:pt idx="0">
                  <c:v>1.0038572859438435</c:v>
                </c:pt>
                <c:pt idx="1">
                  <c:v>1.0528072220903191</c:v>
                </c:pt>
                <c:pt idx="2">
                  <c:v>1.0927193465186984</c:v>
                </c:pt>
                <c:pt idx="3">
                  <c:v>1.1261656260773172</c:v>
                </c:pt>
                <c:pt idx="4">
                  <c:v>1.1531296059576612</c:v>
                </c:pt>
                <c:pt idx="5">
                  <c:v>1.1769251782361507</c:v>
                </c:pt>
                <c:pt idx="6">
                  <c:v>1.1970972793091104</c:v>
                </c:pt>
                <c:pt idx="7">
                  <c:v>1.2141490144109359</c:v>
                </c:pt>
                <c:pt idx="8">
                  <c:v>1.2284723811436689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F9C-4B2E-9821-5E5EF6BDDF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23140048"/>
        <c:axId val="723138408"/>
      </c:scatterChart>
      <c:valAx>
        <c:axId val="723140048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Mass fraction of typical</a:t>
                </a:r>
                <a:r>
                  <a:rPr lang="pt-PT" baseline="0"/>
                  <a:t> CO</a:t>
                </a:r>
                <a:endParaRPr lang="pt-PT"/>
              </a:p>
            </c:rich>
          </c:tx>
          <c:layout>
            <c:manualLayout>
              <c:xMode val="edge"/>
              <c:yMode val="edge"/>
              <c:x val="0.2053074839748617"/>
              <c:y val="0.836142482189726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723138408"/>
        <c:crosses val="autoZero"/>
        <c:crossBetween val="midCat"/>
        <c:majorUnit val="0.2"/>
      </c:valAx>
      <c:valAx>
        <c:axId val="723138408"/>
        <c:scaling>
          <c:orientation val="minMax"/>
          <c:min val="0.7000000000000000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 sz="900"/>
                  <a:t>Economic  efficiency</a:t>
                </a:r>
              </a:p>
            </c:rich>
          </c:tx>
          <c:layout>
            <c:manualLayout>
              <c:xMode val="edge"/>
              <c:yMode val="edge"/>
              <c:x val="1.5936254980079681E-2"/>
              <c:y val="5.1952755905511808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7231400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82D1E-2DBF-424E-89BD-8423EC0A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947</Words>
  <Characters>5118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Dipartimento CMIC - Politecnico di Milano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Pedro Sergio Oliveira da Silva</cp:lastModifiedBy>
  <cp:revision>9</cp:revision>
  <cp:lastPrinted>2015-05-12T18:31:00Z</cp:lastPrinted>
  <dcterms:created xsi:type="dcterms:W3CDTF">2019-03-01T14:56:00Z</dcterms:created>
  <dcterms:modified xsi:type="dcterms:W3CDTF">2019-03-01T15:58:00Z</dcterms:modified>
</cp:coreProperties>
</file>