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9388B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19B2236" w14:textId="05873A9E" w:rsidR="00704BDF" w:rsidRPr="00DE0019" w:rsidRDefault="00254A60" w:rsidP="001C7202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CO</w:t>
      </w:r>
      <w:r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 w:rsidRPr="00254A6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reduction utilizing perovskites as photocatalysts in a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versatile 3D printed </w:t>
      </w:r>
      <w:r w:rsidRPr="00254A60">
        <w:rPr>
          <w:rFonts w:asciiTheme="minorHAnsi" w:eastAsia="MS PGothic" w:hAnsiTheme="minorHAnsi"/>
          <w:b/>
          <w:bCs/>
          <w:sz w:val="28"/>
          <w:szCs w:val="28"/>
          <w:lang w:val="en-US"/>
        </w:rPr>
        <w:t>microreactor</w:t>
      </w:r>
    </w:p>
    <w:p w14:paraId="077C32E2" w14:textId="3E094137" w:rsidR="00DE0019" w:rsidRPr="005E54F2" w:rsidRDefault="00F005EE" w:rsidP="00145CC3">
      <w:pPr>
        <w:snapToGrid w:val="0"/>
        <w:spacing w:after="120"/>
        <w:jc w:val="center"/>
        <w:rPr>
          <w:rFonts w:eastAsia="SimSun"/>
          <w:color w:val="000000"/>
          <w:lang w:val="es-CR" w:eastAsia="zh-CN"/>
        </w:rPr>
      </w:pPr>
      <w:r w:rsidRPr="00317A2C">
        <w:rPr>
          <w:rFonts w:asciiTheme="minorHAnsi" w:eastAsia="SimSun" w:hAnsiTheme="minorHAnsi"/>
          <w:color w:val="000000"/>
          <w:sz w:val="24"/>
          <w:szCs w:val="24"/>
          <w:lang w:val="es-CR" w:eastAsia="zh-CN"/>
        </w:rPr>
        <w:t>Jose A. Santamaría Cordero</w:t>
      </w:r>
      <w:r>
        <w:rPr>
          <w:rFonts w:asciiTheme="minorHAnsi" w:eastAsia="SimSun" w:hAnsiTheme="minorHAnsi"/>
          <w:color w:val="000000"/>
          <w:sz w:val="24"/>
          <w:szCs w:val="24"/>
          <w:lang w:val="es-CR" w:eastAsia="zh-CN"/>
        </w:rPr>
        <w:t>1</w:t>
      </w:r>
      <w:r>
        <w:rPr>
          <w:rFonts w:eastAsia="SimSun"/>
          <w:color w:val="000000"/>
          <w:vertAlign w:val="superscript"/>
          <w:lang w:val="es-CR" w:eastAsia="zh-CN"/>
        </w:rPr>
        <w:t>1,2</w:t>
      </w:r>
      <w:r w:rsidRPr="00F005EE">
        <w:rPr>
          <w:rFonts w:asciiTheme="minorHAnsi" w:eastAsia="SimSun" w:hAnsiTheme="minorHAnsi"/>
          <w:color w:val="000000"/>
          <w:sz w:val="24"/>
          <w:szCs w:val="24"/>
          <w:lang w:val="es-CR" w:eastAsia="zh-CN"/>
        </w:rPr>
        <w:t xml:space="preserve">, </w:t>
      </w:r>
      <w:r w:rsidR="00254A60" w:rsidRPr="00317A2C">
        <w:rPr>
          <w:rFonts w:asciiTheme="minorHAnsi" w:eastAsia="SimSun" w:hAnsiTheme="minorHAnsi"/>
          <w:color w:val="000000"/>
          <w:sz w:val="24"/>
          <w:szCs w:val="24"/>
          <w:lang w:val="es-CR" w:eastAsia="zh-CN"/>
        </w:rPr>
        <w:t>Leslie W. Pineda</w:t>
      </w:r>
      <w:r>
        <w:rPr>
          <w:rFonts w:eastAsia="SimSun"/>
          <w:color w:val="000000"/>
          <w:vertAlign w:val="superscript"/>
          <w:lang w:val="es-CR" w:eastAsia="zh-CN"/>
        </w:rPr>
        <w:t>2,3</w:t>
      </w:r>
      <w:r w:rsidR="00254A60" w:rsidRPr="00317A2C">
        <w:rPr>
          <w:rFonts w:eastAsia="SimSun"/>
          <w:color w:val="000000"/>
          <w:lang w:val="es-CR" w:eastAsia="zh-CN"/>
        </w:rPr>
        <w:t xml:space="preserve">, </w:t>
      </w:r>
      <w:r w:rsidR="00254A60" w:rsidRPr="00317A2C">
        <w:rPr>
          <w:rFonts w:asciiTheme="minorHAnsi" w:eastAsia="SimSun" w:hAnsiTheme="minorHAnsi"/>
          <w:color w:val="000000"/>
          <w:sz w:val="24"/>
          <w:szCs w:val="24"/>
          <w:lang w:val="es-CR" w:eastAsia="zh-CN"/>
        </w:rPr>
        <w:t>Marisol Ledezma</w:t>
      </w:r>
      <w:r w:rsidR="00145CC3">
        <w:rPr>
          <w:rFonts w:eastAsia="SimSun"/>
          <w:color w:val="000000"/>
          <w:vertAlign w:val="superscript"/>
          <w:lang w:val="es-CR" w:eastAsia="zh-CN"/>
        </w:rPr>
        <w:t>2,3</w:t>
      </w:r>
      <w:r w:rsidR="005E54F2">
        <w:rPr>
          <w:rFonts w:eastAsia="SimSun"/>
          <w:color w:val="000000"/>
          <w:lang w:val="es-CR" w:eastAsia="zh-CN"/>
        </w:rPr>
        <w:t xml:space="preserve">, </w:t>
      </w:r>
      <w:r w:rsidR="005E54F2">
        <w:rPr>
          <w:rFonts w:asciiTheme="minorHAnsi" w:eastAsia="SimSun" w:hAnsiTheme="minorHAnsi"/>
          <w:color w:val="000000"/>
          <w:sz w:val="24"/>
          <w:szCs w:val="24"/>
          <w:u w:val="single"/>
          <w:lang w:val="es-CR" w:eastAsia="zh-CN"/>
        </w:rPr>
        <w:t>J</w:t>
      </w:r>
      <w:r w:rsidR="005E54F2" w:rsidRPr="00317A2C">
        <w:rPr>
          <w:rFonts w:asciiTheme="minorHAnsi" w:eastAsia="SimSun" w:hAnsiTheme="minorHAnsi"/>
          <w:color w:val="000000"/>
          <w:sz w:val="24"/>
          <w:szCs w:val="24"/>
          <w:u w:val="single"/>
          <w:lang w:val="es-CR" w:eastAsia="zh-CN"/>
        </w:rPr>
        <w:t>. Esteban Durán</w:t>
      </w:r>
      <w:r w:rsidR="005E54F2" w:rsidRPr="00317A2C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CR" w:eastAsia="zh-CN"/>
        </w:rPr>
        <w:t>1</w:t>
      </w:r>
      <w:r w:rsidR="005E54F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CR" w:eastAsia="zh-CN"/>
        </w:rPr>
        <w:t>,2</w:t>
      </w:r>
    </w:p>
    <w:p w14:paraId="42B8C398" w14:textId="523A4D54" w:rsidR="00254A60" w:rsidRDefault="00704BDF" w:rsidP="00704BDF">
      <w:pPr>
        <w:snapToGrid w:val="0"/>
        <w:spacing w:after="120"/>
        <w:jc w:val="center"/>
        <w:rPr>
          <w:rFonts w:eastAsia="MS PGothic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="00254A60">
        <w:rPr>
          <w:rFonts w:eastAsia="MS PGothic"/>
          <w:i/>
          <w:iCs/>
          <w:color w:val="000000"/>
          <w:sz w:val="20"/>
          <w:lang w:val="en-US"/>
        </w:rPr>
        <w:t xml:space="preserve"> School of Chemical Engineering; </w:t>
      </w:r>
      <w:r w:rsidR="00145CC3">
        <w:rPr>
          <w:rFonts w:eastAsia="MS PGothic"/>
          <w:i/>
          <w:iCs/>
          <w:color w:val="000000"/>
          <w:sz w:val="20"/>
          <w:lang w:val="en-US"/>
        </w:rPr>
        <w:t>2 Electrochemical and Chemical Ener</w:t>
      </w:r>
      <w:bookmarkStart w:id="0" w:name="_GoBack"/>
      <w:bookmarkEnd w:id="0"/>
      <w:r w:rsidR="00145CC3">
        <w:rPr>
          <w:rFonts w:eastAsia="MS PGothic"/>
          <w:i/>
          <w:iCs/>
          <w:color w:val="000000"/>
          <w:sz w:val="20"/>
          <w:lang w:val="en-US"/>
        </w:rPr>
        <w:t xml:space="preserve">gy </w:t>
      </w:r>
      <w:proofErr w:type="spellStart"/>
      <w:r w:rsidR="00145CC3">
        <w:rPr>
          <w:rFonts w:eastAsia="MS PGothic"/>
          <w:i/>
          <w:iCs/>
          <w:color w:val="000000"/>
          <w:sz w:val="20"/>
          <w:lang w:val="en-US"/>
        </w:rPr>
        <w:t>Recearch</w:t>
      </w:r>
      <w:proofErr w:type="spellEnd"/>
      <w:r w:rsidR="00145CC3">
        <w:rPr>
          <w:rFonts w:eastAsia="MS PGothic"/>
          <w:i/>
          <w:iCs/>
          <w:color w:val="000000"/>
          <w:sz w:val="20"/>
          <w:lang w:val="en-US"/>
        </w:rPr>
        <w:t xml:space="preserve"> Center (CELEQ); </w:t>
      </w:r>
      <w:r w:rsidR="00254A60">
        <w:rPr>
          <w:rFonts w:eastAsia="MS PGothic"/>
          <w:i/>
          <w:iCs/>
          <w:color w:val="000000"/>
          <w:sz w:val="20"/>
          <w:lang w:val="en-US"/>
        </w:rPr>
        <w:t>3</w:t>
      </w:r>
      <w:r w:rsidR="0026656A">
        <w:rPr>
          <w:rFonts w:eastAsia="MS PGothic"/>
          <w:i/>
          <w:iCs/>
          <w:color w:val="000000"/>
          <w:sz w:val="20"/>
          <w:lang w:val="en-US"/>
        </w:rPr>
        <w:t xml:space="preserve"> School of Chemistry,</w:t>
      </w:r>
      <w:r w:rsidR="00254A60">
        <w:rPr>
          <w:rFonts w:eastAsia="MS PGothic"/>
          <w:i/>
          <w:iCs/>
          <w:color w:val="000000"/>
          <w:sz w:val="20"/>
          <w:lang w:val="en-US"/>
        </w:rPr>
        <w:t xml:space="preserve"> University of Costa Rica, San José, 11501</w:t>
      </w:r>
      <w:r w:rsidR="0026656A">
        <w:rPr>
          <w:rFonts w:eastAsia="MS PGothic"/>
          <w:i/>
          <w:iCs/>
          <w:color w:val="000000"/>
          <w:sz w:val="20"/>
          <w:lang w:val="en-US"/>
        </w:rPr>
        <w:t>,</w:t>
      </w:r>
      <w:r w:rsidR="00254A60">
        <w:rPr>
          <w:rFonts w:eastAsia="MS PGothic"/>
          <w:i/>
          <w:iCs/>
          <w:color w:val="000000"/>
          <w:sz w:val="20"/>
          <w:lang w:val="en-US"/>
        </w:rPr>
        <w:t xml:space="preserve"> Costa Rica</w:t>
      </w:r>
    </w:p>
    <w:p w14:paraId="45348099" w14:textId="77777777" w:rsidR="00704BDF" w:rsidRPr="0026656A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u w:val="single"/>
          <w:lang w:val="en-US"/>
        </w:rPr>
      </w:pPr>
      <w:r w:rsidRPr="0026656A">
        <w:rPr>
          <w:rFonts w:asciiTheme="minorHAnsi" w:eastAsia="MS PGothic" w:hAnsiTheme="minorHAnsi"/>
          <w:bCs/>
          <w:i/>
          <w:iCs/>
          <w:color w:val="000000"/>
          <w:sz w:val="20"/>
          <w:u w:val="single"/>
          <w:lang w:val="en-US"/>
        </w:rPr>
        <w:t>*</w:t>
      </w:r>
      <w:r w:rsidR="0026656A" w:rsidRPr="0026656A">
        <w:rPr>
          <w:rFonts w:asciiTheme="minorHAnsi" w:eastAsia="MS PGothic" w:hAnsiTheme="minorHAnsi"/>
          <w:bCs/>
          <w:i/>
          <w:iCs/>
          <w:color w:val="000000"/>
          <w:sz w:val="20"/>
          <w:u w:val="single"/>
          <w:lang w:val="en-US"/>
        </w:rPr>
        <w:t>esteban.duranherrera@ucr.ac.cr</w:t>
      </w:r>
    </w:p>
    <w:p w14:paraId="0A365A62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6CB35404" w14:textId="60BF4E20" w:rsidR="00D146F1" w:rsidRPr="00581886" w:rsidRDefault="00D146F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81886">
        <w:rPr>
          <w:rFonts w:asciiTheme="minorHAnsi" w:hAnsiTheme="minorHAnsi"/>
        </w:rPr>
        <w:t>Several perovskites were synthetized</w:t>
      </w:r>
      <w:r w:rsidR="00145CC3">
        <w:rPr>
          <w:rFonts w:asciiTheme="minorHAnsi" w:hAnsiTheme="minorHAnsi"/>
        </w:rPr>
        <w:t>;</w:t>
      </w:r>
      <w:r w:rsidRPr="00581886">
        <w:rPr>
          <w:rFonts w:asciiTheme="minorHAnsi" w:hAnsiTheme="minorHAnsi"/>
        </w:rPr>
        <w:t xml:space="preserve"> Cs</w:t>
      </w:r>
      <w:r w:rsidRPr="00581886">
        <w:rPr>
          <w:rFonts w:asciiTheme="minorHAnsi" w:hAnsiTheme="minorHAnsi"/>
          <w:vertAlign w:val="subscript"/>
        </w:rPr>
        <w:t>3</w:t>
      </w:r>
      <w:r w:rsidRPr="00581886">
        <w:rPr>
          <w:rFonts w:asciiTheme="minorHAnsi" w:hAnsiTheme="minorHAnsi"/>
        </w:rPr>
        <w:t>Bi</w:t>
      </w:r>
      <w:r w:rsidRPr="00581886">
        <w:rPr>
          <w:rFonts w:asciiTheme="minorHAnsi" w:hAnsiTheme="minorHAnsi"/>
          <w:vertAlign w:val="subscript"/>
        </w:rPr>
        <w:t>2</w:t>
      </w:r>
      <w:r w:rsidRPr="00581886">
        <w:rPr>
          <w:rFonts w:asciiTheme="minorHAnsi" w:hAnsiTheme="minorHAnsi"/>
        </w:rPr>
        <w:t>I</w:t>
      </w:r>
      <w:r w:rsidRPr="00581886">
        <w:rPr>
          <w:rFonts w:asciiTheme="minorHAnsi" w:hAnsiTheme="minorHAnsi"/>
          <w:vertAlign w:val="subscript"/>
        </w:rPr>
        <w:t>9</w:t>
      </w:r>
      <w:r w:rsidRPr="00581886">
        <w:rPr>
          <w:rFonts w:asciiTheme="minorHAnsi" w:hAnsiTheme="minorHAnsi"/>
        </w:rPr>
        <w:t xml:space="preserve"> (1.94 eV) was chosen</w:t>
      </w:r>
      <w:r w:rsidR="00581886" w:rsidRPr="00581886">
        <w:rPr>
          <w:rFonts w:asciiTheme="minorHAnsi" w:hAnsiTheme="minorHAnsi"/>
        </w:rPr>
        <w:t xml:space="preserve"> for </w:t>
      </w:r>
      <w:r w:rsidR="00145CC3">
        <w:rPr>
          <w:rFonts w:asciiTheme="minorHAnsi" w:hAnsiTheme="minorHAnsi"/>
        </w:rPr>
        <w:t>evaluati</w:t>
      </w:r>
      <w:r w:rsidR="00581886" w:rsidRPr="00581886">
        <w:rPr>
          <w:rFonts w:asciiTheme="minorHAnsi" w:hAnsiTheme="minorHAnsi"/>
        </w:rPr>
        <w:t>on</w:t>
      </w:r>
      <w:r w:rsidRPr="00581886">
        <w:rPr>
          <w:rFonts w:asciiTheme="minorHAnsi" w:hAnsiTheme="minorHAnsi"/>
        </w:rPr>
        <w:t xml:space="preserve"> </w:t>
      </w:r>
    </w:p>
    <w:p w14:paraId="2D3CB732" w14:textId="029FBE9D" w:rsidR="00581886" w:rsidRPr="00581886" w:rsidRDefault="00581886" w:rsidP="0058188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81886">
        <w:rPr>
          <w:rFonts w:asciiTheme="minorHAnsi" w:hAnsiTheme="minorHAnsi"/>
        </w:rPr>
        <w:t>A maximum CO yield of 163.87 µ</w:t>
      </w:r>
      <w:proofErr w:type="spellStart"/>
      <w:r w:rsidRPr="00581886">
        <w:rPr>
          <w:rFonts w:asciiTheme="minorHAnsi" w:hAnsiTheme="minorHAnsi"/>
        </w:rPr>
        <w:t>mol</w:t>
      </w:r>
      <w:proofErr w:type="spellEnd"/>
      <w:r w:rsidRPr="00581886">
        <w:rPr>
          <w:rFonts w:asciiTheme="minorHAnsi" w:hAnsiTheme="minorHAnsi"/>
        </w:rPr>
        <w:t>/</w:t>
      </w:r>
      <w:proofErr w:type="spellStart"/>
      <w:r w:rsidRPr="00581886">
        <w:rPr>
          <w:rFonts w:asciiTheme="minorHAnsi" w:hAnsiTheme="minorHAnsi"/>
        </w:rPr>
        <w:t>g</w:t>
      </w:r>
      <w:r w:rsidRPr="00581886">
        <w:rPr>
          <w:rFonts w:asciiTheme="minorHAnsi" w:hAnsiTheme="minorHAnsi"/>
          <w:vertAlign w:val="subscript"/>
        </w:rPr>
        <w:t>cat</w:t>
      </w:r>
      <w:r w:rsidRPr="00581886">
        <w:rPr>
          <w:rFonts w:asciiTheme="minorHAnsi" w:hAnsiTheme="minorHAnsi"/>
        </w:rPr>
        <w:t>·h</w:t>
      </w:r>
      <w:proofErr w:type="spellEnd"/>
      <w:r w:rsidRPr="00581886">
        <w:rPr>
          <w:rFonts w:asciiTheme="minorHAnsi" w:hAnsiTheme="minorHAnsi"/>
        </w:rPr>
        <w:t xml:space="preserve"> was </w:t>
      </w:r>
      <w:r w:rsidR="00145CC3">
        <w:rPr>
          <w:rFonts w:asciiTheme="minorHAnsi" w:hAnsiTheme="minorHAnsi"/>
        </w:rPr>
        <w:t>obtain</w:t>
      </w:r>
      <w:r w:rsidRPr="00581886">
        <w:rPr>
          <w:rFonts w:asciiTheme="minorHAnsi" w:hAnsiTheme="minorHAnsi"/>
        </w:rPr>
        <w:t xml:space="preserve">ed </w:t>
      </w:r>
    </w:p>
    <w:p w14:paraId="1DD5EA3A" w14:textId="7579DD1F" w:rsidR="00704BDF" w:rsidRPr="00581886" w:rsidRDefault="00145CC3" w:rsidP="0058188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Highest CO</w:t>
      </w:r>
      <w:r w:rsidRPr="00145CC3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reduction was obtained at</w:t>
      </w:r>
      <w:r w:rsidR="00581886" w:rsidRPr="00581886">
        <w:rPr>
          <w:rFonts w:asciiTheme="minorHAnsi" w:hAnsiTheme="minorHAnsi"/>
        </w:rPr>
        <w:t xml:space="preserve"> 42.5 µL/min and 150 </w:t>
      </w:r>
      <w:proofErr w:type="spellStart"/>
      <w:r w:rsidR="00581886" w:rsidRPr="00581886">
        <w:rPr>
          <w:rFonts w:asciiTheme="minorHAnsi" w:hAnsiTheme="minorHAnsi"/>
        </w:rPr>
        <w:t>mW</w:t>
      </w:r>
      <w:proofErr w:type="spellEnd"/>
      <w:r w:rsidR="00581886" w:rsidRPr="00581886">
        <w:rPr>
          <w:rFonts w:asciiTheme="minorHAnsi" w:hAnsiTheme="minorHAnsi"/>
        </w:rPr>
        <w:t>/cm</w:t>
      </w:r>
      <w:r w:rsidR="00581886" w:rsidRPr="00581886">
        <w:rPr>
          <w:rFonts w:asciiTheme="minorHAnsi" w:hAnsiTheme="minorHAnsi"/>
          <w:vertAlign w:val="superscript"/>
        </w:rPr>
        <w:t>2</w:t>
      </w:r>
      <w:r w:rsidR="00581886" w:rsidRPr="00581886">
        <w:rPr>
          <w:rFonts w:asciiTheme="minorHAnsi" w:hAnsiTheme="minorHAnsi"/>
        </w:rPr>
        <w:t xml:space="preserve"> </w:t>
      </w:r>
      <w:r w:rsidR="00704BDF" w:rsidRPr="00581886">
        <w:rPr>
          <w:rFonts w:asciiTheme="minorHAnsi" w:hAnsiTheme="minorHAnsi"/>
        </w:rPr>
        <w:t xml:space="preserve"> </w:t>
      </w:r>
    </w:p>
    <w:p w14:paraId="32878352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13C5A8E0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1C00792E" w14:textId="41ABF5D7" w:rsidR="00E93DB2" w:rsidRPr="008D0BEB" w:rsidRDefault="00E93DB2" w:rsidP="00891B5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93DB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recent years, researc</w:t>
      </w:r>
      <w:r w:rsidR="00D71F36">
        <w:rPr>
          <w:rFonts w:asciiTheme="minorHAnsi" w:eastAsia="MS PGothic" w:hAnsiTheme="minorHAnsi"/>
          <w:color w:val="000000"/>
          <w:sz w:val="22"/>
          <w:szCs w:val="22"/>
          <w:lang w:val="en-US"/>
        </w:rPr>
        <w:t>h activities in the field of CO</w:t>
      </w:r>
      <w:r w:rsidR="00D71F3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92F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reuse to produce</w:t>
      </w:r>
      <w:r w:rsidRPr="00E93D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4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synthetic </w:t>
      </w:r>
      <w:r w:rsidRPr="00E93DB2">
        <w:rPr>
          <w:rFonts w:asciiTheme="minorHAnsi" w:eastAsia="MS PGothic" w:hAnsiTheme="minorHAnsi"/>
          <w:color w:val="000000"/>
          <w:sz w:val="22"/>
          <w:szCs w:val="22"/>
          <w:lang w:val="en-US"/>
        </w:rPr>
        <w:t>fuels have been</w:t>
      </w:r>
      <w:r w:rsidR="00D71F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E93DB2">
        <w:rPr>
          <w:rFonts w:asciiTheme="minorHAnsi" w:eastAsia="MS PGothic" w:hAnsiTheme="minorHAnsi"/>
          <w:color w:val="000000"/>
          <w:sz w:val="22"/>
          <w:szCs w:val="22"/>
          <w:lang w:val="en-US"/>
        </w:rPr>
        <w:t>greatly stimulated by the growing</w:t>
      </w:r>
      <w:r w:rsidR="00D71F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concern about the effect of CO</w:t>
      </w:r>
      <w:r w:rsidR="00D71F3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D71F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emissions on global warming and fossil fuel dependenc</w:t>
      </w:r>
      <w:r w:rsidR="004A5E6B">
        <w:rPr>
          <w:rFonts w:asciiTheme="minorHAnsi" w:eastAsia="MS PGothic" w:hAnsiTheme="minorHAnsi"/>
          <w:color w:val="000000"/>
          <w:sz w:val="22"/>
          <w:szCs w:val="22"/>
          <w:lang w:val="en-US"/>
        </w:rPr>
        <w:t>y issues</w:t>
      </w:r>
      <w:r w:rsidR="00D71F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 </w:t>
      </w:r>
      <w:r w:rsidRPr="00E93DB2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particularly emerging and promising technology for this process is</w:t>
      </w:r>
      <w:r w:rsidR="00D71F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perovskite-based heterogeneous </w:t>
      </w:r>
      <w:r w:rsidRPr="00E93DB2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photocatalysis. Perovskite oxides are promising photocatalysts due to</w:t>
      </w:r>
      <w:r w:rsidR="00D71F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their high catalytic activity, </w:t>
      </w:r>
      <w:r w:rsidRPr="00E93DB2">
        <w:rPr>
          <w:rFonts w:asciiTheme="minorHAnsi" w:eastAsia="MS PGothic" w:hAnsiTheme="minorHAnsi"/>
          <w:color w:val="000000"/>
          <w:sz w:val="22"/>
          <w:szCs w:val="22"/>
          <w:lang w:val="en-US"/>
        </w:rPr>
        <w:t>good stability, long charge diffusion lengths, and compositional flexibility that allows p</w:t>
      </w:r>
      <w:r w:rsidR="00D71F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recise </w:t>
      </w:r>
      <w:r w:rsidRPr="00E93DB2">
        <w:rPr>
          <w:rFonts w:asciiTheme="minorHAnsi" w:eastAsia="MS PGothic" w:hAnsiTheme="minorHAnsi"/>
          <w:color w:val="000000"/>
          <w:sz w:val="22"/>
          <w:szCs w:val="22"/>
          <w:lang w:val="en-US"/>
        </w:rPr>
        <w:t>bandgap and band edge tuning. Furthermore, once an efficient catalyst</w:t>
      </w:r>
      <w:r w:rsidR="00D71F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developed, the next step </w:t>
      </w:r>
      <w:r w:rsidR="004A5E6B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to incorporate it in</w:t>
      </w:r>
      <w:r w:rsidRPr="00E93D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photoreactors capa</w:t>
      </w:r>
      <w:r w:rsidR="00192F62">
        <w:rPr>
          <w:rFonts w:asciiTheme="minorHAnsi" w:eastAsia="MS PGothic" w:hAnsiTheme="minorHAnsi"/>
          <w:color w:val="000000"/>
          <w:sz w:val="22"/>
          <w:szCs w:val="22"/>
          <w:lang w:val="en-US"/>
        </w:rPr>
        <w:t>ble of commercial</w:t>
      </w:r>
      <w:r w:rsidR="0014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>ly</w:t>
      </w:r>
      <w:r w:rsidR="00192F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</w:t>
      </w:r>
      <w:r w:rsidR="0014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D71F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Pr="00E93DB2">
        <w:rPr>
          <w:rFonts w:asciiTheme="minorHAnsi" w:eastAsia="MS PGothic" w:hAnsiTheme="minorHAnsi"/>
          <w:color w:val="000000"/>
          <w:sz w:val="22"/>
          <w:szCs w:val="22"/>
          <w:lang w:val="en-US"/>
        </w:rPr>
        <w:t>synthetic solar fuels. Multiple designs have been proposed and test</w:t>
      </w:r>
      <w:r w:rsidR="00D71F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ed; however, limitations due to </w:t>
      </w:r>
      <w:r w:rsidRPr="00E93DB2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diffusional processes (mass transfer) and proper distribution of inc</w:t>
      </w:r>
      <w:r w:rsidR="00D71F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ident radiation on the reactor, </w:t>
      </w:r>
      <w:r w:rsidRPr="00E93DB2">
        <w:rPr>
          <w:rFonts w:asciiTheme="minorHAnsi" w:eastAsia="MS PGothic" w:hAnsiTheme="minorHAnsi"/>
          <w:color w:val="000000"/>
          <w:sz w:val="22"/>
          <w:szCs w:val="22"/>
          <w:lang w:val="en-US"/>
        </w:rPr>
        <w:t>hinder the efficient performance of the photocatalytic system. In</w:t>
      </w:r>
      <w:r w:rsidR="00D71F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sense, microreactors have </w:t>
      </w:r>
      <w:r w:rsidRPr="00E93DB2">
        <w:rPr>
          <w:rFonts w:asciiTheme="minorHAnsi" w:eastAsia="MS PGothic" w:hAnsiTheme="minorHAnsi"/>
          <w:color w:val="000000"/>
          <w:sz w:val="22"/>
          <w:szCs w:val="22"/>
          <w:lang w:val="en-US"/>
        </w:rPr>
        <w:t>emerged as an excellent technological alternative to minimize th</w:t>
      </w:r>
      <w:r w:rsidR="00D71F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ese inconveniences and maximize </w:t>
      </w:r>
      <w:r w:rsidRPr="00E93DB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production of solar fuels.</w:t>
      </w:r>
      <w:r w:rsidR="001C72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work, several perovskites were synthetized, characterized and </w:t>
      </w:r>
      <w:r w:rsidR="00951A97" w:rsidRPr="00951A97">
        <w:rPr>
          <w:rFonts w:asciiTheme="minorHAnsi" w:eastAsia="MS PGothic" w:hAnsiTheme="minorHAnsi"/>
          <w:color w:val="000000"/>
          <w:sz w:val="22"/>
          <w:szCs w:val="22"/>
        </w:rPr>
        <w:t>Cs</w:t>
      </w:r>
      <w:r w:rsidR="00951A97" w:rsidRPr="00951A97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951A97" w:rsidRPr="00951A97">
        <w:rPr>
          <w:rFonts w:asciiTheme="minorHAnsi" w:eastAsia="MS PGothic" w:hAnsiTheme="minorHAnsi"/>
          <w:color w:val="000000"/>
          <w:sz w:val="22"/>
          <w:szCs w:val="22"/>
        </w:rPr>
        <w:t>Bi</w:t>
      </w:r>
      <w:r w:rsidR="00951A97" w:rsidRPr="00951A97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951A97" w:rsidRPr="00951A97">
        <w:rPr>
          <w:rFonts w:asciiTheme="minorHAnsi" w:eastAsia="MS PGothic" w:hAnsiTheme="minorHAnsi"/>
          <w:color w:val="000000"/>
          <w:sz w:val="22"/>
          <w:szCs w:val="22"/>
        </w:rPr>
        <w:t>I</w:t>
      </w:r>
      <w:r w:rsidR="00951A97" w:rsidRPr="00951A97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9</w:t>
      </w:r>
      <w:r w:rsidR="00951A97" w:rsidRPr="00951A9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51A97">
        <w:rPr>
          <w:rFonts w:asciiTheme="minorHAnsi" w:eastAsia="MS PGothic" w:hAnsiTheme="minorHAnsi"/>
          <w:color w:val="000000"/>
          <w:sz w:val="22"/>
          <w:szCs w:val="22"/>
        </w:rPr>
        <w:t xml:space="preserve">photocatalytic activity was </w:t>
      </w:r>
      <w:r w:rsidR="001C72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evaluated using a </w:t>
      </w:r>
      <w:r w:rsidR="00951A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homemade </w:t>
      </w:r>
      <w:r w:rsidR="001C7202">
        <w:rPr>
          <w:rFonts w:asciiTheme="minorHAnsi" w:eastAsia="MS PGothic" w:hAnsiTheme="minorHAnsi"/>
          <w:color w:val="000000"/>
          <w:sz w:val="22"/>
          <w:szCs w:val="22"/>
          <w:lang w:val="en-US"/>
        </w:rPr>
        <w:t>3D-printed photo-microreactor.</w:t>
      </w:r>
    </w:p>
    <w:p w14:paraId="22CBEA33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3E468B1" w14:textId="49DE163C" w:rsidR="00704BDF" w:rsidRPr="008D0BEB" w:rsidRDefault="00951A97" w:rsidP="00891B50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500B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erovskites </w:t>
      </w:r>
      <w:r w:rsidR="00943D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such as </w:t>
      </w:r>
      <w:r w:rsidR="005C7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Cs</w:t>
      </w:r>
      <w:r w:rsidR="005C70F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5C7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CuX</w:t>
      </w:r>
      <w:r w:rsidR="005C70F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5C7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Cl</w:t>
      </w:r>
      <w:r w:rsidR="005C70F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12</w:t>
      </w:r>
      <w:r w:rsidR="005C7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X: Bi, La, Al, Fe, Cr; Cs</w:t>
      </w:r>
      <w:r w:rsidR="005C70F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5C7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X</w:t>
      </w:r>
      <w:r w:rsidR="005C70F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5C7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Cl</w:t>
      </w:r>
      <w:r w:rsidR="005C70F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9</w:t>
      </w:r>
      <w:r w:rsidR="005C7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X: Sb, Bi, La, Al, Fe; </w:t>
      </w:r>
      <w:r w:rsidR="007F1D76">
        <w:rPr>
          <w:rFonts w:asciiTheme="minorHAnsi" w:eastAsia="MS PGothic" w:hAnsiTheme="minorHAnsi"/>
          <w:color w:val="000000"/>
          <w:sz w:val="22"/>
          <w:szCs w:val="22"/>
          <w:lang w:val="en-US"/>
        </w:rPr>
        <w:t>Cs</w:t>
      </w:r>
      <w:r w:rsidR="007F1D7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7F1D76">
        <w:rPr>
          <w:rFonts w:asciiTheme="minorHAnsi" w:eastAsia="MS PGothic" w:hAnsiTheme="minorHAnsi"/>
          <w:color w:val="000000"/>
          <w:sz w:val="22"/>
          <w:szCs w:val="22"/>
          <w:lang w:val="en-US"/>
        </w:rPr>
        <w:t>SnX</w:t>
      </w:r>
      <w:r w:rsidR="007F1D7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F1D76">
        <w:rPr>
          <w:rFonts w:asciiTheme="minorHAnsi" w:eastAsia="MS PGothic" w:hAnsiTheme="minorHAnsi"/>
          <w:color w:val="000000"/>
          <w:sz w:val="22"/>
          <w:szCs w:val="22"/>
          <w:lang w:val="en-US"/>
        </w:rPr>
        <w:t>Cl</w:t>
      </w:r>
      <w:r w:rsidR="007F1D7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12</w:t>
      </w:r>
      <w:r w:rsidR="007F1D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X: Sb, La, Al, Fe, Cr; Cs</w:t>
      </w:r>
      <w:r w:rsidR="007F1D7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7F1D76">
        <w:rPr>
          <w:rFonts w:asciiTheme="minorHAnsi" w:eastAsia="MS PGothic" w:hAnsiTheme="minorHAnsi"/>
          <w:color w:val="000000"/>
          <w:sz w:val="22"/>
          <w:szCs w:val="22"/>
          <w:lang w:val="en-US"/>
        </w:rPr>
        <w:t>Bi</w:t>
      </w:r>
      <w:r w:rsidR="007F1D7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F1D76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7F1D7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9</w:t>
      </w:r>
      <w:r w:rsidR="007F1D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Cs</w:t>
      </w:r>
      <w:r w:rsidR="007F1D7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7F1D76">
        <w:rPr>
          <w:rFonts w:asciiTheme="minorHAnsi" w:eastAsia="MS PGothic" w:hAnsiTheme="minorHAnsi"/>
          <w:color w:val="000000"/>
          <w:sz w:val="22"/>
          <w:szCs w:val="22"/>
          <w:lang w:val="en-US"/>
        </w:rPr>
        <w:t>Sb</w:t>
      </w:r>
      <w:r w:rsidR="007F1D7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F1D76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7F1D7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9</w:t>
      </w:r>
      <w:r w:rsidR="007F1D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synthetized</w:t>
      </w:r>
      <w:r w:rsidR="00943D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Band gap calculations were performed using UV-Vis Diffuse Reflectance measurements through </w:t>
      </w:r>
      <w:proofErr w:type="spellStart"/>
      <w:r w:rsidR="00943D30">
        <w:rPr>
          <w:rFonts w:asciiTheme="minorHAnsi" w:eastAsia="MS PGothic" w:hAnsiTheme="minorHAnsi"/>
          <w:color w:val="000000"/>
          <w:sz w:val="22"/>
          <w:szCs w:val="22"/>
          <w:lang w:val="en-US"/>
        </w:rPr>
        <w:t>Kubelka-Munk</w:t>
      </w:r>
      <w:proofErr w:type="spellEnd"/>
      <w:r w:rsidR="00943D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(K-M) model and </w:t>
      </w:r>
      <w:proofErr w:type="spellStart"/>
      <w:r w:rsidR="00943D30">
        <w:rPr>
          <w:rFonts w:asciiTheme="minorHAnsi" w:eastAsia="MS PGothic" w:hAnsiTheme="minorHAnsi"/>
          <w:color w:val="000000"/>
          <w:sz w:val="22"/>
          <w:szCs w:val="22"/>
          <w:lang w:val="en-US"/>
        </w:rPr>
        <w:t>Tauc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’</w:t>
      </w:r>
      <w:r w:rsidR="00943D3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proofErr w:type="spellEnd"/>
      <w:r w:rsidR="00943D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plot. Furthermore, some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them </w:t>
      </w:r>
      <w:r w:rsidR="00943D30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c</w:t>
      </w:r>
      <w:r w:rsidR="00393057">
        <w:rPr>
          <w:rFonts w:asciiTheme="minorHAnsi" w:eastAsia="MS PGothic" w:hAnsiTheme="minorHAnsi"/>
          <w:color w:val="000000"/>
          <w:sz w:val="22"/>
          <w:szCs w:val="22"/>
          <w:lang w:val="en-US"/>
        </w:rPr>
        <w:t>haracterized by means of SEM/EDX, ICP, XRD</w:t>
      </w:r>
      <w:r w:rsidR="00E6313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Stylus Profilometry</w:t>
      </w:r>
      <w:r w:rsidR="003930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Quantum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Yield</w:t>
      </w:r>
      <w:r w:rsidR="00943D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A520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microreactor was designed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A520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fit inside a </w:t>
      </w:r>
      <w:proofErr w:type="spellStart"/>
      <w:r w:rsidR="00A52080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Micronit</w:t>
      </w:r>
      <w:r w:rsidR="00A5208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TM</w:t>
      </w:r>
      <w:proofErr w:type="spellEnd"/>
      <w:r w:rsidR="00A520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chip holder 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a way </w:t>
      </w:r>
      <w:r w:rsidR="00A5208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 different</w:t>
      </w:r>
      <w:r w:rsidR="000717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catalyst-</w:t>
      </w:r>
      <w:r w:rsidR="00A5208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coated glass slides could be easily loaded and tested in the same rea</w:t>
      </w:r>
      <w:r w:rsidR="00943D30">
        <w:rPr>
          <w:rFonts w:asciiTheme="minorHAnsi" w:eastAsia="MS PGothic" w:hAnsiTheme="minorHAnsi"/>
          <w:color w:val="000000"/>
          <w:sz w:val="22"/>
          <w:szCs w:val="22"/>
          <w:lang w:val="en-US"/>
        </w:rPr>
        <w:t>ctor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(see Fig. 1)</w:t>
      </w:r>
      <w:r w:rsidR="00943D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It was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printed </w:t>
      </w:r>
      <w:r w:rsidR="00A52080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HIPS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717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A520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reactor chamber of 25.9 mm x 25.9 mm x 0.5 mm.</w:t>
      </w:r>
      <w:r w:rsidR="006B2E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Synthetized perovskites were coated in</w:t>
      </w:r>
      <w:r w:rsidR="00F03C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glass</w:t>
      </w:r>
      <w:r w:rsidR="006B2E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slides by drop casting and spin coating. A solar simulator </w:t>
      </w:r>
      <w:r w:rsidR="00F03C8F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6B2EDD">
        <w:rPr>
          <w:rFonts w:asciiTheme="minorHAnsi" w:eastAsia="MS PGothic" w:hAnsiTheme="minorHAnsi"/>
          <w:color w:val="000000"/>
          <w:sz w:val="22"/>
          <w:szCs w:val="22"/>
          <w:lang w:val="en-US"/>
        </w:rPr>
        <w:t>Oriel</w:t>
      </w:r>
      <w:r w:rsidR="006B2EDD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TM</w:t>
      </w:r>
      <w:proofErr w:type="spellEnd"/>
      <w:r w:rsidR="006B2E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LCS-100</w:t>
      </w:r>
      <w:r w:rsidR="00F03C8F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6B2E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used as radiation source.</w:t>
      </w:r>
      <w:r w:rsidR="00A520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</w:t>
      </w:r>
      <w:r w:rsidR="0007177C">
        <w:rPr>
          <w:rFonts w:asciiTheme="minorHAnsi" w:eastAsia="MS PGothic" w:hAnsiTheme="minorHAnsi"/>
          <w:color w:val="000000"/>
          <w:sz w:val="22"/>
          <w:szCs w:val="22"/>
          <w:lang w:val="en-US"/>
        </w:rPr>
        <w:t>99.99 % CO</w:t>
      </w:r>
      <w:r w:rsidR="0007177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0717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bubbled in a </w:t>
      </w:r>
      <w:proofErr w:type="spellStart"/>
      <w:r w:rsidR="0007177C">
        <w:rPr>
          <w:rFonts w:asciiTheme="minorHAnsi" w:eastAsia="MS PGothic" w:hAnsiTheme="minorHAnsi"/>
          <w:color w:val="000000"/>
          <w:sz w:val="22"/>
          <w:szCs w:val="22"/>
          <w:lang w:val="en-US"/>
        </w:rPr>
        <w:t>NaOH</w:t>
      </w:r>
      <w:proofErr w:type="spellEnd"/>
      <w:r w:rsidR="000717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 and then pumped into the reactor using a syringe pump. The samples at the outlet of the reactor were analyzed </w:t>
      </w:r>
      <w:r w:rsidR="00F03C8F">
        <w:rPr>
          <w:rFonts w:asciiTheme="minorHAnsi" w:eastAsia="MS PGothic" w:hAnsiTheme="minorHAnsi"/>
          <w:color w:val="000000"/>
          <w:sz w:val="22"/>
          <w:szCs w:val="22"/>
          <w:lang w:val="en-US"/>
        </w:rPr>
        <w:t>by</w:t>
      </w:r>
      <w:r w:rsidR="000717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GC-TCD </w:t>
      </w:r>
      <w:r w:rsidR="00F03C8F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07177C">
        <w:rPr>
          <w:rFonts w:asciiTheme="minorHAnsi" w:eastAsia="MS PGothic" w:hAnsiTheme="minorHAnsi"/>
          <w:color w:val="000000"/>
          <w:sz w:val="22"/>
          <w:szCs w:val="22"/>
          <w:lang w:val="en-US"/>
        </w:rPr>
        <w:t>Shimadzu 2014</w:t>
      </w:r>
      <w:r w:rsidR="00F03C8F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0717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 30 m </w:t>
      </w:r>
      <w:proofErr w:type="spellStart"/>
      <w:r w:rsidR="0007177C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Carboxen</w:t>
      </w:r>
      <w:proofErr w:type="spellEnd"/>
      <w:r w:rsidR="00943D30">
        <w:rPr>
          <w:rFonts w:asciiTheme="minorHAnsi" w:eastAsia="MS PGothic" w:hAnsiTheme="minorHAnsi" w:cstheme="minorHAnsi"/>
          <w:color w:val="000000"/>
          <w:sz w:val="22"/>
          <w:szCs w:val="22"/>
          <w:vertAlign w:val="superscript"/>
          <w:lang w:val="en-US"/>
        </w:rPr>
        <w:t>®</w:t>
      </w:r>
      <w:r w:rsidR="000717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1010 column.</w:t>
      </w:r>
      <w:r w:rsidR="00E631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6C9110AF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143A073B" w14:textId="3BB188B6" w:rsidR="00704BDF" w:rsidRDefault="00DF64F5" w:rsidP="00891B5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Calculations for direct and indirect band gap through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Tauc’</w:t>
      </w:r>
      <w:r w:rsidR="007961E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proofErr w:type="spellEnd"/>
      <w:r w:rsidR="007961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plot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showed results varying from 1.07 eV to 3.36 eV, indicati</w:t>
      </w:r>
      <w:r w:rsidR="00856702">
        <w:rPr>
          <w:rFonts w:asciiTheme="minorHAnsi" w:eastAsia="MS PGothic" w:hAnsiTheme="minorHAnsi"/>
          <w:color w:val="000000"/>
          <w:sz w:val="22"/>
          <w:szCs w:val="22"/>
          <w:lang w:val="en-US"/>
        </w:rPr>
        <w:t>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promising activit</w:t>
      </w:r>
      <w:r w:rsidR="00856702">
        <w:rPr>
          <w:rFonts w:asciiTheme="minorHAnsi" w:eastAsia="MS PGothic" w:hAnsiTheme="minorHAnsi"/>
          <w:color w:val="000000"/>
          <w:sz w:val="22"/>
          <w:szCs w:val="22"/>
          <w:lang w:val="en-US"/>
        </w:rPr>
        <w:t>ies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5670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visible spectrum for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some</w:t>
      </w:r>
      <w:r w:rsidR="007961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synthetized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perovskites.</w:t>
      </w:r>
      <w:r w:rsidR="007961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56702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Within the synthetized perovskites, Cs</w:t>
      </w:r>
      <w:r w:rsidR="0085670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856702">
        <w:rPr>
          <w:rFonts w:asciiTheme="minorHAnsi" w:eastAsia="MS PGothic" w:hAnsiTheme="minorHAnsi"/>
          <w:color w:val="000000"/>
          <w:sz w:val="22"/>
          <w:szCs w:val="22"/>
          <w:lang w:val="en-US"/>
        </w:rPr>
        <w:t>Bi</w:t>
      </w:r>
      <w:r w:rsidR="0085670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56702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85670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9</w:t>
      </w:r>
      <w:r w:rsidR="008567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chosen for evaluating its photocatalytic activity. CO</w:t>
      </w:r>
      <w:r w:rsidR="00856702" w:rsidRPr="0085670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567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measurements in the liquid phase at the inlet and outlet of the reactor showed</w:t>
      </w:r>
      <w:r w:rsidR="003C0A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up to 67 %</w:t>
      </w:r>
      <w:r w:rsidR="008567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conversion</w:t>
      </w:r>
      <w:r w:rsidR="003C0A2E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suggesting that CO</w:t>
      </w:r>
      <w:r w:rsidR="003C0A2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C0A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being </w:t>
      </w:r>
      <w:r w:rsidR="0085670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consum</w:t>
      </w:r>
      <w:r w:rsidR="003C0A2E">
        <w:rPr>
          <w:rFonts w:asciiTheme="minorHAnsi" w:eastAsia="MS PGothic" w:hAnsiTheme="minorHAnsi"/>
          <w:color w:val="000000"/>
          <w:sz w:val="22"/>
          <w:szCs w:val="22"/>
          <w:lang w:val="en-US"/>
        </w:rPr>
        <w:t>ed. Furthermore</w:t>
      </w:r>
      <w:r w:rsidR="0085670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C0A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presence of CO, a known product of CO</w:t>
      </w:r>
      <w:r w:rsidR="003C0A2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C0A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photoreduction, was detected in the </w:t>
      </w:r>
      <w:r w:rsidR="003B776C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</w:t>
      </w:r>
      <w:r w:rsidR="003C0A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samples</w:t>
      </w:r>
      <w:r w:rsidR="003A215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thus leading to believe the photocatalytic reduction of CO</w:t>
      </w:r>
      <w:r w:rsidR="003A215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A21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the Cs</w:t>
      </w:r>
      <w:r w:rsidR="003A215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3A2153">
        <w:rPr>
          <w:rFonts w:asciiTheme="minorHAnsi" w:eastAsia="MS PGothic" w:hAnsiTheme="minorHAnsi"/>
          <w:color w:val="000000"/>
          <w:sz w:val="22"/>
          <w:szCs w:val="22"/>
          <w:lang w:val="en-US"/>
        </w:rPr>
        <w:t>Bi</w:t>
      </w:r>
      <w:r w:rsidR="003A215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A2153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3A215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9</w:t>
      </w:r>
      <w:r w:rsidR="003A21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achieved. </w:t>
      </w:r>
      <w:r w:rsidR="00943FF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effects of ope</w:t>
      </w:r>
      <w:r w:rsidR="00891B50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rating parameters such as liquid flowrate and light intensity were</w:t>
      </w:r>
      <w:r w:rsidR="00943F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then evaluated. CO </w:t>
      </w:r>
      <w:r w:rsidR="003A21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quantified obtaining concentrations </w:t>
      </w:r>
      <w:r w:rsidR="003B776C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</w:t>
      </w:r>
      <w:r w:rsidR="003A21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1.07 mmol/L up to 6.15 mmol/L</w:t>
      </w:r>
      <w:r w:rsidR="00ED61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43F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yields </w:t>
      </w:r>
      <w:r w:rsidR="003B776C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</w:t>
      </w:r>
      <w:r w:rsidR="00943F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89.71 </w:t>
      </w:r>
      <w:r w:rsidR="00943FF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µ</w:t>
      </w:r>
      <w:proofErr w:type="spellStart"/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proofErr w:type="spellEnd"/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proofErr w:type="spellStart"/>
      <w:r w:rsidR="00943FF6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943FF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cat</w:t>
      </w:r>
      <w:r w:rsidR="00367454" w:rsidRP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·</w:t>
      </w:r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proofErr w:type="spellEnd"/>
      <w:r w:rsidR="00943F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up to 163.87 </w:t>
      </w:r>
      <w:r w:rsidR="0036745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µ</w:t>
      </w:r>
      <w:proofErr w:type="spellStart"/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proofErr w:type="spellEnd"/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proofErr w:type="spellStart"/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36745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cat</w:t>
      </w:r>
      <w:r w:rsidR="00367454" w:rsidRP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·</w:t>
      </w:r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proofErr w:type="spellEnd"/>
      <w:r w:rsidR="003B776C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These</w:t>
      </w:r>
      <w:r w:rsidR="00943F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results </w:t>
      </w:r>
      <w:r w:rsidR="003B77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</w:t>
      </w:r>
      <w:r w:rsidR="00943F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comparable to </w:t>
      </w:r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methanol yields obtained </w:t>
      </w:r>
      <w:r w:rsidR="003B776C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Cheng et. Al [1]</w:t>
      </w:r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(111 </w:t>
      </w:r>
      <w:r w:rsidR="0036745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µ</w:t>
      </w:r>
      <w:proofErr w:type="spellStart"/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proofErr w:type="spellEnd"/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proofErr w:type="spellStart"/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36745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cat</w:t>
      </w:r>
      <w:r w:rsidR="00367454" w:rsidRP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·</w:t>
      </w:r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proofErr w:type="spellEnd"/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and </w:t>
      </w:r>
      <w:r w:rsidR="003B776C">
        <w:rPr>
          <w:rFonts w:asciiTheme="minorHAnsi" w:eastAsia="MS PGothic" w:hAnsiTheme="minorHAnsi"/>
          <w:color w:val="000000"/>
          <w:sz w:val="22"/>
          <w:szCs w:val="22"/>
          <w:lang w:val="en-US"/>
        </w:rPr>
        <w:t>Cheng et. al</w:t>
      </w:r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B77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[2] </w:t>
      </w:r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(454.6 </w:t>
      </w:r>
      <w:r w:rsidR="0036745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µ</w:t>
      </w:r>
      <w:proofErr w:type="spellStart"/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proofErr w:type="spellEnd"/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proofErr w:type="spellStart"/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36745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cat</w:t>
      </w:r>
      <w:r w:rsidR="00367454" w:rsidRP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·</w:t>
      </w:r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proofErr w:type="spellEnd"/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in </w:t>
      </w:r>
      <w:r w:rsidR="003B776C">
        <w:rPr>
          <w:rFonts w:asciiTheme="minorHAnsi" w:eastAsia="MS PGothic" w:hAnsiTheme="minorHAnsi"/>
          <w:color w:val="000000"/>
          <w:sz w:val="22"/>
          <w:szCs w:val="22"/>
          <w:lang w:val="en-US"/>
        </w:rPr>
        <w:t>UV-</w:t>
      </w:r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microreactors using TiO</w:t>
      </w:r>
      <w:r w:rsidR="0036745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catalyst. Analyzing the effect of liquid flowrate </w:t>
      </w:r>
      <w:r w:rsidR="003B776C">
        <w:rPr>
          <w:rFonts w:asciiTheme="minorHAnsi" w:eastAsia="MS PGothic" w:hAnsiTheme="minorHAnsi"/>
          <w:color w:val="000000"/>
          <w:sz w:val="22"/>
          <w:szCs w:val="22"/>
          <w:lang w:val="en-US"/>
        </w:rPr>
        <w:t>(s</w:t>
      </w:r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3B776C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Fig</w:t>
      </w:r>
      <w:r w:rsidR="003B776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B776C">
        <w:rPr>
          <w:rFonts w:asciiTheme="minorHAnsi" w:eastAsia="MS PGothic" w:hAnsiTheme="minorHAnsi"/>
          <w:color w:val="000000"/>
          <w:sz w:val="22"/>
          <w:szCs w:val="22"/>
          <w:lang w:val="en-US"/>
        </w:rPr>
        <w:t>2)</w:t>
      </w:r>
      <w:r w:rsidR="00B0377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891B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3B77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gas-phase </w:t>
      </w:r>
      <w:r w:rsidR="00891B5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concentration of CO at the outlet of the reactor increase</w:t>
      </w:r>
      <w:r w:rsidR="003B776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891B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flowrate decreases, </w:t>
      </w:r>
      <w:r w:rsidR="003B776C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a consequence of</w:t>
      </w:r>
      <w:r w:rsidR="00891B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higher residence time</w:t>
      </w:r>
      <w:r w:rsidR="003B776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891B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26E4F"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</w:t>
      </w:r>
      <w:r w:rsidR="00891B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amount of CO generated per gram of catalyst per hour </w:t>
      </w:r>
      <w:r w:rsidR="00126E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(yield) shows a peak value </w:t>
      </w:r>
      <w:r w:rsidR="00891B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middle flowrate, due to </w:t>
      </w:r>
      <w:r w:rsidR="00126E4F">
        <w:rPr>
          <w:rFonts w:asciiTheme="minorHAnsi" w:eastAsia="MS PGothic" w:hAnsiTheme="minorHAnsi"/>
          <w:color w:val="000000"/>
          <w:sz w:val="22"/>
          <w:szCs w:val="22"/>
          <w:lang w:val="en-US"/>
        </w:rPr>
        <w:t>mass transfer improvement in</w:t>
      </w:r>
      <w:r w:rsidR="00891B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reactor. </w:t>
      </w:r>
      <w:r w:rsidR="00126E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Also, experiments </w:t>
      </w:r>
      <w:r w:rsidR="002022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performed </w:t>
      </w:r>
      <w:r w:rsidR="00126E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different light intensities </w:t>
      </w:r>
      <w:r w:rsidR="00202244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showed that y</w:t>
      </w:r>
      <w:r w:rsidR="00891B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ield and </w:t>
      </w:r>
      <w:r w:rsidR="002022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 </w:t>
      </w:r>
      <w:r w:rsidR="00891B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concentration increase </w:t>
      </w:r>
      <w:r w:rsidR="00202244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higher</w:t>
      </w:r>
      <w:r w:rsidR="00891B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light intensity</w:t>
      </w:r>
      <w:r w:rsidR="00202244">
        <w:rPr>
          <w:rFonts w:asciiTheme="minorHAnsi" w:eastAsia="MS PGothic" w:hAnsiTheme="minorHAnsi"/>
          <w:color w:val="000000"/>
          <w:sz w:val="22"/>
          <w:szCs w:val="22"/>
          <w:lang w:val="en-US"/>
        </w:rPr>
        <w:t>; this due</w:t>
      </w:r>
      <w:r w:rsidR="000F7E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generation of more electron-hole pairs </w:t>
      </w:r>
      <w:r w:rsidR="002022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</w:t>
      </w:r>
      <w:r w:rsidR="000F7E03">
        <w:rPr>
          <w:rFonts w:asciiTheme="minorHAnsi" w:eastAsia="MS PGothic" w:hAnsiTheme="minorHAnsi"/>
          <w:color w:val="000000"/>
          <w:sz w:val="22"/>
          <w:szCs w:val="22"/>
          <w:lang w:val="en-US"/>
        </w:rPr>
        <w:t>enhanc</w:t>
      </w:r>
      <w:r w:rsidR="00202244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 w:rsidR="000F7E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reaction</w:t>
      </w:r>
      <w:r w:rsidR="002022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rate</w:t>
      </w:r>
      <w:r w:rsidR="000F7E0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tbl>
      <w:tblPr>
        <w:tblStyle w:val="Tablaconcuadrcula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961"/>
      </w:tblGrid>
      <w:tr w:rsidR="00317A2C" w14:paraId="0A0ED372" w14:textId="77777777" w:rsidTr="00202244">
        <w:tc>
          <w:tcPr>
            <w:tcW w:w="4537" w:type="dxa"/>
          </w:tcPr>
          <w:p w14:paraId="167C8F82" w14:textId="0E355079" w:rsidR="00317A2C" w:rsidRDefault="00317A2C" w:rsidP="001C7202">
            <w:pPr>
              <w:snapToGrid w:val="0"/>
              <w:spacing w:after="120"/>
              <w:jc w:val="left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317A2C"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</w:rPr>
              <w:drawing>
                <wp:inline distT="0" distB="0" distL="0" distR="0" wp14:anchorId="2E5CE536" wp14:editId="63F541E6">
                  <wp:extent cx="2498302" cy="1794544"/>
                  <wp:effectExtent l="0" t="0" r="0" b="0"/>
                  <wp:docPr id="15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0" b="100000" l="0" r="100000">
                                        <a14:foregroundMark x1="86858" y1="86780" x2="86858" y2="86780"/>
                                        <a14:foregroundMark x1="82538" y1="88720" x2="82538" y2="88720"/>
                                        <a14:foregroundMark x1="94588" y1="77198" x2="94588" y2="77198"/>
                                        <a14:backgroundMark x1="11596" y1="74591" x2="11596" y2="74591"/>
                                        <a14:backgroundMark x1="18554" y1="10491" x2="18554" y2="10491"/>
                                        <a14:backgroundMark x1="76535" y1="21346" x2="76535" y2="21346"/>
                                        <a14:backgroundMark x1="32287" y1="70770" x2="32287" y2="70770"/>
                                        <a14:backgroundMark x1="25557" y1="39357" x2="25557" y2="39357"/>
                                        <a14:backgroundMark x1="22874" y1="69800" x2="22874" y2="69800"/>
                                        <a14:backgroundMark x1="26739" y1="88720" x2="26739" y2="88720"/>
                                        <a14:backgroundMark x1="14234" y1="91631" x2="14234" y2="91631"/>
                                        <a14:backgroundMark x1="38063" y1="66889" x2="38063" y2="66889"/>
                                        <a14:backgroundMark x1="43565" y1="65616" x2="43565" y2="6561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26"/>
                          <a:stretch/>
                        </pic:blipFill>
                        <pic:spPr>
                          <a:xfrm>
                            <a:off x="0" y="0"/>
                            <a:ext cx="2555973" cy="1835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439A1B1C" w14:textId="1B54510A" w:rsidR="00317A2C" w:rsidRDefault="00317A2C" w:rsidP="00317A2C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317A2C">
              <w:rPr>
                <w:noProof/>
                <w:lang w:val="es-MX" w:eastAsia="es-MX"/>
              </w:rPr>
              <w:drawing>
                <wp:inline distT="0" distB="0" distL="0" distR="0" wp14:anchorId="0CB59E17" wp14:editId="0A11BF09">
                  <wp:extent cx="2726055" cy="1727200"/>
                  <wp:effectExtent l="0" t="0" r="4445" b="0"/>
                  <wp:docPr id="1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952162" w14:paraId="2A34D7B5" w14:textId="77777777" w:rsidTr="00202244">
        <w:tc>
          <w:tcPr>
            <w:tcW w:w="4537" w:type="dxa"/>
          </w:tcPr>
          <w:p w14:paraId="52221A7B" w14:textId="410EB1D6" w:rsidR="00952162" w:rsidRPr="00317A2C" w:rsidRDefault="00952162" w:rsidP="00891B50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Figure 1. Microreactor</w:t>
            </w:r>
          </w:p>
        </w:tc>
        <w:tc>
          <w:tcPr>
            <w:tcW w:w="4961" w:type="dxa"/>
          </w:tcPr>
          <w:p w14:paraId="015EBAE7" w14:textId="6C171257" w:rsidR="00952162" w:rsidRPr="00F005EE" w:rsidRDefault="00F005EE" w:rsidP="00F005EE">
            <w:pPr>
              <w:snapToGrid w:val="0"/>
              <w:spacing w:after="120"/>
              <w:jc w:val="left"/>
              <w:rPr>
                <w:noProof/>
                <w:lang w:val="en-US" w:eastAsia="es-MX"/>
              </w:rPr>
            </w:pP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 xml:space="preserve">Figure </w:t>
            </w:r>
            <w:r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2</w:t>
            </w: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 w:eastAsia="ko-KR"/>
              </w:rPr>
              <w:t>.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Pr="00DE0019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Effect of liquid flowrate on CO yield and concentration in gas phase.</w:t>
            </w:r>
          </w:p>
        </w:tc>
      </w:tr>
    </w:tbl>
    <w:p w14:paraId="741BA77B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3F510D1" w14:textId="03E38B6A" w:rsidR="00704BDF" w:rsidRPr="008D0BEB" w:rsidRDefault="000F7E0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Synthetized perovskites showed promising band gap values in the visible region</w:t>
      </w:r>
      <w:r w:rsidR="007431ED">
        <w:rPr>
          <w:rFonts w:asciiTheme="minorHAnsi" w:eastAsia="MS PGothic" w:hAnsiTheme="minorHAnsi"/>
          <w:color w:val="000000"/>
          <w:sz w:val="22"/>
          <w:szCs w:val="22"/>
          <w:lang w:val="en-US"/>
        </w:rPr>
        <w:t>;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Cs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Bi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9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(1.94 eV)</w:t>
      </w:r>
      <w:r w:rsidR="00192F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chosen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evaluate </w:t>
      </w:r>
      <w:r w:rsidR="007431ED">
        <w:rPr>
          <w:rFonts w:asciiTheme="minorHAnsi" w:eastAsia="MS PGothic" w:hAnsiTheme="minorHAnsi"/>
          <w:color w:val="000000"/>
          <w:sz w:val="22"/>
          <w:szCs w:val="22"/>
          <w:lang w:val="en-US"/>
        </w:rPr>
        <w:t>its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photocatalytic reduction of CO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planar 3D printed microreactor. CO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431E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conversions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up to 67 % </w:t>
      </w:r>
      <w:r w:rsidR="007431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determined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CO was identified as a product of the reaction. A maximum CO yield of 163.87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µ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cat</w:t>
      </w:r>
      <w:r w:rsidRPr="00367454">
        <w:rPr>
          <w:rFonts w:asciiTheme="minorHAnsi" w:eastAsia="MS PGothic" w:hAnsiTheme="minorHAnsi"/>
          <w:color w:val="000000"/>
          <w:sz w:val="22"/>
          <w:szCs w:val="22"/>
          <w:lang w:val="en-US"/>
        </w:rPr>
        <w:t>·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proofErr w:type="spellEnd"/>
      <w:r w:rsidR="00FB0C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measur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ed and the effects of liquid flowrate and light intensity were analyzed</w:t>
      </w:r>
      <w:r w:rsidR="00FB0C06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determining that maximum yield is achieved at 42.5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µ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L/min and 150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mW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/cm</w:t>
      </w:r>
      <w:r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4B931AEF" w14:textId="21677E94" w:rsidR="00704BDF" w:rsidRPr="008D0BEB" w:rsidRDefault="00192F62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00F56329" w14:textId="1DF08DF1" w:rsidR="00D146F1" w:rsidRPr="008D0BEB" w:rsidRDefault="00D146F1" w:rsidP="00D146F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X. Cheng, X. Zhu, R. Chen, Q. Liao, X. He, S. Li, L. Li, </w:t>
      </w:r>
      <w:proofErr w:type="spellStart"/>
      <w:r>
        <w:rPr>
          <w:rFonts w:asciiTheme="minorHAnsi" w:hAnsiTheme="minorHAnsi"/>
          <w:color w:val="000000"/>
        </w:rPr>
        <w:t>Int</w:t>
      </w:r>
      <w:proofErr w:type="spellEnd"/>
      <w:r>
        <w:rPr>
          <w:rFonts w:asciiTheme="minorHAnsi" w:hAnsiTheme="minorHAnsi"/>
          <w:color w:val="000000"/>
        </w:rPr>
        <w:t xml:space="preserve"> J Hydrogen </w:t>
      </w:r>
      <w:proofErr w:type="spellStart"/>
      <w:r>
        <w:rPr>
          <w:rFonts w:asciiTheme="minorHAnsi" w:hAnsiTheme="minorHAnsi"/>
          <w:color w:val="000000"/>
        </w:rPr>
        <w:t>Energ</w:t>
      </w:r>
      <w:proofErr w:type="spellEnd"/>
      <w:r w:rsidRPr="00D146F1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41 (2016) 2457–2465</w:t>
      </w:r>
      <w:r w:rsidRPr="008D0BEB">
        <w:rPr>
          <w:rFonts w:asciiTheme="minorHAnsi" w:hAnsiTheme="minorHAnsi"/>
          <w:color w:val="000000"/>
        </w:rPr>
        <w:t>.</w:t>
      </w:r>
    </w:p>
    <w:p w14:paraId="31EE4AC5" w14:textId="73CE063D" w:rsidR="00704BDF" w:rsidRPr="00D146F1" w:rsidRDefault="00D146F1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D146F1">
        <w:rPr>
          <w:rFonts w:asciiTheme="minorHAnsi" w:hAnsiTheme="minorHAnsi"/>
          <w:color w:val="000000"/>
        </w:rPr>
        <w:t>X. Cheng, R. Chen, X. Zhu, Q. Liao, L. An, D. Ye, X. He, S. Li, L. Li, Energy 120 (2017) 276–282.</w:t>
      </w:r>
    </w:p>
    <w:sectPr w:rsidR="00704BDF" w:rsidRPr="00D146F1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7BE42" w14:textId="77777777" w:rsidR="009446E8" w:rsidRDefault="009446E8" w:rsidP="004F5E36">
      <w:r>
        <w:separator/>
      </w:r>
    </w:p>
  </w:endnote>
  <w:endnote w:type="continuationSeparator" w:id="0">
    <w:p w14:paraId="470CEA1A" w14:textId="77777777" w:rsidR="009446E8" w:rsidRDefault="009446E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D3A2C" w14:textId="77777777" w:rsidR="009446E8" w:rsidRDefault="009446E8" w:rsidP="004F5E36">
      <w:r>
        <w:separator/>
      </w:r>
    </w:p>
  </w:footnote>
  <w:footnote w:type="continuationSeparator" w:id="0">
    <w:p w14:paraId="74C78E1A" w14:textId="77777777" w:rsidR="009446E8" w:rsidRDefault="009446E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3F3BC" w14:textId="77777777" w:rsidR="004D1162" w:rsidRDefault="00594E9F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710A1B" wp14:editId="019D9A3C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16329CFB" wp14:editId="2EBD10F8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18097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640B986" wp14:editId="1C1A0716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2A5F1512" w14:textId="77777777" w:rsidR="00704BDF" w:rsidRDefault="00704BDF">
    <w:pPr>
      <w:pStyle w:val="Encabezado"/>
    </w:pPr>
  </w:p>
  <w:p w14:paraId="1CB822E4" w14:textId="77777777" w:rsidR="00704BDF" w:rsidRDefault="00704BDF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9812" wp14:editId="526CA7CB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7177C"/>
    <w:rsid w:val="000A03B2"/>
    <w:rsid w:val="000D34BE"/>
    <w:rsid w:val="000E36F1"/>
    <w:rsid w:val="000E3A73"/>
    <w:rsid w:val="000E414A"/>
    <w:rsid w:val="000F7E03"/>
    <w:rsid w:val="00126E4F"/>
    <w:rsid w:val="0013121F"/>
    <w:rsid w:val="00134DE4"/>
    <w:rsid w:val="00145CC3"/>
    <w:rsid w:val="00150E59"/>
    <w:rsid w:val="00184AD6"/>
    <w:rsid w:val="00192F62"/>
    <w:rsid w:val="001B65C1"/>
    <w:rsid w:val="001C684B"/>
    <w:rsid w:val="001C7202"/>
    <w:rsid w:val="001D53FC"/>
    <w:rsid w:val="001F2EC7"/>
    <w:rsid w:val="00202244"/>
    <w:rsid w:val="002065DB"/>
    <w:rsid w:val="002447EF"/>
    <w:rsid w:val="00251550"/>
    <w:rsid w:val="00254A60"/>
    <w:rsid w:val="0026656A"/>
    <w:rsid w:val="0027221A"/>
    <w:rsid w:val="00275B61"/>
    <w:rsid w:val="002D1F12"/>
    <w:rsid w:val="002F5F58"/>
    <w:rsid w:val="003009B7"/>
    <w:rsid w:val="0030469C"/>
    <w:rsid w:val="00317A2C"/>
    <w:rsid w:val="00367454"/>
    <w:rsid w:val="003723D4"/>
    <w:rsid w:val="00393057"/>
    <w:rsid w:val="003A2153"/>
    <w:rsid w:val="003A7D1C"/>
    <w:rsid w:val="003B776C"/>
    <w:rsid w:val="003C0A2E"/>
    <w:rsid w:val="0046164A"/>
    <w:rsid w:val="00462DCD"/>
    <w:rsid w:val="004A5E6B"/>
    <w:rsid w:val="004D1162"/>
    <w:rsid w:val="004E4DD6"/>
    <w:rsid w:val="004F5E36"/>
    <w:rsid w:val="00500B65"/>
    <w:rsid w:val="005119A5"/>
    <w:rsid w:val="005278B7"/>
    <w:rsid w:val="005346C8"/>
    <w:rsid w:val="00553405"/>
    <w:rsid w:val="00581886"/>
    <w:rsid w:val="00594E9F"/>
    <w:rsid w:val="005B61E6"/>
    <w:rsid w:val="005C70F9"/>
    <w:rsid w:val="005C77E1"/>
    <w:rsid w:val="005D6A2F"/>
    <w:rsid w:val="005E1A82"/>
    <w:rsid w:val="005E54F2"/>
    <w:rsid w:val="005F0A28"/>
    <w:rsid w:val="005F0E5E"/>
    <w:rsid w:val="00620DEE"/>
    <w:rsid w:val="00625639"/>
    <w:rsid w:val="0064184D"/>
    <w:rsid w:val="00660E3E"/>
    <w:rsid w:val="00662E74"/>
    <w:rsid w:val="006A58D2"/>
    <w:rsid w:val="006B2EDD"/>
    <w:rsid w:val="006B6C02"/>
    <w:rsid w:val="006C5579"/>
    <w:rsid w:val="00704BDF"/>
    <w:rsid w:val="00736B13"/>
    <w:rsid w:val="007431ED"/>
    <w:rsid w:val="007447F3"/>
    <w:rsid w:val="00745257"/>
    <w:rsid w:val="007661C8"/>
    <w:rsid w:val="007961E1"/>
    <w:rsid w:val="007D52CD"/>
    <w:rsid w:val="007F1D76"/>
    <w:rsid w:val="00813288"/>
    <w:rsid w:val="008168FC"/>
    <w:rsid w:val="008479A2"/>
    <w:rsid w:val="00856702"/>
    <w:rsid w:val="0087637F"/>
    <w:rsid w:val="00887AF4"/>
    <w:rsid w:val="00891B50"/>
    <w:rsid w:val="008A1512"/>
    <w:rsid w:val="008D0BEB"/>
    <w:rsid w:val="008E566E"/>
    <w:rsid w:val="00901EB6"/>
    <w:rsid w:val="00943D30"/>
    <w:rsid w:val="00943FF6"/>
    <w:rsid w:val="009446E8"/>
    <w:rsid w:val="009450CE"/>
    <w:rsid w:val="0095164B"/>
    <w:rsid w:val="00951A97"/>
    <w:rsid w:val="00952162"/>
    <w:rsid w:val="00996483"/>
    <w:rsid w:val="009D3836"/>
    <w:rsid w:val="009E788A"/>
    <w:rsid w:val="00A045B4"/>
    <w:rsid w:val="00A1763D"/>
    <w:rsid w:val="00A17CEC"/>
    <w:rsid w:val="00A27EF0"/>
    <w:rsid w:val="00A52080"/>
    <w:rsid w:val="00A76EFC"/>
    <w:rsid w:val="00A9626B"/>
    <w:rsid w:val="00A97F29"/>
    <w:rsid w:val="00AB0964"/>
    <w:rsid w:val="00AE377D"/>
    <w:rsid w:val="00B03777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146F1"/>
    <w:rsid w:val="00D71F36"/>
    <w:rsid w:val="00D84576"/>
    <w:rsid w:val="00DE0019"/>
    <w:rsid w:val="00DE264A"/>
    <w:rsid w:val="00DF64F5"/>
    <w:rsid w:val="00E041E7"/>
    <w:rsid w:val="00E23CA1"/>
    <w:rsid w:val="00E409A8"/>
    <w:rsid w:val="00E63136"/>
    <w:rsid w:val="00E7209D"/>
    <w:rsid w:val="00E93DB2"/>
    <w:rsid w:val="00EA50E1"/>
    <w:rsid w:val="00ED61FD"/>
    <w:rsid w:val="00EE0131"/>
    <w:rsid w:val="00F005EE"/>
    <w:rsid w:val="00F03C8F"/>
    <w:rsid w:val="00F30C64"/>
    <w:rsid w:val="00FB0C06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68CC8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254A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C:\Users\JoseAndr&#233;s\Dropbox\Proyecto\Mediciones\Corridas%20(Autoguardado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131822358683151"/>
          <c:y val="5.7070285569142565E-2"/>
          <c:w val="0.67247726109707984"/>
          <c:h val="0.71446665940950926"/>
        </c:manualLayout>
      </c:layout>
      <c:scatterChart>
        <c:scatterStyle val="lineMarker"/>
        <c:varyColors val="0"/>
        <c:ser>
          <c:idx val="1"/>
          <c:order val="1"/>
          <c:tx>
            <c:strRef>
              <c:f>Hoja3!$H$36</c:f>
              <c:strCache>
                <c:ptCount val="1"/>
                <c:pt idx="0">
                  <c:v>Yield</c:v>
                </c:pt>
              </c:strCache>
            </c:strRef>
          </c:tx>
          <c:spPr>
            <a:ln w="12700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Hoja3!$I$37:$I$39</c:f>
                <c:numCache>
                  <c:formatCode>General</c:formatCode>
                  <c:ptCount val="3"/>
                  <c:pt idx="0">
                    <c:v>6.5056846006389435</c:v>
                  </c:pt>
                  <c:pt idx="1">
                    <c:v>8.550815983509608</c:v>
                  </c:pt>
                  <c:pt idx="2">
                    <c:v>11.059035880696683</c:v>
                  </c:pt>
                </c:numCache>
              </c:numRef>
            </c:plus>
            <c:minus>
              <c:numRef>
                <c:f>Hoja3!$I$37:$I$39</c:f>
                <c:numCache>
                  <c:formatCode>General</c:formatCode>
                  <c:ptCount val="3"/>
                  <c:pt idx="0">
                    <c:v>6.5056846006389435</c:v>
                  </c:pt>
                  <c:pt idx="1">
                    <c:v>8.550815983509608</c:v>
                  </c:pt>
                  <c:pt idx="2">
                    <c:v>11.059035880696683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x"/>
            <c:errBarType val="both"/>
            <c:errValType val="fixedVal"/>
            <c:noEndCap val="0"/>
            <c:val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Hoja3!$E$37:$E$39</c:f>
              <c:numCache>
                <c:formatCode>General</c:formatCode>
                <c:ptCount val="3"/>
                <c:pt idx="0">
                  <c:v>12.5</c:v>
                </c:pt>
                <c:pt idx="1">
                  <c:v>42.5</c:v>
                </c:pt>
                <c:pt idx="2">
                  <c:v>72.5</c:v>
                </c:pt>
              </c:numCache>
            </c:numRef>
          </c:xVal>
          <c:yVal>
            <c:numRef>
              <c:f>Hoja3!$H$37:$H$39</c:f>
              <c:numCache>
                <c:formatCode>General</c:formatCode>
                <c:ptCount val="3"/>
                <c:pt idx="0">
                  <c:v>137.25070171991467</c:v>
                </c:pt>
                <c:pt idx="1">
                  <c:v>362.67156275409042</c:v>
                </c:pt>
                <c:pt idx="2">
                  <c:v>183.94393036301935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678-2A4D-84E2-EE3D9E13FB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9477832"/>
        <c:axId val="579479008"/>
      </c:scatterChart>
      <c:scatterChart>
        <c:scatterStyle val="lineMarker"/>
        <c:varyColors val="0"/>
        <c:ser>
          <c:idx val="0"/>
          <c:order val="0"/>
          <c:tx>
            <c:strRef>
              <c:f>Hoja3!$F$36</c:f>
              <c:strCache>
                <c:ptCount val="1"/>
                <c:pt idx="0">
                  <c:v>Concentration</c:v>
                </c:pt>
              </c:strCache>
            </c:strRef>
          </c:tx>
          <c:spPr>
            <a:ln w="12700" cap="rnd">
              <a:solidFill>
                <a:schemeClr val="accent1"/>
              </a:solidFill>
              <a:round/>
            </a:ln>
            <a:effectLst/>
          </c:spPr>
          <c:marker>
            <c:symbol val="triang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Hoja3!$G$37:$G$39</c:f>
                <c:numCache>
                  <c:formatCode>General</c:formatCode>
                  <c:ptCount val="3"/>
                  <c:pt idx="0">
                    <c:v>0.24435351360000013</c:v>
                  </c:pt>
                  <c:pt idx="1">
                    <c:v>4.7136688200000165E-2</c:v>
                  </c:pt>
                  <c:pt idx="2">
                    <c:v>8.1311989499999848E-2</c:v>
                  </c:pt>
                </c:numCache>
              </c:numRef>
            </c:plus>
            <c:minus>
              <c:numRef>
                <c:f>Hoja3!$G$37:$G$39</c:f>
                <c:numCache>
                  <c:formatCode>General</c:formatCode>
                  <c:ptCount val="3"/>
                  <c:pt idx="0">
                    <c:v>0.24435351360000013</c:v>
                  </c:pt>
                  <c:pt idx="1">
                    <c:v>4.7136688200000165E-2</c:v>
                  </c:pt>
                  <c:pt idx="2">
                    <c:v>8.1311989499999848E-2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x"/>
            <c:errBarType val="both"/>
            <c:errValType val="fixedVal"/>
            <c:noEndCap val="0"/>
            <c:val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Hoja3!$E$37:$E$39</c:f>
              <c:numCache>
                <c:formatCode>General</c:formatCode>
                <c:ptCount val="3"/>
                <c:pt idx="0">
                  <c:v>12.5</c:v>
                </c:pt>
                <c:pt idx="1">
                  <c:v>42.5</c:v>
                </c:pt>
                <c:pt idx="2">
                  <c:v>72.5</c:v>
                </c:pt>
              </c:numCache>
            </c:numRef>
          </c:xVal>
          <c:yVal>
            <c:numRef>
              <c:f>Hoja3!$F$37:$F$39</c:f>
              <c:numCache>
                <c:formatCode>General</c:formatCode>
                <c:ptCount val="3"/>
                <c:pt idx="0">
                  <c:v>5.1551363566000017</c:v>
                </c:pt>
                <c:pt idx="1">
                  <c:v>3.2760434962000007</c:v>
                </c:pt>
                <c:pt idx="2">
                  <c:v>1.1492239699000002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678-2A4D-84E2-EE3D9E13FB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9479792"/>
        <c:axId val="579479400"/>
      </c:scatterChart>
      <c:valAx>
        <c:axId val="5794778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sz="1000"/>
                  <a:t>Flowrate, </a:t>
                </a:r>
                <a:r>
                  <a:rPr lang="es-MX" sz="1000" i="1"/>
                  <a:t>f </a:t>
                </a:r>
                <a:r>
                  <a:rPr lang="es-MX" sz="1000" i="0"/>
                  <a:t>/ (µL/min)</a:t>
                </a:r>
                <a:endParaRPr lang="es-MX" sz="1000" i="1"/>
              </a:p>
            </c:rich>
          </c:tx>
          <c:layout>
            <c:manualLayout>
              <c:xMode val="edge"/>
              <c:yMode val="edge"/>
              <c:x val="0.36137568757783678"/>
              <c:y val="0.8697078994157988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R"/>
          </a:p>
        </c:txPr>
        <c:crossAx val="579479008"/>
        <c:crosses val="autoZero"/>
        <c:crossBetween val="midCat"/>
        <c:majorUnit val="20"/>
      </c:valAx>
      <c:valAx>
        <c:axId val="57947900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sz="800"/>
                  <a:t>CO yield,</a:t>
                </a:r>
                <a:r>
                  <a:rPr lang="es-MX" sz="800" baseline="0"/>
                  <a:t> </a:t>
                </a:r>
                <a:r>
                  <a:rPr lang="es-MX" sz="800" i="1" baseline="0"/>
                  <a:t>M</a:t>
                </a:r>
                <a:r>
                  <a:rPr lang="es-MX" sz="800" baseline="0"/>
                  <a:t> /(µmol/gcat/h)</a:t>
                </a:r>
                <a:endParaRPr lang="es-MX" sz="800"/>
              </a:p>
            </c:rich>
          </c:tx>
          <c:layout>
            <c:manualLayout>
              <c:xMode val="edge"/>
              <c:yMode val="edge"/>
              <c:x val="3.0860345811071312E-2"/>
              <c:y val="0.1369783615757707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R"/>
          </a:p>
        </c:txPr>
        <c:crossAx val="579477832"/>
        <c:crosses val="autoZero"/>
        <c:crossBetween val="midCat"/>
        <c:majorUnit val="100"/>
      </c:valAx>
      <c:valAx>
        <c:axId val="579479400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/>
                  <a:t>CO concentration, </a:t>
                </a:r>
                <a:r>
                  <a:rPr lang="en-US" sz="800" i="1"/>
                  <a:t>c</a:t>
                </a:r>
                <a:r>
                  <a:rPr lang="en-US" sz="800"/>
                  <a:t> /(mmol/L)</a:t>
                </a:r>
              </a:p>
            </c:rich>
          </c:tx>
          <c:layout>
            <c:manualLayout>
              <c:xMode val="edge"/>
              <c:yMode val="edge"/>
              <c:x val="0.91846679542415688"/>
              <c:y val="8.671770867351259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R"/>
          </a:p>
        </c:txPr>
        <c:crossAx val="579479792"/>
        <c:crosses val="max"/>
        <c:crossBetween val="midCat"/>
        <c:majorUnit val="2"/>
      </c:valAx>
      <c:valAx>
        <c:axId val="5794797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79479400"/>
        <c:crosses val="autoZero"/>
        <c:crossBetween val="midCat"/>
      </c:valAx>
      <c:spPr>
        <a:noFill/>
        <a:ln>
          <a:solidFill>
            <a:schemeClr val="tx1">
              <a:lumMod val="50000"/>
              <a:lumOff val="50000"/>
            </a:schemeClr>
          </a:solidFill>
        </a:ln>
        <a:effectLst/>
      </c:spPr>
    </c:plotArea>
    <c:legend>
      <c:legendPos val="r"/>
      <c:layout>
        <c:manualLayout>
          <c:xMode val="edge"/>
          <c:yMode val="edge"/>
          <c:x val="0.31062175928218616"/>
          <c:y val="0.57912551253673938"/>
          <c:w val="0.40250655250902873"/>
          <c:h val="0.159727614693324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C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E73E2-21C7-7140-9E81-8C4EC846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846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Proyecto IPEG</cp:lastModifiedBy>
  <cp:revision>3</cp:revision>
  <cp:lastPrinted>2015-05-12T18:31:00Z</cp:lastPrinted>
  <dcterms:created xsi:type="dcterms:W3CDTF">2019-02-28T23:37:00Z</dcterms:created>
  <dcterms:modified xsi:type="dcterms:W3CDTF">2019-02-28T23:46:00Z</dcterms:modified>
</cp:coreProperties>
</file>