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85017"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6C957538" w14:textId="38EF63FA" w:rsidR="00704BDF" w:rsidRPr="00DE0019" w:rsidRDefault="00F22818" w:rsidP="00E96C06">
      <w:pPr>
        <w:snapToGrid w:val="0"/>
        <w:spacing w:after="120"/>
        <w:jc w:val="center"/>
        <w:rPr>
          <w:rFonts w:asciiTheme="minorHAnsi" w:eastAsia="MS PGothic" w:hAnsiTheme="minorHAnsi"/>
          <w:b/>
          <w:bCs/>
          <w:sz w:val="28"/>
          <w:szCs w:val="28"/>
          <w:lang w:val="en-US"/>
        </w:rPr>
      </w:pPr>
      <w:r>
        <w:rPr>
          <w:rFonts w:asciiTheme="minorHAnsi" w:eastAsia="MS PGothic" w:hAnsiTheme="minorHAnsi"/>
          <w:b/>
          <w:bCs/>
          <w:sz w:val="28"/>
          <w:szCs w:val="28"/>
          <w:lang w:val="en-US"/>
        </w:rPr>
        <w:t>Using</w:t>
      </w:r>
      <w:r w:rsidR="00E96C06" w:rsidRPr="004B65CB">
        <w:rPr>
          <w:rFonts w:asciiTheme="minorHAnsi" w:eastAsia="MS PGothic" w:hAnsiTheme="minorHAnsi"/>
          <w:b/>
          <w:bCs/>
          <w:sz w:val="28"/>
          <w:szCs w:val="28"/>
          <w:lang w:val="en-US"/>
        </w:rPr>
        <w:t xml:space="preserve"> </w:t>
      </w:r>
      <w:bookmarkStart w:id="0" w:name="_Hlk2110356"/>
      <w:r w:rsidR="00E96C06" w:rsidRPr="004B65CB">
        <w:rPr>
          <w:rFonts w:asciiTheme="minorHAnsi" w:eastAsia="MS PGothic" w:hAnsiTheme="minorHAnsi"/>
          <w:b/>
          <w:bCs/>
          <w:sz w:val="28"/>
          <w:szCs w:val="28"/>
          <w:lang w:val="en-US"/>
        </w:rPr>
        <w:t>supplement</w:t>
      </w:r>
      <w:r w:rsidR="0091279D">
        <w:rPr>
          <w:rFonts w:asciiTheme="minorHAnsi" w:eastAsia="MS PGothic" w:hAnsiTheme="minorHAnsi"/>
          <w:b/>
          <w:bCs/>
          <w:sz w:val="28"/>
          <w:szCs w:val="28"/>
          <w:lang w:val="en-US"/>
        </w:rPr>
        <w:t>ary</w:t>
      </w:r>
      <w:r w:rsidR="00E96C06" w:rsidRPr="004B65CB">
        <w:rPr>
          <w:rFonts w:asciiTheme="minorHAnsi" w:eastAsia="MS PGothic" w:hAnsiTheme="minorHAnsi"/>
          <w:b/>
          <w:bCs/>
          <w:sz w:val="28"/>
          <w:szCs w:val="28"/>
          <w:lang w:val="en-US"/>
        </w:rPr>
        <w:t xml:space="preserve"> screencasts</w:t>
      </w:r>
      <w:bookmarkEnd w:id="0"/>
      <w:r w:rsidR="00E96C06" w:rsidRPr="004B65CB">
        <w:rPr>
          <w:rFonts w:asciiTheme="minorHAnsi" w:eastAsia="MS PGothic" w:hAnsiTheme="minorHAnsi"/>
          <w:b/>
          <w:bCs/>
          <w:sz w:val="28"/>
          <w:szCs w:val="28"/>
          <w:lang w:val="en-US"/>
        </w:rPr>
        <w:t xml:space="preserve"> in teaching computational tools to </w:t>
      </w:r>
      <w:r w:rsidR="00AC67AD">
        <w:rPr>
          <w:rFonts w:asciiTheme="minorHAnsi" w:eastAsia="MS PGothic" w:hAnsiTheme="minorHAnsi"/>
          <w:b/>
          <w:bCs/>
          <w:sz w:val="28"/>
          <w:szCs w:val="28"/>
          <w:lang w:val="en-US"/>
        </w:rPr>
        <w:t xml:space="preserve">undergraduate </w:t>
      </w:r>
      <w:r w:rsidR="00E96C06" w:rsidRPr="004B65CB">
        <w:rPr>
          <w:rFonts w:asciiTheme="minorHAnsi" w:eastAsia="MS PGothic" w:hAnsiTheme="minorHAnsi"/>
          <w:b/>
          <w:bCs/>
          <w:sz w:val="28"/>
          <w:szCs w:val="28"/>
          <w:lang w:val="en-US"/>
        </w:rPr>
        <w:t>chemical engineer</w:t>
      </w:r>
      <w:r w:rsidR="00AC67AD">
        <w:rPr>
          <w:rFonts w:asciiTheme="minorHAnsi" w:eastAsia="MS PGothic" w:hAnsiTheme="minorHAnsi"/>
          <w:b/>
          <w:bCs/>
          <w:sz w:val="28"/>
          <w:szCs w:val="28"/>
          <w:lang w:val="en-US"/>
        </w:rPr>
        <w:t>ing students</w:t>
      </w:r>
    </w:p>
    <w:p w14:paraId="3CBED0B7" w14:textId="1A55491A" w:rsidR="00DE0019" w:rsidRPr="00DE0019" w:rsidRDefault="00E96C06" w:rsidP="00704BDF">
      <w:pPr>
        <w:snapToGrid w:val="0"/>
        <w:spacing w:after="120"/>
        <w:jc w:val="center"/>
        <w:rPr>
          <w:rFonts w:eastAsia="SimSun"/>
          <w:color w:val="000000"/>
          <w:lang w:val="en-US" w:eastAsia="zh-CN"/>
        </w:rPr>
      </w:pPr>
      <w:proofErr w:type="spellStart"/>
      <w:r w:rsidRPr="00E96C06">
        <w:rPr>
          <w:rFonts w:asciiTheme="minorHAnsi" w:eastAsia="SimSun" w:hAnsiTheme="minorHAnsi"/>
          <w:color w:val="000000"/>
          <w:sz w:val="24"/>
          <w:szCs w:val="24"/>
          <w:u w:val="single"/>
          <w:lang w:val="en-US" w:eastAsia="zh-CN"/>
        </w:rPr>
        <w:t>Mazaher</w:t>
      </w:r>
      <w:proofErr w:type="spellEnd"/>
      <w:r w:rsidRPr="00E96C06">
        <w:rPr>
          <w:rFonts w:asciiTheme="minorHAnsi" w:eastAsia="SimSun" w:hAnsiTheme="minorHAnsi"/>
          <w:color w:val="000000"/>
          <w:sz w:val="24"/>
          <w:szCs w:val="24"/>
          <w:u w:val="single"/>
          <w:lang w:val="en-US" w:eastAsia="zh-CN"/>
        </w:rPr>
        <w:t xml:space="preserve"> </w:t>
      </w:r>
      <w:proofErr w:type="spellStart"/>
      <w:r w:rsidRPr="00E96C06">
        <w:rPr>
          <w:rFonts w:asciiTheme="minorHAnsi" w:eastAsia="SimSun" w:hAnsiTheme="minorHAnsi"/>
          <w:color w:val="000000"/>
          <w:sz w:val="24"/>
          <w:szCs w:val="24"/>
          <w:u w:val="single"/>
          <w:lang w:val="en-US" w:eastAsia="zh-CN"/>
        </w:rPr>
        <w:t>Molaei</w:t>
      </w:r>
      <w:proofErr w:type="spellEnd"/>
      <w:r w:rsidRPr="00E96C06">
        <w:rPr>
          <w:rFonts w:asciiTheme="minorHAnsi" w:eastAsia="SimSun" w:hAnsiTheme="minorHAnsi"/>
          <w:color w:val="000000"/>
          <w:sz w:val="24"/>
          <w:szCs w:val="24"/>
          <w:u w:val="single"/>
          <w:lang w:val="en-US" w:eastAsia="zh-CN"/>
        </w:rPr>
        <w:t xml:space="preserve"> </w:t>
      </w:r>
      <w:proofErr w:type="spellStart"/>
      <w:r w:rsidRPr="00E96C06">
        <w:rPr>
          <w:rFonts w:asciiTheme="minorHAnsi" w:eastAsia="SimSun" w:hAnsiTheme="minorHAnsi"/>
          <w:color w:val="000000"/>
          <w:sz w:val="24"/>
          <w:szCs w:val="24"/>
          <w:u w:val="single"/>
          <w:lang w:val="en-US" w:eastAsia="zh-CN"/>
        </w:rPr>
        <w:t>Chalchooghi</w:t>
      </w:r>
      <w:proofErr w:type="spellEnd"/>
      <w:r w:rsidR="00C335B2" w:rsidRPr="00DC4081">
        <w:rPr>
          <w:rFonts w:asciiTheme="minorHAnsi" w:eastAsia="SimSun" w:hAnsiTheme="minorHAnsi"/>
          <w:color w:val="000000"/>
          <w:sz w:val="24"/>
          <w:szCs w:val="24"/>
          <w:vertAlign w:val="superscript"/>
          <w:lang w:val="en-US" w:eastAsia="zh-CN"/>
        </w:rPr>
        <w:t>*</w:t>
      </w:r>
      <w:r w:rsidRPr="00DC4081">
        <w:rPr>
          <w:rFonts w:asciiTheme="minorHAnsi" w:eastAsia="SimSun" w:hAnsiTheme="minorHAnsi"/>
          <w:color w:val="000000"/>
          <w:sz w:val="24"/>
          <w:szCs w:val="24"/>
          <w:lang w:val="en-US" w:eastAsia="zh-CN"/>
        </w:rPr>
        <w:t xml:space="preserve"> </w:t>
      </w:r>
    </w:p>
    <w:p w14:paraId="6BB7946E" w14:textId="77777777" w:rsidR="00E96C06" w:rsidRPr="00E96C06" w:rsidRDefault="00E96C06" w:rsidP="00E96C06">
      <w:pPr>
        <w:snapToGrid w:val="0"/>
        <w:jc w:val="center"/>
        <w:rPr>
          <w:rFonts w:eastAsia="MS PGothic"/>
          <w:i/>
          <w:iCs/>
          <w:color w:val="000000"/>
          <w:sz w:val="20"/>
          <w:lang w:val="en-US"/>
        </w:rPr>
      </w:pPr>
      <w:r w:rsidRPr="00E96C06">
        <w:rPr>
          <w:rFonts w:eastAsia="MS PGothic"/>
          <w:i/>
          <w:iCs/>
          <w:color w:val="000000"/>
          <w:sz w:val="20"/>
          <w:lang w:val="en-US"/>
        </w:rPr>
        <w:t>Department of Chemical Engineering, University College London,</w:t>
      </w:r>
    </w:p>
    <w:p w14:paraId="7CC62A48" w14:textId="77777777" w:rsidR="00E96C06" w:rsidRPr="00E96C06" w:rsidRDefault="00E96C06" w:rsidP="00E96C06">
      <w:pPr>
        <w:snapToGrid w:val="0"/>
        <w:jc w:val="center"/>
        <w:rPr>
          <w:rFonts w:eastAsia="MS PGothic"/>
          <w:i/>
          <w:iCs/>
          <w:color w:val="000000"/>
          <w:sz w:val="20"/>
          <w:lang w:val="en-US"/>
        </w:rPr>
      </w:pPr>
      <w:r w:rsidRPr="00E96C06">
        <w:rPr>
          <w:rFonts w:eastAsia="MS PGothic"/>
          <w:i/>
          <w:iCs/>
          <w:color w:val="000000"/>
          <w:sz w:val="20"/>
          <w:lang w:val="en-US"/>
        </w:rPr>
        <w:t>Torrington Place, London WC1E 7JE, United Kingdom</w:t>
      </w:r>
    </w:p>
    <w:p w14:paraId="362F0610" w14:textId="54E219A6" w:rsidR="00704BDF" w:rsidRPr="00DE0019" w:rsidRDefault="00E96C06" w:rsidP="00E96C06">
      <w:pPr>
        <w:snapToGrid w:val="0"/>
        <w:jc w:val="center"/>
        <w:rPr>
          <w:rFonts w:asciiTheme="minorHAnsi" w:eastAsia="MS PGothic" w:hAnsiTheme="minorHAnsi"/>
          <w:bCs/>
          <w:i/>
          <w:iCs/>
          <w:sz w:val="20"/>
          <w:lang w:val="en-US"/>
        </w:rPr>
      </w:pPr>
      <w:r w:rsidRPr="00E96C06">
        <w:rPr>
          <w:rFonts w:eastAsia="MS PGothic"/>
          <w:i/>
          <w:iCs/>
          <w:color w:val="000000"/>
          <w:sz w:val="20"/>
          <w:lang w:val="en-US"/>
        </w:rPr>
        <w:t>*</w:t>
      </w:r>
      <w:r w:rsidR="00C335B2">
        <w:rPr>
          <w:rFonts w:eastAsia="MS PGothic"/>
          <w:i/>
          <w:iCs/>
          <w:color w:val="000000"/>
          <w:sz w:val="20"/>
          <w:lang w:val="en-US"/>
        </w:rPr>
        <w:t>m.chalchooghi</w:t>
      </w:r>
      <w:r w:rsidRPr="00E96C06">
        <w:rPr>
          <w:rFonts w:eastAsia="MS PGothic"/>
          <w:i/>
          <w:iCs/>
          <w:color w:val="000000"/>
          <w:sz w:val="20"/>
          <w:lang w:val="en-US"/>
        </w:rPr>
        <w:t>@ucl.ac.uk</w:t>
      </w:r>
    </w:p>
    <w:p w14:paraId="450868DB"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6EAB799D" w14:textId="33B52E5E" w:rsidR="00704BDF" w:rsidRPr="00EC66CC" w:rsidRDefault="0091279D" w:rsidP="00704BDF">
      <w:pPr>
        <w:pStyle w:val="AbstractBody"/>
        <w:numPr>
          <w:ilvl w:val="0"/>
          <w:numId w:val="16"/>
        </w:numPr>
        <w:rPr>
          <w:rFonts w:asciiTheme="minorHAnsi" w:hAnsiTheme="minorHAnsi"/>
        </w:rPr>
      </w:pPr>
      <w:r>
        <w:rPr>
          <w:rFonts w:asciiTheme="minorHAnsi" w:hAnsiTheme="minorHAnsi"/>
        </w:rPr>
        <w:t>Computational Tools in Chemical Engineering</w:t>
      </w:r>
      <w:r w:rsidR="00704BDF" w:rsidRPr="00EC66CC">
        <w:rPr>
          <w:rFonts w:asciiTheme="minorHAnsi" w:hAnsiTheme="minorHAnsi"/>
        </w:rPr>
        <w:t>.</w:t>
      </w:r>
    </w:p>
    <w:p w14:paraId="436576FE" w14:textId="475F726A" w:rsidR="00704BDF" w:rsidRPr="00EC66CC" w:rsidRDefault="0091279D" w:rsidP="00704BDF">
      <w:pPr>
        <w:pStyle w:val="AbstractBody"/>
        <w:numPr>
          <w:ilvl w:val="0"/>
          <w:numId w:val="16"/>
        </w:numPr>
        <w:rPr>
          <w:rFonts w:asciiTheme="minorHAnsi" w:hAnsiTheme="minorHAnsi"/>
        </w:rPr>
      </w:pPr>
      <w:r>
        <w:rPr>
          <w:rFonts w:asciiTheme="minorHAnsi" w:hAnsiTheme="minorHAnsi"/>
        </w:rPr>
        <w:t>S</w:t>
      </w:r>
      <w:r w:rsidRPr="0091279D">
        <w:rPr>
          <w:rFonts w:asciiTheme="minorHAnsi" w:hAnsiTheme="minorHAnsi"/>
        </w:rPr>
        <w:t>upplementary screencast</w:t>
      </w:r>
      <w:r>
        <w:rPr>
          <w:rFonts w:asciiTheme="minorHAnsi" w:hAnsiTheme="minorHAnsi"/>
        </w:rPr>
        <w:t xml:space="preserve"> videos</w:t>
      </w:r>
      <w:r w:rsidR="00704BDF" w:rsidRPr="00EC66CC">
        <w:rPr>
          <w:rFonts w:asciiTheme="minorHAnsi" w:hAnsiTheme="minorHAnsi"/>
        </w:rPr>
        <w:t xml:space="preserve">. </w:t>
      </w:r>
    </w:p>
    <w:p w14:paraId="2692CAF6" w14:textId="61195838" w:rsidR="00704BDF" w:rsidRPr="00EC66CC" w:rsidRDefault="0091279D" w:rsidP="00704BDF">
      <w:pPr>
        <w:pStyle w:val="AbstractBody"/>
        <w:numPr>
          <w:ilvl w:val="0"/>
          <w:numId w:val="16"/>
        </w:numPr>
        <w:rPr>
          <w:rFonts w:asciiTheme="minorHAnsi" w:hAnsiTheme="minorHAnsi"/>
        </w:rPr>
      </w:pPr>
      <w:r>
        <w:rPr>
          <w:rFonts w:asciiTheme="minorHAnsi" w:hAnsiTheme="minorHAnsi"/>
        </w:rPr>
        <w:t xml:space="preserve">e-learning </w:t>
      </w:r>
      <w:r w:rsidR="00F704EE">
        <w:rPr>
          <w:rFonts w:asciiTheme="minorHAnsi" w:hAnsiTheme="minorHAnsi"/>
        </w:rPr>
        <w:t>material</w:t>
      </w:r>
      <w:r w:rsidR="00704BDF" w:rsidRPr="00EC66CC">
        <w:rPr>
          <w:rFonts w:asciiTheme="minorHAnsi" w:hAnsiTheme="minorHAnsi"/>
        </w:rPr>
        <w:t xml:space="preserve">. </w:t>
      </w:r>
    </w:p>
    <w:p w14:paraId="39E7CC7D" w14:textId="77777777" w:rsidR="00704BDF" w:rsidRPr="00A15B93" w:rsidRDefault="00704BDF" w:rsidP="00704BDF">
      <w:pPr>
        <w:snapToGrid w:val="0"/>
        <w:spacing w:after="120"/>
        <w:jc w:val="center"/>
        <w:rPr>
          <w:rFonts w:eastAsia="SimSun"/>
          <w:bCs/>
          <w:i/>
          <w:iCs/>
          <w:color w:val="0000FF"/>
          <w:sz w:val="20"/>
          <w:lang w:val="en-US" w:eastAsia="zh-CN"/>
        </w:rPr>
      </w:pPr>
    </w:p>
    <w:p w14:paraId="0C9CB3E0"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4241874A" w14:textId="4D93C020" w:rsidR="007F5C82" w:rsidRDefault="00F14FC6" w:rsidP="00C867B1">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w:t>
      </w:r>
      <w:r w:rsidR="00CB719D">
        <w:rPr>
          <w:rFonts w:asciiTheme="minorHAnsi" w:eastAsia="MS PGothic" w:hAnsiTheme="minorHAnsi"/>
          <w:color w:val="000000"/>
          <w:sz w:val="22"/>
          <w:szCs w:val="22"/>
          <w:lang w:val="en-US"/>
        </w:rPr>
        <w:t xml:space="preserve">application of </w:t>
      </w:r>
      <w:r w:rsidR="005D3F25">
        <w:rPr>
          <w:rFonts w:asciiTheme="minorHAnsi" w:eastAsia="MS PGothic" w:hAnsiTheme="minorHAnsi"/>
          <w:color w:val="000000"/>
          <w:sz w:val="22"/>
          <w:szCs w:val="22"/>
          <w:lang w:val="en-US"/>
        </w:rPr>
        <w:t>screencast</w:t>
      </w:r>
      <w:r w:rsidR="00573862">
        <w:rPr>
          <w:rFonts w:asciiTheme="minorHAnsi" w:eastAsia="MS PGothic" w:hAnsiTheme="minorHAnsi"/>
          <w:color w:val="000000"/>
          <w:sz w:val="22"/>
          <w:szCs w:val="22"/>
          <w:lang w:val="en-US"/>
        </w:rPr>
        <w:t xml:space="preserve"> videos </w:t>
      </w:r>
      <w:r w:rsidR="005D3F25">
        <w:rPr>
          <w:rFonts w:asciiTheme="minorHAnsi" w:eastAsia="MS PGothic" w:hAnsiTheme="minorHAnsi"/>
          <w:color w:val="000000"/>
          <w:sz w:val="22"/>
          <w:szCs w:val="22"/>
          <w:lang w:val="en-US"/>
        </w:rPr>
        <w:t xml:space="preserve">in teaching chemical engineering </w:t>
      </w:r>
      <w:r w:rsidR="006B0C5B">
        <w:rPr>
          <w:rFonts w:asciiTheme="minorHAnsi" w:eastAsia="MS PGothic" w:hAnsiTheme="minorHAnsi"/>
          <w:color w:val="000000"/>
          <w:sz w:val="22"/>
          <w:szCs w:val="22"/>
          <w:lang w:val="en-US"/>
        </w:rPr>
        <w:t>courses</w:t>
      </w:r>
      <w:r w:rsidR="005D3F25">
        <w:rPr>
          <w:rFonts w:asciiTheme="minorHAnsi" w:eastAsia="MS PGothic" w:hAnsiTheme="minorHAnsi"/>
          <w:color w:val="000000"/>
          <w:sz w:val="22"/>
          <w:szCs w:val="22"/>
          <w:lang w:val="en-US"/>
        </w:rPr>
        <w:t xml:space="preserve"> and their advantages have been reported</w:t>
      </w:r>
      <w:r w:rsidR="00253195">
        <w:rPr>
          <w:rFonts w:asciiTheme="minorHAnsi" w:eastAsia="MS PGothic" w:hAnsiTheme="minorHAnsi"/>
          <w:color w:val="000000"/>
          <w:sz w:val="22"/>
          <w:szCs w:val="22"/>
          <w:lang w:val="en-US"/>
        </w:rPr>
        <w:t xml:space="preserve"> </w:t>
      </w:r>
      <w:r w:rsidR="00253195">
        <w:rPr>
          <w:rFonts w:asciiTheme="minorHAnsi" w:eastAsia="MS PGothic" w:hAnsiTheme="minorHAnsi"/>
          <w:color w:val="000000"/>
          <w:sz w:val="22"/>
          <w:szCs w:val="22"/>
          <w:lang w:val="en-US"/>
        </w:rPr>
        <w:fldChar w:fldCharType="begin" w:fldLock="1"/>
      </w:r>
      <w:r w:rsidR="00F85873">
        <w:rPr>
          <w:rFonts w:asciiTheme="minorHAnsi" w:eastAsia="MS PGothic" w:hAnsiTheme="minorHAnsi"/>
          <w:color w:val="000000"/>
          <w:sz w:val="22"/>
          <w:szCs w:val="22"/>
          <w:lang w:val="en-US"/>
        </w:rPr>
        <w:instrText>ADDIN CSL_CITATION {"citationItems":[{"id":"ITEM-1","itemData":{"ISSN":"19411766","abstract":"ABSTRACT In large lecture courses, it can be challenging for instructors to address student misconceptions, supplement background knowledge, and identify ways to motivate the various interests of all students during the allotted class time. Instructors can harness ... \\n","author":[{"dropping-particle":"","family":"Pinder-Grover","given":"Tershia","non-dropping-particle":"","parse-names":false,"suffix":""},{"dropping-particle":"","family":"Green","given":"Katie R.","non-dropping-particle":"","parse-names":false,"suffix":""},{"dropping-particle":"","family":"Millunchick","given":"Joanna Mirecki","non-dropping-particle":"","parse-names":false,"suffix":""}],"container-title":"Advances in Engineering Education","id":"ITEM-1","issue":"3","issued":{"date-parts":[["2011"]]},"title":"The efficacy of screencasts to address the diverse academic needs of students in a large lecture course","type":"article-journal","volume":"2"},"uris":["http://www.mendeley.com/documents/?uuid=d3dfb323-52f0-4cf4-b4ab-713950054af2"]},{"id":"ITEM-2","itemData":{"DOI":"10.1177/0306419015603877","ISSN":"20504586","abstract":"The use of technology to enhance learning opportunities is increasing and interventions such as screencasting can have benefits in providing the student with a flexible learning resource. Within this study, a screencast tutorial was produced for engineering students to teach the process of modelling laminated materials within the commercial finite element software, ANSYS. The effectiveness of the screencast was assessed using an anonymous online questionnaire and small focus group discussion. Overall, feedback from students was positive and found that the majority of students preferred to use a dual learning approach by using the screencast along with an accompanying PDF step- by-step guide. It was also evident from both questionnaire and focus group responses that the instructor–learner interaction was still regarded by the students as an import- ant aspect of the course delivery; especially for teaching advanced concepts when using finite element software.","author":[{"dropping-particle":"","family":"Hampson","given":"Paul R.","non-dropping-particle":"","parse-names":false,"suffix":""}],"container-title":"International Journal of Mechanical Engineering Education","id":"ITEM-2","issue":"3","issued":{"date-parts":[["2015"]]},"page":"191-206","title":"Use of screencasting to facilitate engineering course delivery","type":"article-journal","volume":"43"},"uris":["http://www.mendeley.com/documents/?uuid=073a59b3-faf6-406f-8594-865591bb3f98"]}],"mendeley":{"formattedCitation":"[1], [2]","plainTextFormattedCitation":"[1], [2]","previouslyFormattedCitation":"[1], [2]"},"properties":{"noteIndex":0},"schema":"https://github.com/citation-style-language/schema/raw/master/csl-citation.json"}</w:instrText>
      </w:r>
      <w:r w:rsidR="00253195">
        <w:rPr>
          <w:rFonts w:asciiTheme="minorHAnsi" w:eastAsia="MS PGothic" w:hAnsiTheme="minorHAnsi"/>
          <w:color w:val="000000"/>
          <w:sz w:val="22"/>
          <w:szCs w:val="22"/>
          <w:lang w:val="en-US"/>
        </w:rPr>
        <w:fldChar w:fldCharType="separate"/>
      </w:r>
      <w:r w:rsidR="00253195" w:rsidRPr="00253195">
        <w:rPr>
          <w:rFonts w:asciiTheme="minorHAnsi" w:eastAsia="MS PGothic" w:hAnsiTheme="minorHAnsi"/>
          <w:noProof/>
          <w:color w:val="000000"/>
          <w:sz w:val="22"/>
          <w:szCs w:val="22"/>
          <w:lang w:val="en-US"/>
        </w:rPr>
        <w:t>[1], [2]</w:t>
      </w:r>
      <w:r w:rsidR="00253195">
        <w:rPr>
          <w:rFonts w:asciiTheme="minorHAnsi" w:eastAsia="MS PGothic" w:hAnsiTheme="minorHAnsi"/>
          <w:color w:val="000000"/>
          <w:sz w:val="22"/>
          <w:szCs w:val="22"/>
          <w:lang w:val="en-US"/>
        </w:rPr>
        <w:fldChar w:fldCharType="end"/>
      </w:r>
      <w:r w:rsidR="005D3F25">
        <w:rPr>
          <w:rFonts w:asciiTheme="minorHAnsi" w:eastAsia="MS PGothic" w:hAnsiTheme="minorHAnsi"/>
          <w:color w:val="000000"/>
          <w:sz w:val="22"/>
          <w:szCs w:val="22"/>
          <w:lang w:val="en-US"/>
        </w:rPr>
        <w:t xml:space="preserve">. Screencasts are mainly used to enhance students’ learning by giving them extra support </w:t>
      </w:r>
      <w:r w:rsidR="00271F2E">
        <w:rPr>
          <w:rFonts w:asciiTheme="minorHAnsi" w:eastAsia="MS PGothic" w:hAnsiTheme="minorHAnsi"/>
          <w:color w:val="000000"/>
          <w:sz w:val="22"/>
          <w:szCs w:val="22"/>
          <w:lang w:val="en-US"/>
        </w:rPr>
        <w:t>through</w:t>
      </w:r>
      <w:r w:rsidR="005D3F25">
        <w:rPr>
          <w:rFonts w:asciiTheme="minorHAnsi" w:eastAsia="MS PGothic" w:hAnsiTheme="minorHAnsi"/>
          <w:color w:val="000000"/>
          <w:sz w:val="22"/>
          <w:szCs w:val="22"/>
          <w:lang w:val="en-US"/>
        </w:rPr>
        <w:t xml:space="preserve"> explaining </w:t>
      </w:r>
      <w:bookmarkStart w:id="1" w:name="_GoBack"/>
      <w:bookmarkEnd w:id="1"/>
      <w:r w:rsidR="005D3F25">
        <w:rPr>
          <w:rFonts w:asciiTheme="minorHAnsi" w:eastAsia="MS PGothic" w:hAnsiTheme="minorHAnsi"/>
          <w:color w:val="000000"/>
          <w:sz w:val="22"/>
          <w:szCs w:val="22"/>
          <w:lang w:val="en-US"/>
        </w:rPr>
        <w:t xml:space="preserve">certain topics or solving examples in </w:t>
      </w:r>
      <w:r w:rsidR="00271F2E">
        <w:rPr>
          <w:rFonts w:asciiTheme="minorHAnsi" w:eastAsia="MS PGothic" w:hAnsiTheme="minorHAnsi"/>
          <w:color w:val="000000"/>
          <w:sz w:val="22"/>
          <w:szCs w:val="22"/>
          <w:lang w:val="en-US"/>
        </w:rPr>
        <w:t xml:space="preserve">short videos with narrations. One of the main advantages of using screencasts is that students with </w:t>
      </w:r>
      <w:r w:rsidR="007664DC">
        <w:rPr>
          <w:rFonts w:asciiTheme="minorHAnsi" w:eastAsia="MS PGothic" w:hAnsiTheme="minorHAnsi"/>
          <w:color w:val="000000"/>
          <w:sz w:val="22"/>
          <w:szCs w:val="22"/>
          <w:lang w:val="en-US"/>
        </w:rPr>
        <w:t xml:space="preserve">mixed </w:t>
      </w:r>
      <w:r w:rsidR="00271F2E">
        <w:rPr>
          <w:rFonts w:asciiTheme="minorHAnsi" w:eastAsia="MS PGothic" w:hAnsiTheme="minorHAnsi"/>
          <w:color w:val="000000"/>
          <w:sz w:val="22"/>
          <w:szCs w:val="22"/>
          <w:lang w:val="en-US"/>
        </w:rPr>
        <w:t xml:space="preserve">abilities </w:t>
      </w:r>
      <w:r w:rsidR="007664DC">
        <w:rPr>
          <w:rFonts w:asciiTheme="minorHAnsi" w:eastAsia="MS PGothic" w:hAnsiTheme="minorHAnsi"/>
          <w:color w:val="000000"/>
          <w:sz w:val="22"/>
          <w:szCs w:val="22"/>
          <w:lang w:val="en-US"/>
        </w:rPr>
        <w:t>can benefit from these videos and replay them as many times as they need which will also increases student confidence</w:t>
      </w:r>
      <w:r w:rsidR="00253195">
        <w:rPr>
          <w:rFonts w:asciiTheme="minorHAnsi" w:eastAsia="MS PGothic" w:hAnsiTheme="minorHAnsi"/>
          <w:color w:val="000000"/>
          <w:sz w:val="22"/>
          <w:szCs w:val="22"/>
          <w:lang w:val="en-US"/>
        </w:rPr>
        <w:t xml:space="preserve"> </w:t>
      </w:r>
      <w:r w:rsidR="00253195">
        <w:rPr>
          <w:rFonts w:asciiTheme="minorHAnsi" w:eastAsia="MS PGothic" w:hAnsiTheme="minorHAnsi"/>
          <w:color w:val="000000"/>
          <w:sz w:val="22"/>
          <w:szCs w:val="22"/>
          <w:lang w:val="en-US"/>
        </w:rPr>
        <w:fldChar w:fldCharType="begin" w:fldLock="1"/>
      </w:r>
      <w:r w:rsidR="00F85873">
        <w:rPr>
          <w:rFonts w:asciiTheme="minorHAnsi" w:eastAsia="MS PGothic" w:hAnsiTheme="minorHAnsi"/>
          <w:color w:val="000000"/>
          <w:sz w:val="22"/>
          <w:szCs w:val="22"/>
          <w:lang w:val="en-US"/>
        </w:rPr>
        <w:instrText>ADDIN CSL_CITATION {"citationItems":[{"id":"ITEM-1","itemData":{"abstract":"Over 1,000 screencasts have been developed for chemical engineering courses. Screencasts are short videos (typically less than 10 minutes) with narration and are made by digital capture of a tablet PC screen. Screencasts can introduce a topic, solve an example problem, explain a concept, explain a diagram and process, demonstrate software use, review for an exam, or present a mini-lecture. They can be used in combination with textbooks, online reading quizzes, homework assignments, and office hours. They can also be used to create flipped classrooms, where students work under the supervision of the instructor during class and information delivery is outside of class. Their brevity is an important attribute that distinguishes them from video lectures, and they have significant advantages that supplement textbooks and written materials. This personalized method of learning empowers students by giving them control over the rate of information delivery and when they receive information. As of December 2013, these videos were watched/downloaded over 3.2 million times, and they have received an overwhelmingly-positive response from students in our classes and from YouTube viewers. These screencasts are in the process of being validated by chemical engineering faculty. We are also assessing their effectiveness in improving student learning gains and attitudes. Previous research by others showed that screencasts help minimize cognitive overload, increase student confidence, and allow students to take control of their learning. They allow faculty to use class time for active-learning approaches, which are more effective than lectures. © American Society for Engineering Education, 2014.","author":[{"dropping-particle":"","family":"Nicodemus","given":"G.a","non-dropping-particle":"","parse-names":false,"suffix":""},{"dropping-particle":"","family":"Falconer","given":"J.L.a","non-dropping-particle":"","parse-names":false,"suffix":""},{"dropping-particle":"","family":"Medlin","given":"W.a","non-dropping-particle":"","parse-names":false,"suffix":""},{"dropping-particle":"","family":"McDanel","given":"K.P.a","non-dropping-particle":"","parse-names":false,"suffix":""},{"dropping-particle":"","family":"Grazia","given":"J.L.b","non-dropping-particle":"De","parse-names":false,"suffix":""},{"dropping-particle":"","family":"Ferri","given":"J.K.c","non-dropping-particle":"","parse-names":false,"suffix":""},{"dropping-particle":"","family":"Anderson","given":"C.R.c","non-dropping-particle":"","parse-names":false,"suffix":""},{"dropping-particle":"","family":"Senra","given":"M.d","non-dropping-particle":"","parse-names":false,"suffix":""}],"container-title":"ASEE Annual Conference and Exposition, Conference Proceedings","id":"ITEM-1","issued":{"date-parts":[["2014"]]},"title":"Screencasts for enhancing chemical engineering education","type":"article-journal"},"uris":["http://www.mendeley.com/documents/?uuid=efc52c2a-a752-41c4-97d9-b6551b99812c"]}],"mendeley":{"formattedCitation":"[3]","plainTextFormattedCitation":"[3]","previouslyFormattedCitation":"[3]"},"properties":{"noteIndex":0},"schema":"https://github.com/citation-style-language/schema/raw/master/csl-citation.json"}</w:instrText>
      </w:r>
      <w:r w:rsidR="00253195">
        <w:rPr>
          <w:rFonts w:asciiTheme="minorHAnsi" w:eastAsia="MS PGothic" w:hAnsiTheme="minorHAnsi"/>
          <w:color w:val="000000"/>
          <w:sz w:val="22"/>
          <w:szCs w:val="22"/>
          <w:lang w:val="en-US"/>
        </w:rPr>
        <w:fldChar w:fldCharType="separate"/>
      </w:r>
      <w:r w:rsidR="00253195" w:rsidRPr="00253195">
        <w:rPr>
          <w:rFonts w:asciiTheme="minorHAnsi" w:eastAsia="MS PGothic" w:hAnsiTheme="minorHAnsi"/>
          <w:noProof/>
          <w:color w:val="000000"/>
          <w:sz w:val="22"/>
          <w:szCs w:val="22"/>
          <w:lang w:val="en-US"/>
        </w:rPr>
        <w:t>[3]</w:t>
      </w:r>
      <w:r w:rsidR="00253195">
        <w:rPr>
          <w:rFonts w:asciiTheme="minorHAnsi" w:eastAsia="MS PGothic" w:hAnsiTheme="minorHAnsi"/>
          <w:color w:val="000000"/>
          <w:sz w:val="22"/>
          <w:szCs w:val="22"/>
          <w:lang w:val="en-US"/>
        </w:rPr>
        <w:fldChar w:fldCharType="end"/>
      </w:r>
      <w:r w:rsidR="008A6F87">
        <w:rPr>
          <w:rFonts w:asciiTheme="minorHAnsi" w:eastAsia="MS PGothic" w:hAnsiTheme="minorHAnsi"/>
          <w:color w:val="000000"/>
          <w:sz w:val="22"/>
          <w:szCs w:val="22"/>
          <w:lang w:val="en-US"/>
        </w:rPr>
        <w:t xml:space="preserve">. </w:t>
      </w:r>
      <w:r w:rsidR="007664DC">
        <w:rPr>
          <w:rFonts w:asciiTheme="minorHAnsi" w:eastAsia="MS PGothic" w:hAnsiTheme="minorHAnsi"/>
          <w:color w:val="000000"/>
          <w:sz w:val="22"/>
          <w:szCs w:val="22"/>
          <w:lang w:val="en-US"/>
        </w:rPr>
        <w:t xml:space="preserve">This is also very useful for </w:t>
      </w:r>
      <w:r w:rsidR="00C418FC">
        <w:rPr>
          <w:rFonts w:asciiTheme="minorHAnsi" w:eastAsia="MS PGothic" w:hAnsiTheme="minorHAnsi"/>
          <w:color w:val="000000"/>
          <w:sz w:val="22"/>
          <w:szCs w:val="22"/>
          <w:lang w:val="en-US"/>
        </w:rPr>
        <w:t xml:space="preserve">students with English as their second language, with hearing problem and </w:t>
      </w:r>
      <w:r w:rsidR="007664DC">
        <w:rPr>
          <w:rFonts w:asciiTheme="minorHAnsi" w:eastAsia="MS PGothic" w:hAnsiTheme="minorHAnsi"/>
          <w:color w:val="000000"/>
          <w:sz w:val="22"/>
          <w:szCs w:val="22"/>
          <w:lang w:val="en-US"/>
        </w:rPr>
        <w:t xml:space="preserve">dyslexic students. </w:t>
      </w:r>
    </w:p>
    <w:p w14:paraId="59A2927A" w14:textId="6643D952" w:rsidR="00F704EE" w:rsidRDefault="005A0F5F" w:rsidP="00C867B1">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Screencasts can either be used for flipping teaching approach</w:t>
      </w:r>
      <w:r w:rsidR="005E462D">
        <w:rPr>
          <w:rFonts w:asciiTheme="minorHAnsi" w:eastAsia="MS PGothic" w:hAnsiTheme="minorHAnsi"/>
          <w:color w:val="000000"/>
          <w:sz w:val="22"/>
          <w:szCs w:val="22"/>
          <w:lang w:val="en-US"/>
        </w:rPr>
        <w:t xml:space="preserve"> </w:t>
      </w:r>
      <w:r w:rsidR="005E462D">
        <w:rPr>
          <w:rFonts w:asciiTheme="minorHAnsi" w:eastAsia="MS PGothic" w:hAnsiTheme="minorHAnsi"/>
          <w:color w:val="000000"/>
          <w:sz w:val="22"/>
          <w:szCs w:val="22"/>
          <w:lang w:val="en-US"/>
        </w:rPr>
        <w:fldChar w:fldCharType="begin" w:fldLock="1"/>
      </w:r>
      <w:r w:rsidR="00F85873">
        <w:rPr>
          <w:rFonts w:asciiTheme="minorHAnsi" w:eastAsia="MS PGothic" w:hAnsiTheme="minorHAnsi"/>
          <w:color w:val="000000"/>
          <w:sz w:val="22"/>
          <w:szCs w:val="22"/>
          <w:lang w:val="en-US"/>
        </w:rPr>
        <w:instrText>ADDIN CSL_CITATION {"citationItems":[{"id":"ITEM-1","itemData":{"DOI":"10.18260/1-2--28371","author":[{"dropping-particle":"","family":"Marlin","given":"Thomas","non-dropping-particle":"","parse-names":false,"suffix":""}],"id":"ITEM-1","issue":"2014","issued":{"date-parts":[["2018"]]},"page":"1-24","title":"Flipping the Chemical Engineering Process Control Class  with e-Lessons","type":"article-journal"},"uris":["http://www.mendeley.com/documents/?uuid=6aaddd28-5e55-4266-9217-827c81844f36"]},{"id":"ITEM-2","itemData":{"author":[{"dropping-particle":"V","family":"Jamieson","given":"Marnie","non-dropping-particle":"","parse-names":false,"suffix":""},{"dropping-particle":"","family":"Church","given":"Len","non-dropping-particle":"","parse-names":false,"suffix":""},{"dropping-particle":"","family":"Vagi","given":"Frank","non-dropping-particle":"","parse-names":false,"suffix":""},{"dropping-particle":"","family":"Pick","given":"William","non-dropping-particle":"","parse-names":false,"suffix":""},{"dropping-particle":"","family":"Onuczko","given":"Tracy","non-dropping-particle":"","parse-names":false,"suffix":""},{"dropping-particle":"","family":"Nychka","given":"John","non-dropping-particle":"","parse-names":false,"suffix":""},{"dropping-particle":"","family":"Nocente","given":"Norma","non-dropping-particle":"","parse-names":false,"suffix":""},{"dropping-particle":"","family":"Shaw","given":"John M","non-dropping-particle":"","parse-names":false,"suffix":""}],"id":"ITEM-2","issued":{"date-parts":[["2015"]]},"page":"1-6","title":"T HE U NIVERSITY OF A LBERTA C HEMICAL E NGINEERING C APSTONE D ESIGN C OURSE G OES F LIPPED !","type":"article-journal"},"uris":["http://www.mendeley.com/documents/?uuid=cf3459fa-ca8a-47fc-9592-bb4420a34948"]}],"mendeley":{"formattedCitation":"[4], [5]","plainTextFormattedCitation":"[4], [5]","previouslyFormattedCitation":"[4], [5]"},"properties":{"noteIndex":0},"schema":"https://github.com/citation-style-language/schema/raw/master/csl-citation.json"}</w:instrText>
      </w:r>
      <w:r w:rsidR="005E462D">
        <w:rPr>
          <w:rFonts w:asciiTheme="minorHAnsi" w:eastAsia="MS PGothic" w:hAnsiTheme="minorHAnsi"/>
          <w:color w:val="000000"/>
          <w:sz w:val="22"/>
          <w:szCs w:val="22"/>
          <w:lang w:val="en-US"/>
        </w:rPr>
        <w:fldChar w:fldCharType="separate"/>
      </w:r>
      <w:r w:rsidR="00253195" w:rsidRPr="00253195">
        <w:rPr>
          <w:rFonts w:asciiTheme="minorHAnsi" w:eastAsia="MS PGothic" w:hAnsiTheme="minorHAnsi"/>
          <w:noProof/>
          <w:color w:val="000000"/>
          <w:sz w:val="22"/>
          <w:szCs w:val="22"/>
          <w:lang w:val="en-US"/>
        </w:rPr>
        <w:t>[4], [5]</w:t>
      </w:r>
      <w:r w:rsidR="005E462D">
        <w:rPr>
          <w:rFonts w:asciiTheme="minorHAnsi" w:eastAsia="MS PGothic" w:hAnsiTheme="minorHAnsi"/>
          <w:color w:val="000000"/>
          <w:sz w:val="22"/>
          <w:szCs w:val="22"/>
          <w:lang w:val="en-US"/>
        </w:rPr>
        <w:fldChar w:fldCharType="end"/>
      </w:r>
      <w:r>
        <w:rPr>
          <w:rFonts w:asciiTheme="minorHAnsi" w:eastAsia="MS PGothic" w:hAnsiTheme="minorHAnsi"/>
          <w:color w:val="000000"/>
          <w:sz w:val="22"/>
          <w:szCs w:val="22"/>
          <w:lang w:val="en-US"/>
        </w:rPr>
        <w:t xml:space="preserve"> or supplementary</w:t>
      </w:r>
      <w:r w:rsidR="008B6AB8">
        <w:rPr>
          <w:rFonts w:asciiTheme="minorHAnsi" w:eastAsia="MS PGothic" w:hAnsiTheme="minorHAnsi"/>
          <w:color w:val="000000"/>
          <w:sz w:val="22"/>
          <w:szCs w:val="22"/>
          <w:lang w:val="en-US"/>
        </w:rPr>
        <w:t xml:space="preserve"> </w:t>
      </w:r>
      <w:r w:rsidR="008B6AB8">
        <w:rPr>
          <w:rFonts w:asciiTheme="minorHAnsi" w:eastAsia="MS PGothic" w:hAnsiTheme="minorHAnsi"/>
          <w:color w:val="000000"/>
          <w:sz w:val="22"/>
          <w:szCs w:val="22"/>
          <w:lang w:val="en-US"/>
        </w:rPr>
        <w:fldChar w:fldCharType="begin" w:fldLock="1"/>
      </w:r>
      <w:r w:rsidR="00F85873">
        <w:rPr>
          <w:rFonts w:asciiTheme="minorHAnsi" w:eastAsia="MS PGothic" w:hAnsiTheme="minorHAnsi"/>
          <w:color w:val="000000"/>
          <w:sz w:val="22"/>
          <w:szCs w:val="22"/>
          <w:lang w:val="en-US"/>
        </w:rPr>
        <w:instrText>ADDIN CSL_CITATION {"citationItems":[{"id":"ITEM-1","itemData":{"DOI":"10.5430/ijhe.v4n1p232","ISSN":"1927-6044","author":[{"dropping-particle":"","family":"Halupa","given":"Colleen M.","non-dropping-particle":"","parse-names":false,"suffix":""},{"dropping-particle":"","family":"Caldwell","given":"Benjamin W.","non-dropping-particle":"","parse-names":false,"suffix":""}],"container-title":"International Journal of Higher Education","id":"ITEM-1","issue":"1","issued":{"date-parts":[["2015"]]},"title":"A Comparison of Two Engineering Statics Courses: Traditional Lecture-based and Lecture-based with Online Supplemental Video","type":"article-journal","volume":"4"},"uris":["http://www.mendeley.com/documents/?uuid=29928cb9-e918-41bc-b676-e3f66273cbfe"]}],"mendeley":{"formattedCitation":"[6]","plainTextFormattedCitation":"[6]","previouslyFormattedCitation":"[6]"},"properties":{"noteIndex":0},"schema":"https://github.com/citation-style-language/schema/raw/master/csl-citation.json"}</w:instrText>
      </w:r>
      <w:r w:rsidR="008B6AB8">
        <w:rPr>
          <w:rFonts w:asciiTheme="minorHAnsi" w:eastAsia="MS PGothic" w:hAnsiTheme="minorHAnsi"/>
          <w:color w:val="000000"/>
          <w:sz w:val="22"/>
          <w:szCs w:val="22"/>
          <w:lang w:val="en-US"/>
        </w:rPr>
        <w:fldChar w:fldCharType="separate"/>
      </w:r>
      <w:r w:rsidR="00253195" w:rsidRPr="00253195">
        <w:rPr>
          <w:rFonts w:asciiTheme="minorHAnsi" w:eastAsia="MS PGothic" w:hAnsiTheme="minorHAnsi"/>
          <w:noProof/>
          <w:color w:val="000000"/>
          <w:sz w:val="22"/>
          <w:szCs w:val="22"/>
          <w:lang w:val="en-US"/>
        </w:rPr>
        <w:t>[6]</w:t>
      </w:r>
      <w:r w:rsidR="008B6AB8">
        <w:rPr>
          <w:rFonts w:asciiTheme="minorHAnsi" w:eastAsia="MS PGothic" w:hAnsiTheme="minorHAnsi"/>
          <w:color w:val="000000"/>
          <w:sz w:val="22"/>
          <w:szCs w:val="22"/>
          <w:lang w:val="en-US"/>
        </w:rPr>
        <w:fldChar w:fldCharType="end"/>
      </w:r>
      <w:r>
        <w:rPr>
          <w:rFonts w:asciiTheme="minorHAnsi" w:eastAsia="MS PGothic" w:hAnsiTheme="minorHAnsi"/>
          <w:color w:val="000000"/>
          <w:sz w:val="22"/>
          <w:szCs w:val="22"/>
          <w:lang w:val="en-US"/>
        </w:rPr>
        <w:t xml:space="preserve"> to conventional teaching methods. In the latter, the videos are short (under 10 min) and are topic based to keep the attention of students. Also</w:t>
      </w:r>
      <w:r w:rsidR="008B6AB8">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short videos are more encouraging </w:t>
      </w:r>
      <w:r w:rsidR="008B6AB8">
        <w:rPr>
          <w:rFonts w:asciiTheme="minorHAnsi" w:eastAsia="MS PGothic" w:hAnsiTheme="minorHAnsi"/>
          <w:color w:val="000000"/>
          <w:sz w:val="22"/>
          <w:szCs w:val="22"/>
          <w:lang w:val="en-US"/>
        </w:rPr>
        <w:t xml:space="preserve">for students to go through this material. </w:t>
      </w:r>
      <w:commentRangeStart w:id="2"/>
      <w:r w:rsidR="00070654">
        <w:rPr>
          <w:rFonts w:asciiTheme="minorHAnsi" w:eastAsia="MS PGothic" w:hAnsiTheme="minorHAnsi"/>
          <w:color w:val="000000"/>
          <w:sz w:val="22"/>
          <w:szCs w:val="22"/>
          <w:lang w:val="en-US"/>
        </w:rPr>
        <w:t>In this paper we will be reviewing the use of short screencast videos (~ 3 min each) as additional supplementary resources in teaching computational tools in chemical engineering.</w:t>
      </w:r>
      <w:commentRangeEnd w:id="2"/>
      <w:r w:rsidR="00577F51">
        <w:rPr>
          <w:rStyle w:val="CommentReference"/>
        </w:rPr>
        <w:commentReference w:id="2"/>
      </w:r>
      <w:r w:rsidR="00070654">
        <w:rPr>
          <w:rFonts w:asciiTheme="minorHAnsi" w:eastAsia="MS PGothic" w:hAnsiTheme="minorHAnsi"/>
          <w:color w:val="000000"/>
          <w:sz w:val="22"/>
          <w:szCs w:val="22"/>
          <w:lang w:val="en-US"/>
        </w:rPr>
        <w:t xml:space="preserve">   </w:t>
      </w:r>
    </w:p>
    <w:p w14:paraId="7E18724B" w14:textId="77777777"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66F46569" w14:textId="6FA3E8AF" w:rsidR="00547BAF" w:rsidRDefault="00F704EE" w:rsidP="00704BDF">
      <w:pPr>
        <w:snapToGrid w:val="0"/>
        <w:spacing w:after="120"/>
        <w:rPr>
          <w:rFonts w:asciiTheme="minorHAnsi" w:eastAsia="MS PGothic" w:hAnsiTheme="minorHAnsi"/>
          <w:color w:val="000000"/>
          <w:sz w:val="22"/>
          <w:szCs w:val="22"/>
          <w:lang w:val="en-US"/>
        </w:rPr>
      </w:pPr>
      <w:r w:rsidRPr="00F704EE">
        <w:rPr>
          <w:rFonts w:asciiTheme="minorHAnsi" w:eastAsia="MS PGothic" w:hAnsiTheme="minorHAnsi"/>
          <w:color w:val="000000"/>
          <w:sz w:val="22"/>
          <w:szCs w:val="22"/>
          <w:lang w:val="en-US"/>
        </w:rPr>
        <w:t xml:space="preserve">In </w:t>
      </w:r>
      <w:r w:rsidR="00B27AF6">
        <w:rPr>
          <w:rFonts w:asciiTheme="minorHAnsi" w:eastAsia="MS PGothic" w:hAnsiTheme="minorHAnsi"/>
          <w:color w:val="000000"/>
          <w:sz w:val="22"/>
          <w:szCs w:val="22"/>
          <w:lang w:val="en-US"/>
        </w:rPr>
        <w:t>the Department of C</w:t>
      </w:r>
      <w:r w:rsidRPr="00F704EE">
        <w:rPr>
          <w:rFonts w:asciiTheme="minorHAnsi" w:eastAsia="MS PGothic" w:hAnsiTheme="minorHAnsi"/>
          <w:color w:val="000000"/>
          <w:sz w:val="22"/>
          <w:szCs w:val="22"/>
          <w:lang w:val="en-US"/>
        </w:rPr>
        <w:t xml:space="preserve">hemical </w:t>
      </w:r>
      <w:r w:rsidR="00B27AF6">
        <w:rPr>
          <w:rFonts w:asciiTheme="minorHAnsi" w:eastAsia="MS PGothic" w:hAnsiTheme="minorHAnsi"/>
          <w:color w:val="000000"/>
          <w:sz w:val="22"/>
          <w:szCs w:val="22"/>
          <w:lang w:val="en-US"/>
        </w:rPr>
        <w:t>E</w:t>
      </w:r>
      <w:r w:rsidRPr="00F704EE">
        <w:rPr>
          <w:rFonts w:asciiTheme="minorHAnsi" w:eastAsia="MS PGothic" w:hAnsiTheme="minorHAnsi"/>
          <w:color w:val="000000"/>
          <w:sz w:val="22"/>
          <w:szCs w:val="22"/>
          <w:lang w:val="en-US"/>
        </w:rPr>
        <w:t xml:space="preserve">ngineering </w:t>
      </w:r>
      <w:r w:rsidR="00B27AF6">
        <w:rPr>
          <w:rFonts w:asciiTheme="minorHAnsi" w:eastAsia="MS PGothic" w:hAnsiTheme="minorHAnsi"/>
          <w:color w:val="000000"/>
          <w:sz w:val="22"/>
          <w:szCs w:val="22"/>
          <w:lang w:val="en-US"/>
        </w:rPr>
        <w:t>at</w:t>
      </w:r>
      <w:r w:rsidRPr="00F704EE">
        <w:rPr>
          <w:rFonts w:asciiTheme="minorHAnsi" w:eastAsia="MS PGothic" w:hAnsiTheme="minorHAnsi"/>
          <w:color w:val="000000"/>
          <w:sz w:val="22"/>
          <w:szCs w:val="22"/>
          <w:lang w:val="en-US"/>
        </w:rPr>
        <w:t xml:space="preserve"> </w:t>
      </w:r>
      <w:r w:rsidR="00B27AF6">
        <w:rPr>
          <w:rFonts w:asciiTheme="minorHAnsi" w:eastAsia="MS PGothic" w:hAnsiTheme="minorHAnsi"/>
          <w:color w:val="000000"/>
          <w:sz w:val="22"/>
          <w:szCs w:val="22"/>
          <w:lang w:val="en-US"/>
        </w:rPr>
        <w:t>U</w:t>
      </w:r>
      <w:r w:rsidRPr="00F704EE">
        <w:rPr>
          <w:rFonts w:asciiTheme="minorHAnsi" w:eastAsia="MS PGothic" w:hAnsiTheme="minorHAnsi"/>
          <w:color w:val="000000"/>
          <w:sz w:val="22"/>
          <w:szCs w:val="22"/>
          <w:lang w:val="en-US"/>
        </w:rPr>
        <w:t>niversity College London (UCL), we have already established using e-learning material to enhance students’ learning in computational tools</w:t>
      </w:r>
      <w:r w:rsidR="00B27AF6">
        <w:rPr>
          <w:rFonts w:asciiTheme="minorHAnsi" w:eastAsia="MS PGothic" w:hAnsiTheme="minorHAnsi"/>
          <w:color w:val="000000"/>
          <w:sz w:val="22"/>
          <w:szCs w:val="22"/>
          <w:lang w:val="en-US"/>
        </w:rPr>
        <w:t>,</w:t>
      </w:r>
      <w:r w:rsidRPr="00F704EE">
        <w:rPr>
          <w:rFonts w:asciiTheme="minorHAnsi" w:eastAsia="MS PGothic" w:hAnsiTheme="minorHAnsi"/>
          <w:color w:val="000000"/>
          <w:sz w:val="22"/>
          <w:szCs w:val="22"/>
          <w:lang w:val="en-US"/>
        </w:rPr>
        <w:t xml:space="preserve"> and we </w:t>
      </w:r>
      <w:r>
        <w:rPr>
          <w:rFonts w:asciiTheme="minorHAnsi" w:eastAsia="MS PGothic" w:hAnsiTheme="minorHAnsi"/>
          <w:color w:val="000000"/>
          <w:sz w:val="22"/>
          <w:szCs w:val="22"/>
          <w:lang w:val="en-US"/>
        </w:rPr>
        <w:t xml:space="preserve">have </w:t>
      </w:r>
      <w:r w:rsidRPr="00F704EE">
        <w:rPr>
          <w:rFonts w:asciiTheme="minorHAnsi" w:eastAsia="MS PGothic" w:hAnsiTheme="minorHAnsi"/>
          <w:color w:val="000000"/>
          <w:sz w:val="22"/>
          <w:szCs w:val="22"/>
          <w:lang w:val="en-US"/>
        </w:rPr>
        <w:t xml:space="preserve">received very positive feedback from our students </w:t>
      </w:r>
      <w:r w:rsidR="00B27AF6">
        <w:rPr>
          <w:rFonts w:asciiTheme="minorHAnsi" w:eastAsia="MS PGothic" w:hAnsiTheme="minorHAnsi"/>
          <w:color w:val="000000"/>
          <w:sz w:val="22"/>
          <w:szCs w:val="22"/>
          <w:lang w:val="en-US"/>
        </w:rPr>
        <w:t>that</w:t>
      </w:r>
      <w:r w:rsidRPr="00F704EE">
        <w:rPr>
          <w:rFonts w:asciiTheme="minorHAnsi" w:eastAsia="MS PGothic" w:hAnsiTheme="minorHAnsi"/>
          <w:color w:val="000000"/>
          <w:sz w:val="22"/>
          <w:szCs w:val="22"/>
          <w:lang w:val="en-US"/>
        </w:rPr>
        <w:t xml:space="preserve"> it helped them to improve their learning</w:t>
      </w:r>
      <w:r w:rsidR="000F4134">
        <w:rPr>
          <w:rFonts w:asciiTheme="minorHAnsi" w:eastAsia="MS PGothic" w:hAnsiTheme="minorHAnsi"/>
          <w:color w:val="000000"/>
          <w:sz w:val="22"/>
          <w:szCs w:val="22"/>
          <w:lang w:val="en-US"/>
        </w:rPr>
        <w:t xml:space="preserve"> </w:t>
      </w:r>
      <w:r w:rsidR="000F4134">
        <w:rPr>
          <w:rFonts w:asciiTheme="minorHAnsi" w:eastAsia="MS PGothic" w:hAnsiTheme="minorHAnsi"/>
          <w:color w:val="000000"/>
          <w:sz w:val="22"/>
          <w:szCs w:val="22"/>
          <w:lang w:val="en-US"/>
        </w:rPr>
        <w:fldChar w:fldCharType="begin" w:fldLock="1"/>
      </w:r>
      <w:r w:rsidR="000F4134">
        <w:rPr>
          <w:rFonts w:asciiTheme="minorHAnsi" w:eastAsia="MS PGothic" w:hAnsiTheme="minorHAnsi"/>
          <w:color w:val="000000"/>
          <w:sz w:val="22"/>
          <w:szCs w:val="22"/>
          <w:lang w:val="en-US"/>
        </w:rPr>
        <w:instrText>ADDIN CSL_CITATION {"citationItems":[{"id":"ITEM-1","itemData":{"DOI":"10.1016/B978-0-444-64241-7.50270-6","ISBN":"9780444642417","author":[{"dropping-particle":"","family":"Molaei Chalchooghi","given":"Mazaher","non-dropping-particle":"","parse-names":false,"suffix":""},{"dropping-particle":"","family":"Sorensen","given":"Eva","non-dropping-particle":"","parse-names":false,"suffix":""}],"container-title":"Computer Aided Chemical Engineering","id":"ITEM-1","issued":{"date-parts":[["2018","1","1"]]},"page":"1651-1656","title":"Supporting the use of PSE computational tools across a chemical engineering program","type":"chapter"},"uris":["http://www.mendeley.com/documents/?uuid=71cfa057-d97a-462b-9ef0-b3367dd23824"]}],"mendeley":{"formattedCitation":"[7]","plainTextFormattedCitation":"[7]"},"properties":{"noteIndex":0},"schema":"https://github.com/citation-style-language/schema/raw/master/csl-citation.json"}</w:instrText>
      </w:r>
      <w:r w:rsidR="000F4134">
        <w:rPr>
          <w:rFonts w:asciiTheme="minorHAnsi" w:eastAsia="MS PGothic" w:hAnsiTheme="minorHAnsi"/>
          <w:color w:val="000000"/>
          <w:sz w:val="22"/>
          <w:szCs w:val="22"/>
          <w:lang w:val="en-US"/>
        </w:rPr>
        <w:fldChar w:fldCharType="separate"/>
      </w:r>
      <w:r w:rsidR="000F4134" w:rsidRPr="000F4134">
        <w:rPr>
          <w:rFonts w:asciiTheme="minorHAnsi" w:eastAsia="MS PGothic" w:hAnsiTheme="minorHAnsi"/>
          <w:noProof/>
          <w:color w:val="000000"/>
          <w:sz w:val="22"/>
          <w:szCs w:val="22"/>
          <w:lang w:val="en-US"/>
        </w:rPr>
        <w:t>[7]</w:t>
      </w:r>
      <w:r w:rsidR="000F4134">
        <w:rPr>
          <w:rFonts w:asciiTheme="minorHAnsi" w:eastAsia="MS PGothic" w:hAnsiTheme="minorHAnsi"/>
          <w:color w:val="000000"/>
          <w:sz w:val="22"/>
          <w:szCs w:val="22"/>
          <w:lang w:val="en-US"/>
        </w:rPr>
        <w:fldChar w:fldCharType="end"/>
      </w:r>
      <w:r w:rsidRPr="00F704EE">
        <w:rPr>
          <w:rFonts w:asciiTheme="minorHAnsi" w:eastAsia="MS PGothic" w:hAnsiTheme="minorHAnsi"/>
          <w:color w:val="000000"/>
          <w:sz w:val="22"/>
          <w:szCs w:val="22"/>
          <w:lang w:val="en-US"/>
        </w:rPr>
        <w:t xml:space="preserve">. Our undergraduate students receive some in–class lectures on use of computational tools (gPROMS, GAMS, MATLAB and Aspen Plus) followed by some computer lab tutorials. They also benefit from online-resources, which are particularly designed as supplementary material to give them extra support towards their learning, more specifically the details </w:t>
      </w:r>
      <w:r>
        <w:rPr>
          <w:rFonts w:asciiTheme="minorHAnsi" w:eastAsia="MS PGothic" w:hAnsiTheme="minorHAnsi"/>
          <w:color w:val="000000"/>
          <w:sz w:val="22"/>
          <w:szCs w:val="22"/>
          <w:lang w:val="en-US"/>
        </w:rPr>
        <w:t>which cannot be covered</w:t>
      </w:r>
      <w:r w:rsidRPr="00F704EE">
        <w:rPr>
          <w:rFonts w:asciiTheme="minorHAnsi" w:eastAsia="MS PGothic" w:hAnsiTheme="minorHAnsi"/>
          <w:color w:val="000000"/>
          <w:sz w:val="22"/>
          <w:szCs w:val="22"/>
          <w:lang w:val="en-US"/>
        </w:rPr>
        <w:t xml:space="preserve"> during the in-class lecture</w:t>
      </w:r>
      <w:r>
        <w:rPr>
          <w:rFonts w:asciiTheme="minorHAnsi" w:eastAsia="MS PGothic" w:hAnsiTheme="minorHAnsi"/>
          <w:color w:val="000000"/>
          <w:sz w:val="22"/>
          <w:szCs w:val="22"/>
          <w:lang w:val="en-US"/>
        </w:rPr>
        <w:t>s due to the time restrictions</w:t>
      </w:r>
      <w:r w:rsidRPr="00F704EE">
        <w:rPr>
          <w:rFonts w:asciiTheme="minorHAnsi" w:eastAsia="MS PGothic" w:hAnsiTheme="minorHAnsi"/>
          <w:color w:val="000000"/>
          <w:sz w:val="22"/>
          <w:szCs w:val="22"/>
          <w:lang w:val="en-US"/>
        </w:rPr>
        <w:t xml:space="preserve">. </w:t>
      </w:r>
    </w:p>
    <w:p w14:paraId="0AE5A8F3" w14:textId="7E82A2C1" w:rsidR="00704BDF" w:rsidRPr="008D0BEB" w:rsidRDefault="00B27AF6" w:rsidP="00704BDF">
      <w:pPr>
        <w:snapToGrid w:val="0"/>
        <w:spacing w:after="120"/>
        <w:rPr>
          <w:rFonts w:asciiTheme="minorHAnsi" w:eastAsia="MS PGothic" w:hAnsiTheme="minorHAnsi"/>
          <w:i/>
          <w:color w:val="000000"/>
          <w:sz w:val="22"/>
          <w:szCs w:val="22"/>
          <w:lang w:val="en-US"/>
        </w:rPr>
      </w:pPr>
      <w:r>
        <w:rPr>
          <w:rFonts w:asciiTheme="minorHAnsi" w:eastAsia="MS PGothic" w:hAnsiTheme="minorHAnsi"/>
          <w:color w:val="000000"/>
          <w:sz w:val="22"/>
          <w:szCs w:val="22"/>
          <w:lang w:val="en-US"/>
        </w:rPr>
        <w:t>A</w:t>
      </w:r>
      <w:r w:rsidR="00F704EE" w:rsidRPr="00F704EE">
        <w:rPr>
          <w:rFonts w:asciiTheme="minorHAnsi" w:eastAsia="MS PGothic" w:hAnsiTheme="minorHAnsi"/>
          <w:color w:val="000000"/>
          <w:sz w:val="22"/>
          <w:szCs w:val="22"/>
          <w:lang w:val="en-US"/>
        </w:rPr>
        <w:t>fter successfully implementing the use of e-learning material</w:t>
      </w:r>
      <w:r w:rsidR="00F704EE">
        <w:rPr>
          <w:rFonts w:asciiTheme="minorHAnsi" w:eastAsia="MS PGothic" w:hAnsiTheme="minorHAnsi"/>
          <w:color w:val="000000"/>
          <w:sz w:val="22"/>
          <w:szCs w:val="22"/>
          <w:lang w:val="en-US"/>
        </w:rPr>
        <w:t xml:space="preserve"> mainly in </w:t>
      </w:r>
      <w:r w:rsidR="00E42A44">
        <w:rPr>
          <w:rFonts w:asciiTheme="minorHAnsi" w:eastAsia="MS PGothic" w:hAnsiTheme="minorHAnsi"/>
          <w:color w:val="000000"/>
          <w:sz w:val="22"/>
          <w:szCs w:val="22"/>
          <w:lang w:val="en-US"/>
        </w:rPr>
        <w:t xml:space="preserve">the </w:t>
      </w:r>
      <w:r w:rsidR="00F704EE">
        <w:rPr>
          <w:rFonts w:asciiTheme="minorHAnsi" w:eastAsia="MS PGothic" w:hAnsiTheme="minorHAnsi"/>
          <w:color w:val="000000"/>
          <w:sz w:val="22"/>
          <w:szCs w:val="22"/>
          <w:lang w:val="en-US"/>
        </w:rPr>
        <w:t>form of self-learning lecture slides</w:t>
      </w:r>
      <w:r w:rsidR="00F704EE" w:rsidRPr="00F704EE">
        <w:rPr>
          <w:rFonts w:asciiTheme="minorHAnsi" w:eastAsia="MS PGothic" w:hAnsiTheme="minorHAnsi"/>
          <w:color w:val="000000"/>
          <w:sz w:val="22"/>
          <w:szCs w:val="22"/>
          <w:lang w:val="en-US"/>
        </w:rPr>
        <w:t xml:space="preserve">, the department has decided to </w:t>
      </w:r>
      <w:r w:rsidR="00E42A44">
        <w:rPr>
          <w:rFonts w:asciiTheme="minorHAnsi" w:eastAsia="MS PGothic" w:hAnsiTheme="minorHAnsi"/>
          <w:color w:val="000000"/>
          <w:sz w:val="22"/>
          <w:szCs w:val="22"/>
          <w:lang w:val="en-US"/>
        </w:rPr>
        <w:t xml:space="preserve">also </w:t>
      </w:r>
      <w:r w:rsidR="00F704EE" w:rsidRPr="00F704EE">
        <w:rPr>
          <w:rFonts w:asciiTheme="minorHAnsi" w:eastAsia="MS PGothic" w:hAnsiTheme="minorHAnsi"/>
          <w:color w:val="000000"/>
          <w:sz w:val="22"/>
          <w:szCs w:val="22"/>
          <w:lang w:val="en-US"/>
        </w:rPr>
        <w:t>incorporate video learning materials in</w:t>
      </w:r>
      <w:r w:rsidR="00E42A44">
        <w:rPr>
          <w:rFonts w:asciiTheme="minorHAnsi" w:eastAsia="MS PGothic" w:hAnsiTheme="minorHAnsi"/>
          <w:color w:val="000000"/>
          <w:sz w:val="22"/>
          <w:szCs w:val="22"/>
          <w:lang w:val="en-US"/>
        </w:rPr>
        <w:t xml:space="preserve"> how we teach</w:t>
      </w:r>
      <w:r w:rsidR="00F704EE" w:rsidRPr="00F704EE">
        <w:rPr>
          <w:rFonts w:asciiTheme="minorHAnsi" w:eastAsia="MS PGothic" w:hAnsiTheme="minorHAnsi"/>
          <w:color w:val="000000"/>
          <w:sz w:val="22"/>
          <w:szCs w:val="22"/>
          <w:lang w:val="en-US"/>
        </w:rPr>
        <w:t xml:space="preserve"> computational tools (gPROMS) in undergraduate core modules. </w:t>
      </w:r>
      <w:r w:rsidR="00E42A44">
        <w:rPr>
          <w:rFonts w:asciiTheme="minorHAnsi" w:eastAsia="MS PGothic" w:hAnsiTheme="minorHAnsi"/>
          <w:color w:val="000000"/>
          <w:sz w:val="22"/>
          <w:szCs w:val="22"/>
          <w:lang w:val="en-US"/>
        </w:rPr>
        <w:t>The use</w:t>
      </w:r>
      <w:r w:rsidR="00E42A44" w:rsidRPr="00F704EE">
        <w:rPr>
          <w:rFonts w:asciiTheme="minorHAnsi" w:eastAsia="MS PGothic" w:hAnsiTheme="minorHAnsi"/>
          <w:color w:val="000000"/>
          <w:sz w:val="22"/>
          <w:szCs w:val="22"/>
          <w:lang w:val="en-US"/>
        </w:rPr>
        <w:t xml:space="preserve"> </w:t>
      </w:r>
      <w:r w:rsidR="00F704EE" w:rsidRPr="00F704EE">
        <w:rPr>
          <w:rFonts w:asciiTheme="minorHAnsi" w:eastAsia="MS PGothic" w:hAnsiTheme="minorHAnsi"/>
          <w:color w:val="000000"/>
          <w:sz w:val="22"/>
          <w:szCs w:val="22"/>
          <w:lang w:val="en-US"/>
        </w:rPr>
        <w:t xml:space="preserve">of </w:t>
      </w:r>
      <w:proofErr w:type="spellStart"/>
      <w:r w:rsidR="00F704EE" w:rsidRPr="00F704EE">
        <w:rPr>
          <w:rFonts w:asciiTheme="minorHAnsi" w:eastAsia="MS PGothic" w:hAnsiTheme="minorHAnsi"/>
          <w:color w:val="000000"/>
          <w:sz w:val="22"/>
          <w:szCs w:val="22"/>
          <w:lang w:val="en-US"/>
        </w:rPr>
        <w:t>gPROMS</w:t>
      </w:r>
      <w:proofErr w:type="spellEnd"/>
      <w:r w:rsidR="00F704EE" w:rsidRPr="00F704EE">
        <w:rPr>
          <w:rFonts w:asciiTheme="minorHAnsi" w:eastAsia="MS PGothic" w:hAnsiTheme="minorHAnsi"/>
          <w:color w:val="000000"/>
          <w:sz w:val="22"/>
          <w:szCs w:val="22"/>
          <w:lang w:val="en-US"/>
        </w:rPr>
        <w:t xml:space="preserve"> in solving mathematical models</w:t>
      </w:r>
      <w:r w:rsidR="00F704EE">
        <w:rPr>
          <w:rFonts w:asciiTheme="minorHAnsi" w:eastAsia="MS PGothic" w:hAnsiTheme="minorHAnsi"/>
          <w:color w:val="000000"/>
          <w:sz w:val="22"/>
          <w:szCs w:val="22"/>
          <w:lang w:val="en-US"/>
        </w:rPr>
        <w:t xml:space="preserve">, and </w:t>
      </w:r>
      <w:proofErr w:type="gramStart"/>
      <w:r w:rsidR="00F704EE">
        <w:rPr>
          <w:rFonts w:asciiTheme="minorHAnsi" w:eastAsia="MS PGothic" w:hAnsiTheme="minorHAnsi"/>
          <w:color w:val="000000"/>
          <w:sz w:val="22"/>
          <w:szCs w:val="22"/>
          <w:lang w:val="en-US"/>
        </w:rPr>
        <w:t>in particular differential</w:t>
      </w:r>
      <w:proofErr w:type="gramEnd"/>
      <w:r w:rsidR="00F704EE">
        <w:rPr>
          <w:rFonts w:asciiTheme="minorHAnsi" w:eastAsia="MS PGothic" w:hAnsiTheme="minorHAnsi"/>
          <w:color w:val="000000"/>
          <w:sz w:val="22"/>
          <w:szCs w:val="22"/>
          <w:lang w:val="en-US"/>
        </w:rPr>
        <w:t xml:space="preserve"> equations,</w:t>
      </w:r>
      <w:r w:rsidR="00F704EE" w:rsidRPr="00F704EE">
        <w:rPr>
          <w:rFonts w:asciiTheme="minorHAnsi" w:eastAsia="MS PGothic" w:hAnsiTheme="minorHAnsi"/>
          <w:color w:val="000000"/>
          <w:sz w:val="22"/>
          <w:szCs w:val="22"/>
          <w:lang w:val="en-US"/>
        </w:rPr>
        <w:t xml:space="preserve"> of chemical process </w:t>
      </w:r>
      <w:r w:rsidR="00F704EE" w:rsidRPr="00F704EE">
        <w:rPr>
          <w:rFonts w:asciiTheme="minorHAnsi" w:eastAsia="MS PGothic" w:hAnsiTheme="minorHAnsi"/>
          <w:color w:val="000000"/>
          <w:sz w:val="22"/>
          <w:szCs w:val="22"/>
          <w:lang w:val="en-US"/>
        </w:rPr>
        <w:lastRenderedPageBreak/>
        <w:t xml:space="preserve">engineering </w:t>
      </w:r>
      <w:r w:rsidR="00E42A44">
        <w:rPr>
          <w:rFonts w:asciiTheme="minorHAnsi" w:eastAsia="MS PGothic" w:hAnsiTheme="minorHAnsi"/>
          <w:color w:val="000000"/>
          <w:sz w:val="22"/>
          <w:szCs w:val="22"/>
          <w:lang w:val="en-US"/>
        </w:rPr>
        <w:t xml:space="preserve">is integral to our undergraduate </w:t>
      </w:r>
      <w:proofErr w:type="spellStart"/>
      <w:r w:rsidR="00E42A44">
        <w:rPr>
          <w:rFonts w:asciiTheme="minorHAnsi" w:eastAsia="MS PGothic" w:hAnsiTheme="minorHAnsi"/>
          <w:color w:val="000000"/>
          <w:sz w:val="22"/>
          <w:szCs w:val="22"/>
          <w:lang w:val="en-US"/>
        </w:rPr>
        <w:t>programmes</w:t>
      </w:r>
      <w:proofErr w:type="spellEnd"/>
      <w:r w:rsidR="00E42A44">
        <w:rPr>
          <w:rFonts w:asciiTheme="minorHAnsi" w:eastAsia="MS PGothic" w:hAnsiTheme="minorHAnsi"/>
          <w:color w:val="000000"/>
          <w:sz w:val="22"/>
          <w:szCs w:val="22"/>
          <w:lang w:val="en-US"/>
        </w:rPr>
        <w:t>,</w:t>
      </w:r>
      <w:r w:rsidR="00F704EE" w:rsidRPr="00F704EE">
        <w:rPr>
          <w:rFonts w:asciiTheme="minorHAnsi" w:eastAsia="MS PGothic" w:hAnsiTheme="minorHAnsi"/>
          <w:color w:val="000000"/>
          <w:sz w:val="22"/>
          <w:szCs w:val="22"/>
          <w:lang w:val="en-US"/>
        </w:rPr>
        <w:t xml:space="preserve"> from </w:t>
      </w:r>
      <w:r w:rsidR="00E42A44">
        <w:rPr>
          <w:rFonts w:asciiTheme="minorHAnsi" w:eastAsia="MS PGothic" w:hAnsiTheme="minorHAnsi"/>
          <w:color w:val="000000"/>
          <w:sz w:val="22"/>
          <w:szCs w:val="22"/>
          <w:lang w:val="en-US"/>
        </w:rPr>
        <w:t>Y</w:t>
      </w:r>
      <w:r w:rsidR="00E42A44" w:rsidRPr="00F704EE">
        <w:rPr>
          <w:rFonts w:asciiTheme="minorHAnsi" w:eastAsia="MS PGothic" w:hAnsiTheme="minorHAnsi"/>
          <w:color w:val="000000"/>
          <w:sz w:val="22"/>
          <w:szCs w:val="22"/>
          <w:lang w:val="en-US"/>
        </w:rPr>
        <w:t xml:space="preserve">ear </w:t>
      </w:r>
      <w:r w:rsidR="00F704EE" w:rsidRPr="00F704EE">
        <w:rPr>
          <w:rFonts w:asciiTheme="minorHAnsi" w:eastAsia="MS PGothic" w:hAnsiTheme="minorHAnsi"/>
          <w:color w:val="000000"/>
          <w:sz w:val="22"/>
          <w:szCs w:val="22"/>
          <w:lang w:val="en-US"/>
        </w:rPr>
        <w:t xml:space="preserve">1 </w:t>
      </w:r>
      <w:r w:rsidR="00E42A44">
        <w:rPr>
          <w:rFonts w:asciiTheme="minorHAnsi" w:eastAsia="MS PGothic" w:hAnsiTheme="minorHAnsi"/>
          <w:color w:val="000000"/>
          <w:sz w:val="22"/>
          <w:szCs w:val="22"/>
          <w:lang w:val="en-US"/>
        </w:rPr>
        <w:t xml:space="preserve">through </w:t>
      </w:r>
      <w:r w:rsidR="00F704EE" w:rsidRPr="00F704EE">
        <w:rPr>
          <w:rFonts w:asciiTheme="minorHAnsi" w:eastAsia="MS PGothic" w:hAnsiTheme="minorHAnsi"/>
          <w:color w:val="000000"/>
          <w:sz w:val="22"/>
          <w:szCs w:val="22"/>
          <w:lang w:val="en-US"/>
        </w:rPr>
        <w:t xml:space="preserve">to </w:t>
      </w:r>
      <w:r w:rsidR="00E42A44">
        <w:rPr>
          <w:rFonts w:asciiTheme="minorHAnsi" w:eastAsia="MS PGothic" w:hAnsiTheme="minorHAnsi"/>
          <w:color w:val="000000"/>
          <w:sz w:val="22"/>
          <w:szCs w:val="22"/>
          <w:lang w:val="en-US"/>
        </w:rPr>
        <w:t>Y</w:t>
      </w:r>
      <w:r w:rsidR="00F704EE" w:rsidRPr="00F704EE">
        <w:rPr>
          <w:rFonts w:asciiTheme="minorHAnsi" w:eastAsia="MS PGothic" w:hAnsiTheme="minorHAnsi"/>
          <w:color w:val="000000"/>
          <w:sz w:val="22"/>
          <w:szCs w:val="22"/>
          <w:lang w:val="en-US"/>
        </w:rPr>
        <w:t xml:space="preserve">ear 4, </w:t>
      </w:r>
      <w:r w:rsidR="00E42A44">
        <w:rPr>
          <w:rFonts w:asciiTheme="minorHAnsi" w:eastAsia="MS PGothic" w:hAnsiTheme="minorHAnsi"/>
          <w:color w:val="000000"/>
          <w:sz w:val="22"/>
          <w:szCs w:val="22"/>
          <w:lang w:val="en-US"/>
        </w:rPr>
        <w:t>during</w:t>
      </w:r>
      <w:r w:rsidR="00E42A44" w:rsidRPr="00F704EE">
        <w:rPr>
          <w:rFonts w:asciiTheme="minorHAnsi" w:eastAsia="MS PGothic" w:hAnsiTheme="minorHAnsi"/>
          <w:color w:val="000000"/>
          <w:sz w:val="22"/>
          <w:szCs w:val="22"/>
          <w:lang w:val="en-US"/>
        </w:rPr>
        <w:t xml:space="preserve"> </w:t>
      </w:r>
      <w:r w:rsidR="00F704EE" w:rsidRPr="00F704EE">
        <w:rPr>
          <w:rFonts w:asciiTheme="minorHAnsi" w:eastAsia="MS PGothic" w:hAnsiTheme="minorHAnsi"/>
          <w:color w:val="000000"/>
          <w:sz w:val="22"/>
          <w:szCs w:val="22"/>
          <w:lang w:val="en-US"/>
        </w:rPr>
        <w:t xml:space="preserve">which they learn the main concepts and programming principles in </w:t>
      </w:r>
      <w:proofErr w:type="spellStart"/>
      <w:r w:rsidR="00F704EE" w:rsidRPr="00F704EE">
        <w:rPr>
          <w:rFonts w:asciiTheme="minorHAnsi" w:eastAsia="MS PGothic" w:hAnsiTheme="minorHAnsi"/>
          <w:color w:val="000000"/>
          <w:sz w:val="22"/>
          <w:szCs w:val="22"/>
          <w:lang w:val="en-US"/>
        </w:rPr>
        <w:t>gPROMS</w:t>
      </w:r>
      <w:proofErr w:type="spellEnd"/>
      <w:r w:rsidR="00E42A44">
        <w:rPr>
          <w:rFonts w:asciiTheme="minorHAnsi" w:eastAsia="MS PGothic" w:hAnsiTheme="minorHAnsi"/>
          <w:color w:val="000000"/>
          <w:sz w:val="22"/>
          <w:szCs w:val="22"/>
          <w:lang w:val="en-US"/>
        </w:rPr>
        <w:t>.</w:t>
      </w:r>
      <w:r w:rsidR="00F704EE" w:rsidRPr="00F704EE">
        <w:rPr>
          <w:rFonts w:asciiTheme="minorHAnsi" w:eastAsia="MS PGothic" w:hAnsiTheme="minorHAnsi"/>
          <w:color w:val="000000"/>
          <w:sz w:val="22"/>
          <w:szCs w:val="22"/>
          <w:lang w:val="en-US"/>
        </w:rPr>
        <w:t xml:space="preserve"> </w:t>
      </w:r>
      <w:r w:rsidR="00E42A44">
        <w:rPr>
          <w:rFonts w:asciiTheme="minorHAnsi" w:eastAsia="MS PGothic" w:hAnsiTheme="minorHAnsi"/>
          <w:color w:val="000000"/>
          <w:sz w:val="22"/>
          <w:szCs w:val="22"/>
          <w:lang w:val="en-US"/>
        </w:rPr>
        <w:t>The tool is introduced</w:t>
      </w:r>
      <w:r w:rsidR="00E42A44" w:rsidRPr="00F704EE">
        <w:rPr>
          <w:rFonts w:asciiTheme="minorHAnsi" w:eastAsia="MS PGothic" w:hAnsiTheme="minorHAnsi"/>
          <w:color w:val="000000"/>
          <w:sz w:val="22"/>
          <w:szCs w:val="22"/>
          <w:lang w:val="en-US"/>
        </w:rPr>
        <w:t xml:space="preserve"> </w:t>
      </w:r>
      <w:r w:rsidR="00E42A44">
        <w:rPr>
          <w:rFonts w:asciiTheme="minorHAnsi" w:eastAsia="MS PGothic" w:hAnsiTheme="minorHAnsi"/>
          <w:color w:val="000000"/>
          <w:sz w:val="22"/>
          <w:szCs w:val="22"/>
          <w:lang w:val="en-US"/>
        </w:rPr>
        <w:t xml:space="preserve">in </w:t>
      </w:r>
      <w:r w:rsidR="00F704EE">
        <w:rPr>
          <w:rFonts w:asciiTheme="minorHAnsi" w:eastAsia="MS PGothic" w:hAnsiTheme="minorHAnsi"/>
          <w:color w:val="000000"/>
          <w:sz w:val="22"/>
          <w:szCs w:val="22"/>
          <w:lang w:val="en-US"/>
        </w:rPr>
        <w:t xml:space="preserve">an </w:t>
      </w:r>
      <w:r w:rsidR="00F704EE" w:rsidRPr="00F704EE">
        <w:rPr>
          <w:rFonts w:asciiTheme="minorHAnsi" w:eastAsia="MS PGothic" w:hAnsiTheme="minorHAnsi"/>
          <w:color w:val="000000"/>
          <w:sz w:val="22"/>
          <w:szCs w:val="22"/>
          <w:lang w:val="en-US"/>
        </w:rPr>
        <w:t>in-class lecture followed by two tutorials</w:t>
      </w:r>
      <w:r w:rsidR="00E42A44">
        <w:rPr>
          <w:rFonts w:asciiTheme="minorHAnsi" w:eastAsia="MS PGothic" w:hAnsiTheme="minorHAnsi"/>
          <w:color w:val="000000"/>
          <w:sz w:val="22"/>
          <w:szCs w:val="22"/>
          <w:lang w:val="en-US"/>
        </w:rPr>
        <w:t xml:space="preserve"> in Year 1.</w:t>
      </w:r>
      <w:r w:rsidR="00F704EE" w:rsidRPr="00F704EE">
        <w:rPr>
          <w:rFonts w:asciiTheme="minorHAnsi" w:eastAsia="MS PGothic" w:hAnsiTheme="minorHAnsi"/>
          <w:color w:val="000000"/>
          <w:sz w:val="22"/>
          <w:szCs w:val="22"/>
          <w:lang w:val="en-US"/>
        </w:rPr>
        <w:t xml:space="preserve"> </w:t>
      </w:r>
      <w:r w:rsidR="00E42A44">
        <w:rPr>
          <w:rFonts w:asciiTheme="minorHAnsi" w:eastAsia="MS PGothic" w:hAnsiTheme="minorHAnsi"/>
          <w:color w:val="000000"/>
          <w:sz w:val="22"/>
          <w:szCs w:val="22"/>
          <w:lang w:val="en-US"/>
        </w:rPr>
        <w:t>I</w:t>
      </w:r>
      <w:r w:rsidR="00F704EE" w:rsidRPr="00F704EE">
        <w:rPr>
          <w:rFonts w:asciiTheme="minorHAnsi" w:eastAsia="MS PGothic" w:hAnsiTheme="minorHAnsi"/>
          <w:color w:val="000000"/>
          <w:sz w:val="22"/>
          <w:szCs w:val="22"/>
          <w:lang w:val="en-US"/>
        </w:rPr>
        <w:t xml:space="preserve">n </w:t>
      </w:r>
      <w:r w:rsidR="00E42A44">
        <w:rPr>
          <w:rFonts w:asciiTheme="minorHAnsi" w:eastAsia="MS PGothic" w:hAnsiTheme="minorHAnsi"/>
          <w:color w:val="000000"/>
          <w:sz w:val="22"/>
          <w:szCs w:val="22"/>
          <w:lang w:val="en-US"/>
        </w:rPr>
        <w:t>Y</w:t>
      </w:r>
      <w:r w:rsidR="00F704EE" w:rsidRPr="00F704EE">
        <w:rPr>
          <w:rFonts w:asciiTheme="minorHAnsi" w:eastAsia="MS PGothic" w:hAnsiTheme="minorHAnsi"/>
          <w:color w:val="000000"/>
          <w:sz w:val="22"/>
          <w:szCs w:val="22"/>
          <w:lang w:val="en-US"/>
        </w:rPr>
        <w:t xml:space="preserve">ears 2 &amp; 3 they </w:t>
      </w:r>
      <w:r w:rsidR="00247126">
        <w:rPr>
          <w:rFonts w:asciiTheme="minorHAnsi" w:eastAsia="MS PGothic" w:hAnsiTheme="minorHAnsi"/>
          <w:color w:val="000000"/>
          <w:sz w:val="22"/>
          <w:szCs w:val="22"/>
          <w:lang w:val="en-US"/>
        </w:rPr>
        <w:t>experience</w:t>
      </w:r>
      <w:r w:rsidR="00F704EE" w:rsidRPr="00F704EE">
        <w:rPr>
          <w:rFonts w:asciiTheme="minorHAnsi" w:eastAsia="MS PGothic" w:hAnsiTheme="minorHAnsi"/>
          <w:color w:val="000000"/>
          <w:sz w:val="22"/>
          <w:szCs w:val="22"/>
          <w:lang w:val="en-US"/>
        </w:rPr>
        <w:t xml:space="preserve"> advanced material only through the online resource</w:t>
      </w:r>
      <w:r w:rsidR="00E42A44">
        <w:rPr>
          <w:rFonts w:asciiTheme="minorHAnsi" w:eastAsia="MS PGothic" w:hAnsiTheme="minorHAnsi"/>
          <w:color w:val="000000"/>
          <w:sz w:val="22"/>
          <w:szCs w:val="22"/>
          <w:lang w:val="en-US"/>
        </w:rPr>
        <w:t>s.</w:t>
      </w:r>
      <w:r w:rsidR="00F704EE" w:rsidRPr="00F704EE">
        <w:rPr>
          <w:rFonts w:asciiTheme="minorHAnsi" w:eastAsia="MS PGothic" w:hAnsiTheme="minorHAnsi"/>
          <w:color w:val="000000"/>
          <w:sz w:val="22"/>
          <w:szCs w:val="22"/>
          <w:lang w:val="en-US"/>
        </w:rPr>
        <w:t xml:space="preserve"> </w:t>
      </w:r>
      <w:r w:rsidR="00E42A44">
        <w:rPr>
          <w:rFonts w:asciiTheme="minorHAnsi" w:eastAsia="MS PGothic" w:hAnsiTheme="minorHAnsi"/>
          <w:color w:val="000000"/>
          <w:sz w:val="22"/>
          <w:szCs w:val="22"/>
          <w:lang w:val="en-US"/>
        </w:rPr>
        <w:t>Yet m</w:t>
      </w:r>
      <w:r w:rsidR="00F704EE" w:rsidRPr="00F704EE">
        <w:rPr>
          <w:rFonts w:asciiTheme="minorHAnsi" w:eastAsia="MS PGothic" w:hAnsiTheme="minorHAnsi"/>
          <w:color w:val="000000"/>
          <w:sz w:val="22"/>
          <w:szCs w:val="22"/>
          <w:lang w:val="en-US"/>
        </w:rPr>
        <w:t>ore advanced topics</w:t>
      </w:r>
      <w:r w:rsidR="00E42A44">
        <w:rPr>
          <w:rFonts w:asciiTheme="minorHAnsi" w:eastAsia="MS PGothic" w:hAnsiTheme="minorHAnsi"/>
          <w:color w:val="000000"/>
          <w:sz w:val="22"/>
          <w:szCs w:val="22"/>
          <w:lang w:val="en-US"/>
        </w:rPr>
        <w:t xml:space="preserve"> are covered</w:t>
      </w:r>
      <w:r w:rsidR="00F704EE" w:rsidRPr="00F704EE">
        <w:rPr>
          <w:rFonts w:asciiTheme="minorHAnsi" w:eastAsia="MS PGothic" w:hAnsiTheme="minorHAnsi"/>
          <w:color w:val="000000"/>
          <w:sz w:val="22"/>
          <w:szCs w:val="22"/>
          <w:lang w:val="en-US"/>
        </w:rPr>
        <w:t xml:space="preserve"> in </w:t>
      </w:r>
      <w:r w:rsidR="00E42A44">
        <w:rPr>
          <w:rFonts w:asciiTheme="minorHAnsi" w:eastAsia="MS PGothic" w:hAnsiTheme="minorHAnsi"/>
          <w:color w:val="000000"/>
          <w:sz w:val="22"/>
          <w:szCs w:val="22"/>
          <w:lang w:val="en-US"/>
        </w:rPr>
        <w:t>Y</w:t>
      </w:r>
      <w:r w:rsidR="00F704EE" w:rsidRPr="00F704EE">
        <w:rPr>
          <w:rFonts w:asciiTheme="minorHAnsi" w:eastAsia="MS PGothic" w:hAnsiTheme="minorHAnsi"/>
          <w:color w:val="000000"/>
          <w:sz w:val="22"/>
          <w:szCs w:val="22"/>
          <w:lang w:val="en-US"/>
        </w:rPr>
        <w:t xml:space="preserve">ear 4 </w:t>
      </w:r>
      <w:r w:rsidR="00E42A44">
        <w:rPr>
          <w:rFonts w:asciiTheme="minorHAnsi" w:eastAsia="MS PGothic" w:hAnsiTheme="minorHAnsi"/>
          <w:color w:val="000000"/>
          <w:sz w:val="22"/>
          <w:szCs w:val="22"/>
          <w:lang w:val="en-US"/>
        </w:rPr>
        <w:t>through a</w:t>
      </w:r>
      <w:r w:rsidR="00E42A44" w:rsidRPr="00F704EE">
        <w:rPr>
          <w:rFonts w:asciiTheme="minorHAnsi" w:eastAsia="MS PGothic" w:hAnsiTheme="minorHAnsi"/>
          <w:color w:val="000000"/>
          <w:sz w:val="22"/>
          <w:szCs w:val="22"/>
          <w:lang w:val="en-US"/>
        </w:rPr>
        <w:t xml:space="preserve"> </w:t>
      </w:r>
      <w:r w:rsidR="00F704EE" w:rsidRPr="00F704EE">
        <w:rPr>
          <w:rFonts w:asciiTheme="minorHAnsi" w:eastAsia="MS PGothic" w:hAnsiTheme="minorHAnsi"/>
          <w:color w:val="000000"/>
          <w:sz w:val="22"/>
          <w:szCs w:val="22"/>
          <w:lang w:val="en-US"/>
        </w:rPr>
        <w:t xml:space="preserve">combination of in-class lectures and tutorials. </w:t>
      </w:r>
      <w:r w:rsidR="00E42A44">
        <w:rPr>
          <w:rFonts w:asciiTheme="minorHAnsi" w:eastAsia="MS PGothic" w:hAnsiTheme="minorHAnsi"/>
          <w:color w:val="000000"/>
          <w:sz w:val="22"/>
          <w:szCs w:val="22"/>
          <w:lang w:val="en-US"/>
        </w:rPr>
        <w:t xml:space="preserve">This initial provision is now augmented by </w:t>
      </w:r>
      <w:r w:rsidR="00F704EE" w:rsidRPr="00F704EE">
        <w:rPr>
          <w:rFonts w:asciiTheme="minorHAnsi" w:eastAsia="MS PGothic" w:hAnsiTheme="minorHAnsi"/>
          <w:color w:val="000000"/>
          <w:sz w:val="22"/>
          <w:szCs w:val="22"/>
          <w:lang w:val="en-US"/>
        </w:rPr>
        <w:t xml:space="preserve">videos </w:t>
      </w:r>
      <w:r w:rsidR="00E42A44">
        <w:rPr>
          <w:rFonts w:asciiTheme="minorHAnsi" w:eastAsia="MS PGothic" w:hAnsiTheme="minorHAnsi"/>
          <w:color w:val="000000"/>
          <w:sz w:val="22"/>
          <w:szCs w:val="22"/>
          <w:lang w:val="en-US"/>
        </w:rPr>
        <w:t>that have been</w:t>
      </w:r>
      <w:r w:rsidR="00F704EE" w:rsidRPr="00F704EE">
        <w:rPr>
          <w:rFonts w:asciiTheme="minorHAnsi" w:eastAsia="MS PGothic" w:hAnsiTheme="minorHAnsi"/>
          <w:color w:val="000000"/>
          <w:sz w:val="22"/>
          <w:szCs w:val="22"/>
          <w:lang w:val="en-US"/>
        </w:rPr>
        <w:t xml:space="preserve"> developed by </w:t>
      </w:r>
      <w:commentRangeStart w:id="3"/>
      <w:r w:rsidR="00E42A44">
        <w:rPr>
          <w:rFonts w:asciiTheme="minorHAnsi" w:eastAsia="MS PGothic" w:hAnsiTheme="minorHAnsi"/>
          <w:color w:val="000000"/>
          <w:sz w:val="22"/>
          <w:szCs w:val="22"/>
          <w:lang w:val="en-US"/>
        </w:rPr>
        <w:t xml:space="preserve">Process Systems Enterprise Ltd </w:t>
      </w:r>
      <w:commentRangeEnd w:id="3"/>
      <w:r w:rsidR="00577F51">
        <w:rPr>
          <w:rStyle w:val="CommentReference"/>
        </w:rPr>
        <w:commentReference w:id="3"/>
      </w:r>
      <w:r w:rsidR="00D4218A">
        <w:rPr>
          <w:rFonts w:asciiTheme="minorHAnsi" w:eastAsia="MS PGothic" w:hAnsiTheme="minorHAnsi"/>
          <w:color w:val="000000"/>
          <w:sz w:val="22"/>
          <w:szCs w:val="22"/>
          <w:lang w:val="en-US"/>
        </w:rPr>
        <w:t>[</w:t>
      </w:r>
      <w:r w:rsidR="00247126">
        <w:rPr>
          <w:rFonts w:asciiTheme="minorHAnsi" w:eastAsia="MS PGothic" w:hAnsiTheme="minorHAnsi"/>
          <w:color w:val="000000"/>
          <w:sz w:val="22"/>
          <w:szCs w:val="22"/>
          <w:lang w:val="en-US"/>
        </w:rPr>
        <w:t>8</w:t>
      </w:r>
      <w:r w:rsidR="00D4218A">
        <w:rPr>
          <w:rFonts w:asciiTheme="minorHAnsi" w:eastAsia="MS PGothic" w:hAnsiTheme="minorHAnsi"/>
          <w:color w:val="000000"/>
          <w:sz w:val="22"/>
          <w:szCs w:val="22"/>
          <w:lang w:val="en-US"/>
        </w:rPr>
        <w:t xml:space="preserve">] </w:t>
      </w:r>
      <w:r w:rsidR="00E42A44">
        <w:rPr>
          <w:rFonts w:asciiTheme="minorHAnsi" w:eastAsia="MS PGothic" w:hAnsiTheme="minorHAnsi"/>
          <w:color w:val="000000"/>
          <w:sz w:val="22"/>
          <w:szCs w:val="22"/>
          <w:lang w:val="en-US"/>
        </w:rPr>
        <w:t>and which are incorporated into, initially our Year 1, but will also be used for Years 2-4 going forward.</w:t>
      </w:r>
    </w:p>
    <w:p w14:paraId="278F35F0"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0F8106CC" w14:textId="0425522F" w:rsidR="00704BDF" w:rsidRPr="00DC4081" w:rsidRDefault="00547BAF" w:rsidP="00AE40C6">
      <w:pPr>
        <w:snapToGrid w:val="0"/>
        <w:spacing w:after="120"/>
        <w:rPr>
          <w:rFonts w:asciiTheme="minorHAnsi" w:eastAsia="MS PGothic" w:hAnsiTheme="minorHAnsi"/>
          <w:color w:val="000000"/>
          <w:sz w:val="22"/>
          <w:szCs w:val="22"/>
          <w:lang w:val="en-US"/>
        </w:rPr>
      </w:pPr>
      <w:commentRangeStart w:id="4"/>
      <w:r>
        <w:rPr>
          <w:rFonts w:asciiTheme="minorHAnsi" w:eastAsia="MS PGothic" w:hAnsiTheme="minorHAnsi"/>
          <w:color w:val="000000"/>
          <w:sz w:val="22"/>
          <w:szCs w:val="22"/>
          <w:lang w:val="en-US"/>
        </w:rPr>
        <w:t xml:space="preserve">The </w:t>
      </w:r>
      <w:r w:rsidR="006F7CD7">
        <w:rPr>
          <w:rFonts w:asciiTheme="minorHAnsi" w:eastAsia="MS PGothic" w:hAnsiTheme="minorHAnsi"/>
          <w:color w:val="000000"/>
          <w:sz w:val="22"/>
          <w:szCs w:val="22"/>
          <w:lang w:val="en-US"/>
        </w:rPr>
        <w:t xml:space="preserve">screencast </w:t>
      </w:r>
      <w:r>
        <w:rPr>
          <w:rFonts w:asciiTheme="minorHAnsi" w:eastAsia="MS PGothic" w:hAnsiTheme="minorHAnsi"/>
          <w:color w:val="000000"/>
          <w:sz w:val="22"/>
          <w:szCs w:val="22"/>
          <w:lang w:val="en-US"/>
        </w:rPr>
        <w:t>material have very recently been introduced to our first year students and</w:t>
      </w:r>
      <w:r w:rsidR="00C07181">
        <w:rPr>
          <w:rFonts w:asciiTheme="minorHAnsi" w:eastAsia="MS PGothic" w:hAnsiTheme="minorHAnsi"/>
          <w:color w:val="000000"/>
          <w:sz w:val="22"/>
          <w:szCs w:val="22"/>
          <w:lang w:val="en-US"/>
        </w:rPr>
        <w:t xml:space="preserve"> although we have received some positive feedback from those who have used this material, but we will receive more comprehensive feedback by end of the term. At the meantime, the main challenge could be encouraging students to go through this material as th</w:t>
      </w:r>
      <w:r w:rsidR="006F7CD7">
        <w:rPr>
          <w:rFonts w:asciiTheme="minorHAnsi" w:eastAsia="MS PGothic" w:hAnsiTheme="minorHAnsi"/>
          <w:color w:val="000000"/>
          <w:sz w:val="22"/>
          <w:szCs w:val="22"/>
          <w:lang w:val="en-US"/>
        </w:rPr>
        <w:t>ese</w:t>
      </w:r>
      <w:r w:rsidR="00C07181">
        <w:rPr>
          <w:rFonts w:asciiTheme="minorHAnsi" w:eastAsia="MS PGothic" w:hAnsiTheme="minorHAnsi"/>
          <w:color w:val="000000"/>
          <w:sz w:val="22"/>
          <w:szCs w:val="22"/>
          <w:lang w:val="en-US"/>
        </w:rPr>
        <w:t xml:space="preserve"> are optional material and some students may not bother to approach </w:t>
      </w:r>
      <w:r w:rsidR="006F7CD7">
        <w:rPr>
          <w:rFonts w:asciiTheme="minorHAnsi" w:eastAsia="MS PGothic" w:hAnsiTheme="minorHAnsi"/>
          <w:color w:val="000000"/>
          <w:sz w:val="22"/>
          <w:szCs w:val="22"/>
          <w:lang w:val="en-US"/>
        </w:rPr>
        <w:t>the</w:t>
      </w:r>
      <w:r w:rsidR="00C07181">
        <w:rPr>
          <w:rFonts w:asciiTheme="minorHAnsi" w:eastAsia="MS PGothic" w:hAnsiTheme="minorHAnsi"/>
          <w:color w:val="000000"/>
          <w:sz w:val="22"/>
          <w:szCs w:val="22"/>
          <w:lang w:val="en-US"/>
        </w:rPr>
        <w:t xml:space="preserve"> material. Details of </w:t>
      </w:r>
      <w:r w:rsidR="00AE40C6">
        <w:rPr>
          <w:rFonts w:asciiTheme="minorHAnsi" w:eastAsia="MS PGothic" w:hAnsiTheme="minorHAnsi"/>
          <w:color w:val="000000"/>
          <w:sz w:val="22"/>
          <w:szCs w:val="22"/>
          <w:lang w:val="en-US"/>
        </w:rPr>
        <w:t>students’ feedback will be available to be presented in</w:t>
      </w:r>
      <w:r w:rsidR="006F7CD7">
        <w:rPr>
          <w:rFonts w:asciiTheme="minorHAnsi" w:eastAsia="MS PGothic" w:hAnsiTheme="minorHAnsi"/>
          <w:color w:val="000000"/>
          <w:sz w:val="22"/>
          <w:szCs w:val="22"/>
          <w:lang w:val="en-US"/>
        </w:rPr>
        <w:t xml:space="preserve"> the</w:t>
      </w:r>
      <w:r w:rsidR="00AE40C6">
        <w:rPr>
          <w:rFonts w:asciiTheme="minorHAnsi" w:eastAsia="MS PGothic" w:hAnsiTheme="minorHAnsi"/>
          <w:color w:val="000000"/>
          <w:sz w:val="22"/>
          <w:szCs w:val="22"/>
          <w:lang w:val="en-US"/>
        </w:rPr>
        <w:t xml:space="preserve"> congress.</w:t>
      </w:r>
      <w:commentRangeEnd w:id="4"/>
      <w:r w:rsidR="00577F51">
        <w:rPr>
          <w:rStyle w:val="CommentReference"/>
        </w:rPr>
        <w:commentReference w:id="4"/>
      </w:r>
      <w:r w:rsidR="00817B04">
        <w:rPr>
          <w:rFonts w:asciiTheme="minorHAnsi" w:eastAsia="MS PGothic" w:hAnsiTheme="minorHAnsi"/>
          <w:color w:val="000000"/>
          <w:sz w:val="22"/>
          <w:szCs w:val="22"/>
          <w:lang w:val="en-US"/>
        </w:rPr>
        <w:t xml:space="preserve"> We will be reviewing students’ performance </w:t>
      </w:r>
      <w:r w:rsidR="00247126">
        <w:rPr>
          <w:rFonts w:asciiTheme="minorHAnsi" w:eastAsia="MS PGothic" w:hAnsiTheme="minorHAnsi"/>
          <w:color w:val="000000"/>
          <w:sz w:val="22"/>
          <w:szCs w:val="22"/>
          <w:lang w:val="en-US"/>
        </w:rPr>
        <w:t>through their</w:t>
      </w:r>
      <w:r w:rsidR="00817B04">
        <w:rPr>
          <w:rFonts w:asciiTheme="minorHAnsi" w:eastAsia="MS PGothic" w:hAnsiTheme="minorHAnsi"/>
          <w:color w:val="000000"/>
          <w:sz w:val="22"/>
          <w:szCs w:val="22"/>
          <w:lang w:val="en-US"/>
        </w:rPr>
        <w:t xml:space="preserve"> in-class quiz (</w:t>
      </w:r>
      <w:r w:rsidR="00247126">
        <w:rPr>
          <w:rFonts w:asciiTheme="minorHAnsi" w:eastAsia="MS PGothic" w:hAnsiTheme="minorHAnsi"/>
          <w:color w:val="000000"/>
          <w:sz w:val="22"/>
          <w:szCs w:val="22"/>
          <w:lang w:val="en-US"/>
        </w:rPr>
        <w:t>of</w:t>
      </w:r>
      <w:r w:rsidR="00817B04">
        <w:rPr>
          <w:rFonts w:asciiTheme="minorHAnsi" w:eastAsia="MS PGothic" w:hAnsiTheme="minorHAnsi"/>
          <w:color w:val="000000"/>
          <w:sz w:val="22"/>
          <w:szCs w:val="22"/>
          <w:lang w:val="en-US"/>
        </w:rPr>
        <w:t xml:space="preserve"> </w:t>
      </w:r>
      <w:proofErr w:type="spellStart"/>
      <w:r w:rsidR="00817B04">
        <w:rPr>
          <w:rFonts w:asciiTheme="minorHAnsi" w:eastAsia="MS PGothic" w:hAnsiTheme="minorHAnsi"/>
          <w:color w:val="000000"/>
          <w:sz w:val="22"/>
          <w:szCs w:val="22"/>
          <w:lang w:val="en-US"/>
        </w:rPr>
        <w:t>gPROMS</w:t>
      </w:r>
      <w:proofErr w:type="spellEnd"/>
      <w:r w:rsidR="00817B04">
        <w:rPr>
          <w:rFonts w:asciiTheme="minorHAnsi" w:eastAsia="MS PGothic" w:hAnsiTheme="minorHAnsi"/>
          <w:color w:val="000000"/>
          <w:sz w:val="22"/>
          <w:szCs w:val="22"/>
          <w:lang w:val="en-US"/>
        </w:rPr>
        <w:t xml:space="preserve">) and </w:t>
      </w:r>
      <w:r w:rsidR="00247126">
        <w:rPr>
          <w:rFonts w:asciiTheme="minorHAnsi" w:eastAsia="MS PGothic" w:hAnsiTheme="minorHAnsi"/>
          <w:color w:val="000000"/>
          <w:sz w:val="22"/>
          <w:szCs w:val="22"/>
          <w:lang w:val="en-US"/>
        </w:rPr>
        <w:t xml:space="preserve">a </w:t>
      </w:r>
      <w:r w:rsidR="00817B04">
        <w:rPr>
          <w:rFonts w:asciiTheme="minorHAnsi" w:eastAsia="MS PGothic" w:hAnsiTheme="minorHAnsi"/>
          <w:color w:val="000000"/>
          <w:sz w:val="22"/>
          <w:szCs w:val="22"/>
          <w:lang w:val="en-US"/>
        </w:rPr>
        <w:t>coursework in a module known as Computational Modelling and Analysis.</w:t>
      </w:r>
      <w:r w:rsidR="00B101A5">
        <w:rPr>
          <w:rFonts w:asciiTheme="minorHAnsi" w:eastAsia="MS PGothic" w:hAnsiTheme="minorHAnsi"/>
          <w:color w:val="000000"/>
          <w:sz w:val="22"/>
          <w:szCs w:val="22"/>
          <w:lang w:val="en-US"/>
        </w:rPr>
        <w:t xml:space="preserve"> </w:t>
      </w:r>
      <w:r w:rsidR="00817B04">
        <w:rPr>
          <w:rFonts w:asciiTheme="minorHAnsi" w:eastAsia="MS PGothic" w:hAnsiTheme="minorHAnsi"/>
          <w:color w:val="000000"/>
          <w:sz w:val="22"/>
          <w:szCs w:val="22"/>
          <w:lang w:val="en-US"/>
        </w:rPr>
        <w:t xml:space="preserve">We will be comparing their performances to previous years which student did not have these screencast resources. </w:t>
      </w:r>
      <w:r w:rsidR="002F2FD8">
        <w:rPr>
          <w:rFonts w:asciiTheme="minorHAnsi" w:eastAsia="MS PGothic" w:hAnsiTheme="minorHAnsi"/>
          <w:color w:val="000000"/>
          <w:sz w:val="22"/>
          <w:szCs w:val="22"/>
          <w:lang w:val="en-US"/>
        </w:rPr>
        <w:t xml:space="preserve">We will also be tracking students’ feedback </w:t>
      </w:r>
      <w:r w:rsidR="00247126">
        <w:rPr>
          <w:rFonts w:asciiTheme="minorHAnsi" w:eastAsia="MS PGothic" w:hAnsiTheme="minorHAnsi"/>
          <w:color w:val="000000"/>
          <w:sz w:val="22"/>
          <w:szCs w:val="22"/>
          <w:lang w:val="en-US"/>
        </w:rPr>
        <w:t xml:space="preserve">and comments </w:t>
      </w:r>
      <w:r w:rsidR="002F2FD8">
        <w:rPr>
          <w:rFonts w:asciiTheme="minorHAnsi" w:eastAsia="MS PGothic" w:hAnsiTheme="minorHAnsi"/>
          <w:color w:val="000000"/>
          <w:sz w:val="22"/>
          <w:szCs w:val="22"/>
          <w:lang w:val="en-US"/>
        </w:rPr>
        <w:t xml:space="preserve">to Computational Modelling and Analysis, which usually happens at end of the term, and includes the use of </w:t>
      </w:r>
      <w:proofErr w:type="spellStart"/>
      <w:r w:rsidR="002F2FD8">
        <w:rPr>
          <w:rFonts w:asciiTheme="minorHAnsi" w:eastAsia="MS PGothic" w:hAnsiTheme="minorHAnsi"/>
          <w:color w:val="000000"/>
          <w:sz w:val="22"/>
          <w:szCs w:val="22"/>
          <w:lang w:val="en-US"/>
        </w:rPr>
        <w:t>gPROSM</w:t>
      </w:r>
      <w:proofErr w:type="spellEnd"/>
      <w:r w:rsidR="002F2FD8">
        <w:rPr>
          <w:rFonts w:asciiTheme="minorHAnsi" w:eastAsia="MS PGothic" w:hAnsiTheme="minorHAnsi"/>
          <w:color w:val="000000"/>
          <w:sz w:val="22"/>
          <w:szCs w:val="22"/>
          <w:lang w:val="en-US"/>
        </w:rPr>
        <w:t xml:space="preserve"> in solving model equations in this module.</w:t>
      </w:r>
    </w:p>
    <w:p w14:paraId="4CB87FF8"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5D121878" w14:textId="5C2CC521" w:rsidR="00704BDF" w:rsidRPr="008D0BEB" w:rsidRDefault="00AE40C6"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use of supplementary screencast material </w:t>
      </w:r>
      <w:r w:rsidR="00577F51">
        <w:rPr>
          <w:rFonts w:asciiTheme="minorHAnsi" w:eastAsia="MS PGothic" w:hAnsiTheme="minorHAnsi"/>
          <w:color w:val="000000"/>
          <w:sz w:val="22"/>
          <w:szCs w:val="22"/>
          <w:lang w:val="en-US"/>
        </w:rPr>
        <w:t xml:space="preserve">has been </w:t>
      </w:r>
      <w:r>
        <w:rPr>
          <w:rFonts w:asciiTheme="minorHAnsi" w:eastAsia="MS PGothic" w:hAnsiTheme="minorHAnsi"/>
          <w:color w:val="000000"/>
          <w:sz w:val="22"/>
          <w:szCs w:val="22"/>
          <w:lang w:val="en-US"/>
        </w:rPr>
        <w:t>incorporated in</w:t>
      </w:r>
      <w:r w:rsidR="00577F51">
        <w:rPr>
          <w:rFonts w:asciiTheme="minorHAnsi" w:eastAsia="MS PGothic" w:hAnsiTheme="minorHAnsi"/>
          <w:color w:val="000000"/>
          <w:sz w:val="22"/>
          <w:szCs w:val="22"/>
          <w:lang w:val="en-US"/>
        </w:rPr>
        <w:t>to</w:t>
      </w:r>
      <w:r>
        <w:rPr>
          <w:rFonts w:asciiTheme="minorHAnsi" w:eastAsia="MS PGothic" w:hAnsiTheme="minorHAnsi"/>
          <w:color w:val="000000"/>
          <w:sz w:val="22"/>
          <w:szCs w:val="22"/>
          <w:lang w:val="en-US"/>
        </w:rPr>
        <w:t xml:space="preserve"> teaching one of the computational tools for first year students in chemical engineering programme. So far</w:t>
      </w:r>
      <w:r w:rsidR="006F7CD7">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we have received positive feedback from students, </w:t>
      </w:r>
      <w:commentRangeStart w:id="5"/>
      <w:r>
        <w:rPr>
          <w:rFonts w:asciiTheme="minorHAnsi" w:eastAsia="MS PGothic" w:hAnsiTheme="minorHAnsi"/>
          <w:color w:val="000000"/>
          <w:sz w:val="22"/>
          <w:szCs w:val="22"/>
          <w:lang w:val="en-US"/>
        </w:rPr>
        <w:t xml:space="preserve">but the details of the impact of these additional learning resources will be available by end of the term </w:t>
      </w:r>
      <w:commentRangeEnd w:id="5"/>
      <w:r w:rsidR="002D4BDC">
        <w:rPr>
          <w:rFonts w:asciiTheme="minorHAnsi" w:eastAsia="MS PGothic" w:hAnsiTheme="minorHAnsi"/>
          <w:color w:val="000000"/>
          <w:sz w:val="22"/>
          <w:szCs w:val="22"/>
          <w:lang w:val="en-US"/>
        </w:rPr>
        <w:t xml:space="preserve">through their assessment results </w:t>
      </w:r>
      <w:proofErr w:type="gramStart"/>
      <w:r w:rsidR="002D4BDC">
        <w:rPr>
          <w:rFonts w:asciiTheme="minorHAnsi" w:eastAsia="MS PGothic" w:hAnsiTheme="minorHAnsi"/>
          <w:color w:val="000000"/>
          <w:sz w:val="22"/>
          <w:szCs w:val="22"/>
          <w:lang w:val="en-US"/>
        </w:rPr>
        <w:t>and also</w:t>
      </w:r>
      <w:proofErr w:type="gramEnd"/>
      <w:r w:rsidR="002D4BDC">
        <w:rPr>
          <w:rFonts w:asciiTheme="minorHAnsi" w:eastAsia="MS PGothic" w:hAnsiTheme="minorHAnsi"/>
          <w:color w:val="000000"/>
          <w:sz w:val="22"/>
          <w:szCs w:val="22"/>
          <w:lang w:val="en-US"/>
        </w:rPr>
        <w:t xml:space="preserve"> </w:t>
      </w:r>
      <w:r w:rsidR="00E15B45">
        <w:rPr>
          <w:rFonts w:asciiTheme="minorHAnsi" w:eastAsia="MS PGothic" w:hAnsiTheme="minorHAnsi"/>
          <w:color w:val="000000"/>
          <w:sz w:val="22"/>
          <w:szCs w:val="22"/>
          <w:lang w:val="en-US"/>
        </w:rPr>
        <w:t xml:space="preserve">through </w:t>
      </w:r>
      <w:r w:rsidR="002D4BDC">
        <w:rPr>
          <w:rFonts w:asciiTheme="minorHAnsi" w:eastAsia="MS PGothic" w:hAnsiTheme="minorHAnsi"/>
          <w:color w:val="000000"/>
          <w:sz w:val="22"/>
          <w:szCs w:val="22"/>
          <w:lang w:val="en-US"/>
        </w:rPr>
        <w:t>the</w:t>
      </w:r>
      <w:r w:rsidR="00E15B45">
        <w:rPr>
          <w:rFonts w:asciiTheme="minorHAnsi" w:eastAsia="MS PGothic" w:hAnsiTheme="minorHAnsi"/>
          <w:color w:val="000000"/>
          <w:sz w:val="22"/>
          <w:szCs w:val="22"/>
          <w:lang w:val="en-US"/>
        </w:rPr>
        <w:t xml:space="preserve"> regular end of the term</w:t>
      </w:r>
      <w:r w:rsidR="002D4BDC">
        <w:rPr>
          <w:rFonts w:asciiTheme="minorHAnsi" w:eastAsia="MS PGothic" w:hAnsiTheme="minorHAnsi"/>
          <w:color w:val="000000"/>
          <w:sz w:val="22"/>
          <w:szCs w:val="22"/>
          <w:lang w:val="en-US"/>
        </w:rPr>
        <w:t xml:space="preserve"> </w:t>
      </w:r>
      <w:r w:rsidR="00E15B45">
        <w:rPr>
          <w:rFonts w:asciiTheme="minorHAnsi" w:eastAsia="MS PGothic" w:hAnsiTheme="minorHAnsi"/>
          <w:color w:val="000000"/>
          <w:sz w:val="22"/>
          <w:szCs w:val="22"/>
          <w:lang w:val="en-US"/>
        </w:rPr>
        <w:t xml:space="preserve">student </w:t>
      </w:r>
      <w:r w:rsidR="002D4BDC">
        <w:rPr>
          <w:rFonts w:asciiTheme="minorHAnsi" w:eastAsia="MS PGothic" w:hAnsiTheme="minorHAnsi"/>
          <w:color w:val="000000"/>
          <w:sz w:val="22"/>
          <w:szCs w:val="22"/>
          <w:lang w:val="en-US"/>
        </w:rPr>
        <w:t>survey.</w:t>
      </w:r>
    </w:p>
    <w:p w14:paraId="1A41A975" w14:textId="6BB36CC9"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
    <w:p w14:paraId="3BCF60A0" w14:textId="2DACEA47" w:rsidR="000F4134" w:rsidRPr="000F4134" w:rsidRDefault="00AE40C6" w:rsidP="000F4134">
      <w:pPr>
        <w:widowControl w:val="0"/>
        <w:autoSpaceDE w:val="0"/>
        <w:autoSpaceDN w:val="0"/>
        <w:adjustRightInd w:val="0"/>
        <w:spacing w:line="240" w:lineRule="auto"/>
        <w:ind w:left="640" w:hanging="640"/>
        <w:rPr>
          <w:rFonts w:ascii="Calibri" w:hAnsi="Calibri" w:cs="Calibri"/>
          <w:noProof/>
          <w:sz w:val="22"/>
          <w:szCs w:val="24"/>
        </w:rPr>
      </w:pPr>
      <w:r>
        <w:rPr>
          <w:rFonts w:asciiTheme="minorHAnsi" w:eastAsia="SimSun" w:hAnsiTheme="minorHAnsi"/>
          <w:sz w:val="22"/>
          <w:szCs w:val="22"/>
          <w:lang w:eastAsia="zh-CN"/>
        </w:rPr>
        <w:fldChar w:fldCharType="begin" w:fldLock="1"/>
      </w:r>
      <w:r>
        <w:rPr>
          <w:rFonts w:asciiTheme="minorHAnsi" w:eastAsia="SimSun" w:hAnsiTheme="minorHAnsi"/>
          <w:sz w:val="22"/>
          <w:szCs w:val="22"/>
          <w:lang w:eastAsia="zh-CN"/>
        </w:rPr>
        <w:instrText xml:space="preserve">ADDIN Mendeley Bibliography CSL_BIBLIOGRAPHY </w:instrText>
      </w:r>
      <w:r>
        <w:rPr>
          <w:rFonts w:asciiTheme="minorHAnsi" w:eastAsia="SimSun" w:hAnsiTheme="minorHAnsi"/>
          <w:sz w:val="22"/>
          <w:szCs w:val="22"/>
          <w:lang w:eastAsia="zh-CN"/>
        </w:rPr>
        <w:fldChar w:fldCharType="separate"/>
      </w:r>
      <w:r w:rsidR="000F4134" w:rsidRPr="000F4134">
        <w:rPr>
          <w:rFonts w:ascii="Calibri" w:hAnsi="Calibri" w:cs="Calibri"/>
          <w:noProof/>
          <w:sz w:val="22"/>
          <w:szCs w:val="24"/>
        </w:rPr>
        <w:t>[1]</w:t>
      </w:r>
      <w:r w:rsidR="000F4134" w:rsidRPr="000F4134">
        <w:rPr>
          <w:rFonts w:ascii="Calibri" w:hAnsi="Calibri" w:cs="Calibri"/>
          <w:noProof/>
          <w:sz w:val="22"/>
          <w:szCs w:val="24"/>
        </w:rPr>
        <w:tab/>
        <w:t xml:space="preserve">T. Pinder-Grover, K. R. Green, and J. M. Millunchick, “The efficacy of screencasts to address the diverse academic needs of students in a large lecture course,” </w:t>
      </w:r>
      <w:r w:rsidR="000F4134" w:rsidRPr="000F4134">
        <w:rPr>
          <w:rFonts w:ascii="Calibri" w:hAnsi="Calibri" w:cs="Calibri"/>
          <w:i/>
          <w:iCs/>
          <w:noProof/>
          <w:sz w:val="22"/>
          <w:szCs w:val="24"/>
        </w:rPr>
        <w:t>Adv. Eng. Educ.</w:t>
      </w:r>
      <w:r w:rsidR="000F4134" w:rsidRPr="000F4134">
        <w:rPr>
          <w:rFonts w:ascii="Calibri" w:hAnsi="Calibri" w:cs="Calibri"/>
          <w:noProof/>
          <w:sz w:val="22"/>
          <w:szCs w:val="24"/>
        </w:rPr>
        <w:t>, vol. 2, no. 3, 2011.</w:t>
      </w:r>
    </w:p>
    <w:p w14:paraId="1DBAA0DC" w14:textId="77777777" w:rsidR="000F4134" w:rsidRPr="000F4134" w:rsidRDefault="000F4134" w:rsidP="000F4134">
      <w:pPr>
        <w:widowControl w:val="0"/>
        <w:autoSpaceDE w:val="0"/>
        <w:autoSpaceDN w:val="0"/>
        <w:adjustRightInd w:val="0"/>
        <w:spacing w:line="240" w:lineRule="auto"/>
        <w:ind w:left="640" w:hanging="640"/>
        <w:rPr>
          <w:rFonts w:ascii="Calibri" w:hAnsi="Calibri" w:cs="Calibri"/>
          <w:noProof/>
          <w:sz w:val="22"/>
          <w:szCs w:val="24"/>
        </w:rPr>
      </w:pPr>
      <w:r w:rsidRPr="000F4134">
        <w:rPr>
          <w:rFonts w:ascii="Calibri" w:hAnsi="Calibri" w:cs="Calibri"/>
          <w:noProof/>
          <w:sz w:val="22"/>
          <w:szCs w:val="24"/>
        </w:rPr>
        <w:t>[2]</w:t>
      </w:r>
      <w:r w:rsidRPr="000F4134">
        <w:rPr>
          <w:rFonts w:ascii="Calibri" w:hAnsi="Calibri" w:cs="Calibri"/>
          <w:noProof/>
          <w:sz w:val="22"/>
          <w:szCs w:val="24"/>
        </w:rPr>
        <w:tab/>
        <w:t xml:space="preserve">P. R. Hampson, “Use of screencasting to facilitate engineering course delivery,” </w:t>
      </w:r>
      <w:r w:rsidRPr="000F4134">
        <w:rPr>
          <w:rFonts w:ascii="Calibri" w:hAnsi="Calibri" w:cs="Calibri"/>
          <w:i/>
          <w:iCs/>
          <w:noProof/>
          <w:sz w:val="22"/>
          <w:szCs w:val="24"/>
        </w:rPr>
        <w:t>Int. J. Mech. Eng. Educ.</w:t>
      </w:r>
      <w:r w:rsidRPr="000F4134">
        <w:rPr>
          <w:rFonts w:ascii="Calibri" w:hAnsi="Calibri" w:cs="Calibri"/>
          <w:noProof/>
          <w:sz w:val="22"/>
          <w:szCs w:val="24"/>
        </w:rPr>
        <w:t>, vol. 43, no. 3, pp. 191–206, 2015.</w:t>
      </w:r>
    </w:p>
    <w:p w14:paraId="1BB9DD62" w14:textId="77777777" w:rsidR="000F4134" w:rsidRPr="000F4134" w:rsidRDefault="000F4134" w:rsidP="000F4134">
      <w:pPr>
        <w:widowControl w:val="0"/>
        <w:autoSpaceDE w:val="0"/>
        <w:autoSpaceDN w:val="0"/>
        <w:adjustRightInd w:val="0"/>
        <w:spacing w:line="240" w:lineRule="auto"/>
        <w:ind w:left="640" w:hanging="640"/>
        <w:rPr>
          <w:rFonts w:ascii="Calibri" w:hAnsi="Calibri" w:cs="Calibri"/>
          <w:noProof/>
          <w:sz w:val="22"/>
          <w:szCs w:val="24"/>
        </w:rPr>
      </w:pPr>
      <w:r w:rsidRPr="000F4134">
        <w:rPr>
          <w:rFonts w:ascii="Calibri" w:hAnsi="Calibri" w:cs="Calibri"/>
          <w:noProof/>
          <w:sz w:val="22"/>
          <w:szCs w:val="24"/>
        </w:rPr>
        <w:t>[3]</w:t>
      </w:r>
      <w:r w:rsidRPr="000F4134">
        <w:rPr>
          <w:rFonts w:ascii="Calibri" w:hAnsi="Calibri" w:cs="Calibri"/>
          <w:noProof/>
          <w:sz w:val="22"/>
          <w:szCs w:val="24"/>
        </w:rPr>
        <w:tab/>
        <w:t xml:space="preserve">G. . Nicodemus </w:t>
      </w:r>
      <w:r w:rsidRPr="000F4134">
        <w:rPr>
          <w:rFonts w:ascii="Calibri" w:hAnsi="Calibri" w:cs="Calibri"/>
          <w:i/>
          <w:iCs/>
          <w:noProof/>
          <w:sz w:val="22"/>
          <w:szCs w:val="24"/>
        </w:rPr>
        <w:t>et al.</w:t>
      </w:r>
      <w:r w:rsidRPr="000F4134">
        <w:rPr>
          <w:rFonts w:ascii="Calibri" w:hAnsi="Calibri" w:cs="Calibri"/>
          <w:noProof/>
          <w:sz w:val="22"/>
          <w:szCs w:val="24"/>
        </w:rPr>
        <w:t xml:space="preserve">, “Screencasts for enhancing chemical engineering education,” </w:t>
      </w:r>
      <w:r w:rsidRPr="000F4134">
        <w:rPr>
          <w:rFonts w:ascii="Calibri" w:hAnsi="Calibri" w:cs="Calibri"/>
          <w:i/>
          <w:iCs/>
          <w:noProof/>
          <w:sz w:val="22"/>
          <w:szCs w:val="24"/>
        </w:rPr>
        <w:t>ASEE Annu. Conf. Expo. Conf. Proc.</w:t>
      </w:r>
      <w:r w:rsidRPr="000F4134">
        <w:rPr>
          <w:rFonts w:ascii="Calibri" w:hAnsi="Calibri" w:cs="Calibri"/>
          <w:noProof/>
          <w:sz w:val="22"/>
          <w:szCs w:val="24"/>
        </w:rPr>
        <w:t>, 2014.</w:t>
      </w:r>
    </w:p>
    <w:p w14:paraId="446EBAB0" w14:textId="77777777" w:rsidR="000F4134" w:rsidRPr="000F4134" w:rsidRDefault="000F4134" w:rsidP="000F4134">
      <w:pPr>
        <w:widowControl w:val="0"/>
        <w:autoSpaceDE w:val="0"/>
        <w:autoSpaceDN w:val="0"/>
        <w:adjustRightInd w:val="0"/>
        <w:spacing w:line="240" w:lineRule="auto"/>
        <w:ind w:left="640" w:hanging="640"/>
        <w:rPr>
          <w:rFonts w:ascii="Calibri" w:hAnsi="Calibri" w:cs="Calibri"/>
          <w:noProof/>
          <w:sz w:val="22"/>
          <w:szCs w:val="24"/>
        </w:rPr>
      </w:pPr>
      <w:r w:rsidRPr="000F4134">
        <w:rPr>
          <w:rFonts w:ascii="Calibri" w:hAnsi="Calibri" w:cs="Calibri"/>
          <w:noProof/>
          <w:sz w:val="22"/>
          <w:szCs w:val="24"/>
        </w:rPr>
        <w:t>[4]</w:t>
      </w:r>
      <w:r w:rsidRPr="000F4134">
        <w:rPr>
          <w:rFonts w:ascii="Calibri" w:hAnsi="Calibri" w:cs="Calibri"/>
          <w:noProof/>
          <w:sz w:val="22"/>
          <w:szCs w:val="24"/>
        </w:rPr>
        <w:tab/>
        <w:t>T. Marlin, “Flipping the Chemical Engineering Process Control Class  with e-Lessons,” no. 2014, pp. 1–24, 2018.</w:t>
      </w:r>
    </w:p>
    <w:p w14:paraId="66FCD3B8" w14:textId="77777777" w:rsidR="000F4134" w:rsidRPr="000F4134" w:rsidRDefault="000F4134" w:rsidP="000F4134">
      <w:pPr>
        <w:widowControl w:val="0"/>
        <w:autoSpaceDE w:val="0"/>
        <w:autoSpaceDN w:val="0"/>
        <w:adjustRightInd w:val="0"/>
        <w:spacing w:line="240" w:lineRule="auto"/>
        <w:ind w:left="640" w:hanging="640"/>
        <w:rPr>
          <w:rFonts w:ascii="Calibri" w:hAnsi="Calibri" w:cs="Calibri"/>
          <w:noProof/>
          <w:sz w:val="22"/>
          <w:szCs w:val="24"/>
        </w:rPr>
      </w:pPr>
      <w:r w:rsidRPr="000F4134">
        <w:rPr>
          <w:rFonts w:ascii="Calibri" w:hAnsi="Calibri" w:cs="Calibri"/>
          <w:noProof/>
          <w:sz w:val="22"/>
          <w:szCs w:val="24"/>
        </w:rPr>
        <w:t>[5]</w:t>
      </w:r>
      <w:r w:rsidRPr="000F4134">
        <w:rPr>
          <w:rFonts w:ascii="Calibri" w:hAnsi="Calibri" w:cs="Calibri"/>
          <w:noProof/>
          <w:sz w:val="22"/>
          <w:szCs w:val="24"/>
        </w:rPr>
        <w:tab/>
        <w:t xml:space="preserve">M. V Jamieson </w:t>
      </w:r>
      <w:r w:rsidRPr="000F4134">
        <w:rPr>
          <w:rFonts w:ascii="Calibri" w:hAnsi="Calibri" w:cs="Calibri"/>
          <w:i/>
          <w:iCs/>
          <w:noProof/>
          <w:sz w:val="22"/>
          <w:szCs w:val="24"/>
        </w:rPr>
        <w:t>et al.</w:t>
      </w:r>
      <w:r w:rsidRPr="000F4134">
        <w:rPr>
          <w:rFonts w:ascii="Calibri" w:hAnsi="Calibri" w:cs="Calibri"/>
          <w:noProof/>
          <w:sz w:val="22"/>
          <w:szCs w:val="24"/>
        </w:rPr>
        <w:t>, “T HE U NIVERSITY OF A LBERTA C HEMICAL E NGINEERING C APSTONE D ESIGN C OURSE G OES F LIPPED !,” pp. 1–6, 2015.</w:t>
      </w:r>
    </w:p>
    <w:p w14:paraId="0C531542" w14:textId="77777777" w:rsidR="000F4134" w:rsidRPr="000F4134" w:rsidRDefault="000F4134" w:rsidP="000F4134">
      <w:pPr>
        <w:widowControl w:val="0"/>
        <w:autoSpaceDE w:val="0"/>
        <w:autoSpaceDN w:val="0"/>
        <w:adjustRightInd w:val="0"/>
        <w:spacing w:line="240" w:lineRule="auto"/>
        <w:ind w:left="640" w:hanging="640"/>
        <w:rPr>
          <w:rFonts w:ascii="Calibri" w:hAnsi="Calibri" w:cs="Calibri"/>
          <w:noProof/>
          <w:sz w:val="22"/>
          <w:szCs w:val="24"/>
        </w:rPr>
      </w:pPr>
      <w:r w:rsidRPr="000F4134">
        <w:rPr>
          <w:rFonts w:ascii="Calibri" w:hAnsi="Calibri" w:cs="Calibri"/>
          <w:noProof/>
          <w:sz w:val="22"/>
          <w:szCs w:val="24"/>
        </w:rPr>
        <w:t>[6]</w:t>
      </w:r>
      <w:r w:rsidRPr="000F4134">
        <w:rPr>
          <w:rFonts w:ascii="Calibri" w:hAnsi="Calibri" w:cs="Calibri"/>
          <w:noProof/>
          <w:sz w:val="22"/>
          <w:szCs w:val="24"/>
        </w:rPr>
        <w:tab/>
        <w:t xml:space="preserve">C. M. Halupa and B. W. Caldwell, “A Comparison of Two Engineering Statics Courses: Traditional Lecture-based and Lecture-based with Online Supplemental Video,” </w:t>
      </w:r>
      <w:r w:rsidRPr="000F4134">
        <w:rPr>
          <w:rFonts w:ascii="Calibri" w:hAnsi="Calibri" w:cs="Calibri"/>
          <w:i/>
          <w:iCs/>
          <w:noProof/>
          <w:sz w:val="22"/>
          <w:szCs w:val="24"/>
        </w:rPr>
        <w:t>Int. J. High. Educ.</w:t>
      </w:r>
      <w:r w:rsidRPr="000F4134">
        <w:rPr>
          <w:rFonts w:ascii="Calibri" w:hAnsi="Calibri" w:cs="Calibri"/>
          <w:noProof/>
          <w:sz w:val="22"/>
          <w:szCs w:val="24"/>
        </w:rPr>
        <w:t>, vol. 4, no. 1, 2015.</w:t>
      </w:r>
    </w:p>
    <w:p w14:paraId="6A634F87" w14:textId="57CF2339" w:rsidR="000F4134" w:rsidRDefault="000F4134" w:rsidP="000F4134">
      <w:pPr>
        <w:widowControl w:val="0"/>
        <w:autoSpaceDE w:val="0"/>
        <w:autoSpaceDN w:val="0"/>
        <w:adjustRightInd w:val="0"/>
        <w:spacing w:line="240" w:lineRule="auto"/>
        <w:ind w:left="640" w:hanging="640"/>
        <w:rPr>
          <w:rFonts w:ascii="Calibri" w:hAnsi="Calibri" w:cs="Calibri"/>
          <w:noProof/>
          <w:sz w:val="22"/>
          <w:szCs w:val="24"/>
        </w:rPr>
      </w:pPr>
      <w:r w:rsidRPr="000F4134">
        <w:rPr>
          <w:rFonts w:ascii="Calibri" w:hAnsi="Calibri" w:cs="Calibri"/>
          <w:noProof/>
          <w:sz w:val="22"/>
          <w:szCs w:val="24"/>
        </w:rPr>
        <w:t>[7]</w:t>
      </w:r>
      <w:r w:rsidRPr="000F4134">
        <w:rPr>
          <w:rFonts w:ascii="Calibri" w:hAnsi="Calibri" w:cs="Calibri"/>
          <w:noProof/>
          <w:sz w:val="22"/>
          <w:szCs w:val="24"/>
        </w:rPr>
        <w:tab/>
        <w:t xml:space="preserve">M. Molaei Chalchooghi and E. Sorensen, “Supporting the use of PSE computational tools across a chemical engineering program,” in </w:t>
      </w:r>
      <w:r w:rsidRPr="000F4134">
        <w:rPr>
          <w:rFonts w:ascii="Calibri" w:hAnsi="Calibri" w:cs="Calibri"/>
          <w:i/>
          <w:iCs/>
          <w:noProof/>
          <w:sz w:val="22"/>
          <w:szCs w:val="24"/>
        </w:rPr>
        <w:t>Computer Aided Chemical Engineering</w:t>
      </w:r>
      <w:r w:rsidRPr="000F4134">
        <w:rPr>
          <w:rFonts w:ascii="Calibri" w:hAnsi="Calibri" w:cs="Calibri"/>
          <w:noProof/>
          <w:sz w:val="22"/>
          <w:szCs w:val="24"/>
        </w:rPr>
        <w:t>, 2018, pp. 1651–1656.</w:t>
      </w:r>
    </w:p>
    <w:p w14:paraId="40871FE4" w14:textId="4AB34F09" w:rsidR="00247126" w:rsidRDefault="00247126" w:rsidP="000F4134">
      <w:pPr>
        <w:widowControl w:val="0"/>
        <w:autoSpaceDE w:val="0"/>
        <w:autoSpaceDN w:val="0"/>
        <w:adjustRightInd w:val="0"/>
        <w:spacing w:line="240" w:lineRule="auto"/>
        <w:ind w:left="640" w:hanging="640"/>
        <w:rPr>
          <w:rFonts w:ascii="Calibri" w:hAnsi="Calibri" w:cs="Calibri"/>
          <w:noProof/>
          <w:sz w:val="22"/>
          <w:szCs w:val="24"/>
        </w:rPr>
      </w:pPr>
      <w:r>
        <w:rPr>
          <w:rFonts w:ascii="Calibri" w:hAnsi="Calibri" w:cs="Calibri"/>
          <w:noProof/>
          <w:sz w:val="22"/>
          <w:szCs w:val="24"/>
        </w:rPr>
        <w:lastRenderedPageBreak/>
        <w:t xml:space="preserve">[8] </w:t>
      </w:r>
      <w:r w:rsidRPr="00247126">
        <w:rPr>
          <w:rFonts w:ascii="Calibri" w:hAnsi="Calibri" w:cs="Calibri"/>
          <w:noProof/>
          <w:sz w:val="22"/>
          <w:szCs w:val="24"/>
        </w:rPr>
        <w:t>https://www.psenterprise.com/how-to-videos</w:t>
      </w:r>
    </w:p>
    <w:p w14:paraId="5BEBF02F" w14:textId="77777777" w:rsidR="00247126" w:rsidRDefault="00247126" w:rsidP="000F4134">
      <w:pPr>
        <w:widowControl w:val="0"/>
        <w:autoSpaceDE w:val="0"/>
        <w:autoSpaceDN w:val="0"/>
        <w:adjustRightInd w:val="0"/>
        <w:spacing w:line="240" w:lineRule="auto"/>
        <w:ind w:left="640" w:hanging="640"/>
        <w:rPr>
          <w:rFonts w:ascii="Calibri" w:hAnsi="Calibri" w:cs="Calibri"/>
          <w:noProof/>
          <w:sz w:val="22"/>
          <w:szCs w:val="24"/>
        </w:rPr>
      </w:pPr>
    </w:p>
    <w:p w14:paraId="7030EEF0" w14:textId="77777777" w:rsidR="00247126" w:rsidRPr="000F4134" w:rsidRDefault="00247126" w:rsidP="000F4134">
      <w:pPr>
        <w:widowControl w:val="0"/>
        <w:autoSpaceDE w:val="0"/>
        <w:autoSpaceDN w:val="0"/>
        <w:adjustRightInd w:val="0"/>
        <w:spacing w:line="240" w:lineRule="auto"/>
        <w:ind w:left="640" w:hanging="640"/>
        <w:rPr>
          <w:rFonts w:ascii="Calibri" w:hAnsi="Calibri" w:cs="Calibri"/>
          <w:noProof/>
          <w:sz w:val="22"/>
        </w:rPr>
      </w:pPr>
    </w:p>
    <w:p w14:paraId="54241968" w14:textId="60E1B2C3" w:rsidR="00704BDF" w:rsidRPr="00704BDF" w:rsidRDefault="00AE40C6" w:rsidP="00DC4081">
      <w:pPr>
        <w:pStyle w:val="FirstParagraph"/>
        <w:widowControl w:val="0"/>
        <w:tabs>
          <w:tab w:val="left" w:pos="426"/>
        </w:tabs>
        <w:autoSpaceDE w:val="0"/>
        <w:autoSpaceDN w:val="0"/>
        <w:adjustRightInd w:val="0"/>
        <w:spacing w:line="240" w:lineRule="auto"/>
        <w:ind w:left="640"/>
        <w:rPr>
          <w:rFonts w:asciiTheme="minorHAnsi" w:eastAsia="SimSun" w:hAnsiTheme="minorHAnsi"/>
          <w:sz w:val="22"/>
          <w:szCs w:val="22"/>
          <w:lang w:eastAsia="zh-CN"/>
        </w:rPr>
      </w:pPr>
      <w:r>
        <w:rPr>
          <w:rFonts w:asciiTheme="minorHAnsi" w:eastAsia="SimSun" w:hAnsiTheme="minorHAnsi"/>
          <w:sz w:val="22"/>
          <w:szCs w:val="22"/>
          <w:lang w:eastAsia="zh-CN"/>
        </w:rPr>
        <w:fldChar w:fldCharType="end"/>
      </w: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Eva Sorensen" w:date="2019-02-28T11:50:00Z" w:initials="ES">
    <w:p w14:paraId="0CD6CB4A" w14:textId="6A637374" w:rsidR="00577F51" w:rsidRDefault="00577F51">
      <w:pPr>
        <w:pStyle w:val="CommentText"/>
      </w:pPr>
      <w:r>
        <w:rPr>
          <w:rStyle w:val="CommentReference"/>
        </w:rPr>
        <w:annotationRef/>
      </w:r>
      <w:r>
        <w:t>In what follows, you are not promising any investigation of the points mentioned in the literature.</w:t>
      </w:r>
    </w:p>
  </w:comment>
  <w:comment w:id="3" w:author="Eva Sorensen" w:date="2019-02-28T11:49:00Z" w:initials="ES">
    <w:p w14:paraId="2C940571" w14:textId="24B9F41D" w:rsidR="00577F51" w:rsidRDefault="00577F51">
      <w:pPr>
        <w:pStyle w:val="CommentText"/>
      </w:pPr>
      <w:r>
        <w:rPr>
          <w:rStyle w:val="CommentReference"/>
        </w:rPr>
        <w:annotationRef/>
      </w:r>
      <w:r>
        <w:t>Need reference</w:t>
      </w:r>
    </w:p>
  </w:comment>
  <w:comment w:id="4" w:author="Eva Sorensen" w:date="2019-02-28T11:48:00Z" w:initials="ES">
    <w:p w14:paraId="1DF56EE2" w14:textId="394507D7" w:rsidR="00577F51" w:rsidRDefault="00577F51">
      <w:pPr>
        <w:pStyle w:val="CommentText"/>
      </w:pPr>
      <w:r>
        <w:rPr>
          <w:rStyle w:val="CommentReference"/>
        </w:rPr>
        <w:annotationRef/>
      </w:r>
      <w:r>
        <w:t>You need to rewrite this so it sounds more like something that has been completed, even if you need to be vague.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D6CB4A" w15:done="0"/>
  <w15:commentEx w15:paraId="2C940571" w15:done="0"/>
  <w15:commentEx w15:paraId="1DF56E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D6CB4A" w16cid:durableId="2022D223"/>
  <w16cid:commentId w16cid:paraId="2C940571" w16cid:durableId="2022D224"/>
  <w16cid:commentId w16cid:paraId="1DF56EE2" w16cid:durableId="2022D2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F215A" w14:textId="77777777" w:rsidR="008A1688" w:rsidRDefault="008A1688" w:rsidP="004F5E36">
      <w:r>
        <w:separator/>
      </w:r>
    </w:p>
  </w:endnote>
  <w:endnote w:type="continuationSeparator" w:id="0">
    <w:p w14:paraId="1E4EB039" w14:textId="77777777" w:rsidR="008A1688" w:rsidRDefault="008A168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BACC9" w14:textId="77777777" w:rsidR="008A1688" w:rsidRDefault="008A1688" w:rsidP="004F5E36">
      <w:r>
        <w:separator/>
      </w:r>
    </w:p>
  </w:footnote>
  <w:footnote w:type="continuationSeparator" w:id="0">
    <w:p w14:paraId="296AEC73" w14:textId="77777777" w:rsidR="008A1688" w:rsidRDefault="008A1688"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A4831" w14:textId="77777777" w:rsidR="004D1162" w:rsidRDefault="00594E9F">
    <w:pPr>
      <w:pStyle w:val="Header"/>
    </w:pPr>
    <w:r>
      <w:rPr>
        <w:noProof/>
        <w:lang w:eastAsia="en-GB"/>
      </w:rPr>
      <mc:AlternateContent>
        <mc:Choice Requires="wps">
          <w:drawing>
            <wp:anchor distT="0" distB="0" distL="114300" distR="114300" simplePos="0" relativeHeight="251666432" behindDoc="0" locked="0" layoutInCell="1" allowOverlap="1" wp14:anchorId="24C54F95" wp14:editId="408AD235">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2CA1C3A"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eastAsia="en-GB"/>
      </w:rPr>
      <w:drawing>
        <wp:anchor distT="0" distB="0" distL="114300" distR="114300" simplePos="0" relativeHeight="251662336" behindDoc="0" locked="0" layoutInCell="1" allowOverlap="1" wp14:anchorId="28AF153F" wp14:editId="5FCECB21">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2B310"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eastAsia="en-GB"/>
      </w:rPr>
      <w:drawing>
        <wp:anchor distT="0" distB="0" distL="114300" distR="114300" simplePos="0" relativeHeight="251659264" behindDoc="0" locked="0" layoutInCell="1" allowOverlap="1" wp14:anchorId="1B53A880" wp14:editId="73740579">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6DAC5795" w14:textId="77777777" w:rsidR="00704BDF" w:rsidRDefault="00704BDF">
    <w:pPr>
      <w:pStyle w:val="Header"/>
    </w:pPr>
  </w:p>
  <w:p w14:paraId="07A8E91E" w14:textId="77777777" w:rsidR="00704BDF" w:rsidRDefault="00704BDF">
    <w:pPr>
      <w:pStyle w:val="Header"/>
    </w:pPr>
    <w:r>
      <w:rPr>
        <w:noProof/>
        <w:lang w:eastAsia="en-GB"/>
      </w:rPr>
      <mc:AlternateContent>
        <mc:Choice Requires="wps">
          <w:drawing>
            <wp:anchor distT="0" distB="0" distL="114300" distR="114300" simplePos="0" relativeHeight="251660288" behindDoc="0" locked="0" layoutInCell="1" allowOverlap="1" wp14:anchorId="4502DE08" wp14:editId="1A0CA21D">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C6E0419"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va Sorensen">
    <w15:presenceInfo w15:providerId="None" w15:userId="Eva Soren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14A"/>
    <w:rsid w:val="000027C0"/>
    <w:rsid w:val="000117CB"/>
    <w:rsid w:val="0003148D"/>
    <w:rsid w:val="00062A9A"/>
    <w:rsid w:val="00070654"/>
    <w:rsid w:val="000A03B2"/>
    <w:rsid w:val="000D34BE"/>
    <w:rsid w:val="000E36F1"/>
    <w:rsid w:val="000E3A73"/>
    <w:rsid w:val="000E414A"/>
    <w:rsid w:val="000F4134"/>
    <w:rsid w:val="0013121F"/>
    <w:rsid w:val="00134DE4"/>
    <w:rsid w:val="00150E59"/>
    <w:rsid w:val="00184AD6"/>
    <w:rsid w:val="001B65C1"/>
    <w:rsid w:val="001C684B"/>
    <w:rsid w:val="001D53FC"/>
    <w:rsid w:val="001F2EC7"/>
    <w:rsid w:val="002065DB"/>
    <w:rsid w:val="0021595C"/>
    <w:rsid w:val="002447EF"/>
    <w:rsid w:val="00247126"/>
    <w:rsid w:val="00251550"/>
    <w:rsid w:val="00253195"/>
    <w:rsid w:val="002601F0"/>
    <w:rsid w:val="00271F2E"/>
    <w:rsid w:val="0027221A"/>
    <w:rsid w:val="00275B61"/>
    <w:rsid w:val="002D1F12"/>
    <w:rsid w:val="002D3392"/>
    <w:rsid w:val="002D4BDC"/>
    <w:rsid w:val="002F2FD8"/>
    <w:rsid w:val="003009B7"/>
    <w:rsid w:val="0030469C"/>
    <w:rsid w:val="003723D4"/>
    <w:rsid w:val="003A7D1C"/>
    <w:rsid w:val="0046164A"/>
    <w:rsid w:val="00462DCD"/>
    <w:rsid w:val="004D1162"/>
    <w:rsid w:val="004E49A2"/>
    <w:rsid w:val="004E4DD6"/>
    <w:rsid w:val="004F5E36"/>
    <w:rsid w:val="005119A5"/>
    <w:rsid w:val="005278B7"/>
    <w:rsid w:val="005346C8"/>
    <w:rsid w:val="00547BAF"/>
    <w:rsid w:val="00573862"/>
    <w:rsid w:val="00577F51"/>
    <w:rsid w:val="00594E9F"/>
    <w:rsid w:val="005A0F5F"/>
    <w:rsid w:val="005A2D42"/>
    <w:rsid w:val="005B61E6"/>
    <w:rsid w:val="005C77E1"/>
    <w:rsid w:val="005D3F25"/>
    <w:rsid w:val="005D6A2F"/>
    <w:rsid w:val="005E1A82"/>
    <w:rsid w:val="005E462D"/>
    <w:rsid w:val="005F0A28"/>
    <w:rsid w:val="005F0E5E"/>
    <w:rsid w:val="00620DEE"/>
    <w:rsid w:val="00624542"/>
    <w:rsid w:val="00625639"/>
    <w:rsid w:val="0064184D"/>
    <w:rsid w:val="00660E3E"/>
    <w:rsid w:val="0066297A"/>
    <w:rsid w:val="00662E74"/>
    <w:rsid w:val="006A58D2"/>
    <w:rsid w:val="006B0C5B"/>
    <w:rsid w:val="006C5579"/>
    <w:rsid w:val="006F7CD7"/>
    <w:rsid w:val="00704BDF"/>
    <w:rsid w:val="00736B13"/>
    <w:rsid w:val="007447F3"/>
    <w:rsid w:val="007661C8"/>
    <w:rsid w:val="007664DC"/>
    <w:rsid w:val="007D52CD"/>
    <w:rsid w:val="007F5C82"/>
    <w:rsid w:val="00811616"/>
    <w:rsid w:val="00813288"/>
    <w:rsid w:val="008168FC"/>
    <w:rsid w:val="00817B04"/>
    <w:rsid w:val="008479A2"/>
    <w:rsid w:val="00852321"/>
    <w:rsid w:val="0087637F"/>
    <w:rsid w:val="008A1512"/>
    <w:rsid w:val="008A1688"/>
    <w:rsid w:val="008A6F87"/>
    <w:rsid w:val="008B6AB8"/>
    <w:rsid w:val="008D0BEB"/>
    <w:rsid w:val="008E566E"/>
    <w:rsid w:val="00901EB6"/>
    <w:rsid w:val="0091279D"/>
    <w:rsid w:val="009450CE"/>
    <w:rsid w:val="0095164B"/>
    <w:rsid w:val="00996483"/>
    <w:rsid w:val="009C49BE"/>
    <w:rsid w:val="009E788A"/>
    <w:rsid w:val="00A1763D"/>
    <w:rsid w:val="00A17CEC"/>
    <w:rsid w:val="00A27EF0"/>
    <w:rsid w:val="00A76EFC"/>
    <w:rsid w:val="00A9626B"/>
    <w:rsid w:val="00A97F29"/>
    <w:rsid w:val="00AB0964"/>
    <w:rsid w:val="00AC67AD"/>
    <w:rsid w:val="00AE377D"/>
    <w:rsid w:val="00AE40C6"/>
    <w:rsid w:val="00B101A5"/>
    <w:rsid w:val="00B27AF6"/>
    <w:rsid w:val="00B61DBF"/>
    <w:rsid w:val="00BC30C9"/>
    <w:rsid w:val="00BE3E58"/>
    <w:rsid w:val="00C01616"/>
    <w:rsid w:val="00C0162B"/>
    <w:rsid w:val="00C07181"/>
    <w:rsid w:val="00C335B2"/>
    <w:rsid w:val="00C345B1"/>
    <w:rsid w:val="00C40142"/>
    <w:rsid w:val="00C418FC"/>
    <w:rsid w:val="00C57182"/>
    <w:rsid w:val="00C655FD"/>
    <w:rsid w:val="00C867B1"/>
    <w:rsid w:val="00C94434"/>
    <w:rsid w:val="00CA1C95"/>
    <w:rsid w:val="00CA5A9C"/>
    <w:rsid w:val="00CB719D"/>
    <w:rsid w:val="00CD5FE2"/>
    <w:rsid w:val="00D02B4C"/>
    <w:rsid w:val="00D1231C"/>
    <w:rsid w:val="00D4218A"/>
    <w:rsid w:val="00D84576"/>
    <w:rsid w:val="00DC4081"/>
    <w:rsid w:val="00DE0019"/>
    <w:rsid w:val="00DE264A"/>
    <w:rsid w:val="00E032A7"/>
    <w:rsid w:val="00E041E7"/>
    <w:rsid w:val="00E15B45"/>
    <w:rsid w:val="00E23CA1"/>
    <w:rsid w:val="00E409A8"/>
    <w:rsid w:val="00E42A44"/>
    <w:rsid w:val="00E7209D"/>
    <w:rsid w:val="00E96C06"/>
    <w:rsid w:val="00EA50E1"/>
    <w:rsid w:val="00EE0131"/>
    <w:rsid w:val="00F14FC6"/>
    <w:rsid w:val="00F22818"/>
    <w:rsid w:val="00F30C64"/>
    <w:rsid w:val="00F704EE"/>
    <w:rsid w:val="00F85873"/>
    <w:rsid w:val="00FB730C"/>
    <w:rsid w:val="00FC2695"/>
    <w:rsid w:val="00FC3E03"/>
    <w:rsid w:val="00FE6A2D"/>
    <w:rsid w:val="00FF7A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5141D"/>
  <w15:docId w15:val="{E99941E4-B198-4457-BAB5-51F863B85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CommentReference">
    <w:name w:val="annotation reference"/>
    <w:basedOn w:val="DefaultParagraphFont"/>
    <w:uiPriority w:val="99"/>
    <w:semiHidden/>
    <w:unhideWhenUsed/>
    <w:locked/>
    <w:rsid w:val="00577F5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6D2B8-39FD-4224-B8BB-7E6E7A2BA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2410</Words>
  <Characters>13739</Characters>
  <Application>Microsoft Office Word</Application>
  <DocSecurity>0</DocSecurity>
  <Lines>114</Lines>
  <Paragraphs>32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Almond</cp:lastModifiedBy>
  <cp:revision>4</cp:revision>
  <cp:lastPrinted>2015-05-12T18:31:00Z</cp:lastPrinted>
  <dcterms:created xsi:type="dcterms:W3CDTF">2019-02-28T22:01:00Z</dcterms:created>
  <dcterms:modified xsi:type="dcterms:W3CDTF">2019-02-28T22:03:00Z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1129532b-91cb-3976-a239-2c0db7bf666b</vt:lpwstr>
  </property>
  <property fmtid="{D5CDD505-2E9C-101B-9397-08002B2CF9AE}" pid="24" name="Mendeley Citation Style_1">
    <vt:lpwstr>http://www.zotero.org/styles/ieee</vt:lpwstr>
  </property>
</Properties>
</file>