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21BBF"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32DF1DF8" w14:textId="6A0ED3C1" w:rsidR="00704BDF" w:rsidRPr="00047722" w:rsidRDefault="00047722" w:rsidP="00047722">
      <w:pPr>
        <w:pStyle w:val="Normale1"/>
        <w:spacing w:line="480" w:lineRule="auto"/>
        <w:jc w:val="both"/>
        <w:rPr>
          <w:rFonts w:cs="Times-Roman"/>
          <w:b/>
          <w:sz w:val="28"/>
          <w:szCs w:val="28"/>
          <w:lang w:val="en-US"/>
        </w:rPr>
      </w:pPr>
      <w:r w:rsidRPr="00047722">
        <w:rPr>
          <w:rFonts w:cs="Times-Roman"/>
          <w:b/>
          <w:sz w:val="28"/>
          <w:szCs w:val="28"/>
          <w:lang w:val="en-US"/>
        </w:rPr>
        <w:lastRenderedPageBreak/>
        <w:t>Biotechnological production of succinic acid fr</w:t>
      </w:r>
      <w:r w:rsidR="00944175">
        <w:rPr>
          <w:rFonts w:cs="Times-Roman"/>
          <w:b/>
          <w:sz w:val="28"/>
          <w:szCs w:val="28"/>
          <w:lang w:val="en-US"/>
        </w:rPr>
        <w:t>om lignocellulosic raw material</w:t>
      </w:r>
      <w:bookmarkStart w:id="0" w:name="_GoBack"/>
      <w:bookmarkEnd w:id="0"/>
      <w:r>
        <w:rPr>
          <w:rFonts w:cs="Times-Roman"/>
          <w:b/>
          <w:sz w:val="28"/>
          <w:szCs w:val="28"/>
          <w:lang w:val="en-US"/>
        </w:rPr>
        <w:t>.</w:t>
      </w:r>
    </w:p>
    <w:p w14:paraId="348D73AF" w14:textId="1E437E50" w:rsidR="003858D5" w:rsidRDefault="003858D5" w:rsidP="00704BDF">
      <w:pPr>
        <w:snapToGrid w:val="0"/>
        <w:spacing w:after="120"/>
        <w:jc w:val="center"/>
        <w:rPr>
          <w:rFonts w:asciiTheme="minorHAnsi" w:hAnsiTheme="minorHAnsi" w:cs="Arial"/>
          <w:sz w:val="24"/>
          <w:szCs w:val="24"/>
          <w:vertAlign w:val="superscript"/>
          <w:lang w:val="it-IT"/>
        </w:rPr>
      </w:pPr>
      <w:r w:rsidRPr="003858D5">
        <w:rPr>
          <w:rFonts w:asciiTheme="minorHAnsi" w:eastAsia="SimSun" w:hAnsiTheme="minorHAnsi"/>
          <w:color w:val="000000"/>
          <w:sz w:val="24"/>
          <w:szCs w:val="24"/>
          <w:u w:val="single"/>
          <w:lang w:val="it-IT" w:eastAsia="zh-CN"/>
        </w:rPr>
        <w:t>Donatella Cimini</w:t>
      </w:r>
      <w:r w:rsidRPr="00EC4198">
        <w:rPr>
          <w:rFonts w:asciiTheme="minorHAnsi" w:eastAsia="SimSun" w:hAnsiTheme="minorHAnsi"/>
          <w:color w:val="000000"/>
          <w:sz w:val="24"/>
          <w:szCs w:val="24"/>
          <w:vertAlign w:val="superscript"/>
          <w:lang w:val="it-IT" w:eastAsia="zh-CN"/>
        </w:rPr>
        <w:t>1</w:t>
      </w:r>
      <w:r w:rsidRPr="00EC4198">
        <w:rPr>
          <w:rFonts w:asciiTheme="minorHAnsi" w:eastAsia="SimSun" w:hAnsiTheme="minorHAnsi"/>
          <w:color w:val="000000"/>
          <w:sz w:val="24"/>
          <w:szCs w:val="24"/>
          <w:lang w:val="it-IT" w:eastAsia="zh-CN"/>
        </w:rPr>
        <w:t>,</w:t>
      </w:r>
      <w:r w:rsidRPr="003858D5">
        <w:rPr>
          <w:rFonts w:cs="Arial"/>
          <w:sz w:val="24"/>
          <w:szCs w:val="24"/>
          <w:lang w:val="it-IT"/>
        </w:rPr>
        <w:t xml:space="preserve"> </w:t>
      </w:r>
      <w:r w:rsidR="001C7704" w:rsidRPr="003858D5">
        <w:rPr>
          <w:rFonts w:asciiTheme="minorHAnsi" w:hAnsiTheme="minorHAnsi" w:cs="Arial"/>
          <w:sz w:val="24"/>
          <w:szCs w:val="24"/>
          <w:lang w:val="it-IT"/>
        </w:rPr>
        <w:t>Lucio Zaccariello</w:t>
      </w:r>
      <w:r w:rsidR="001C7704">
        <w:rPr>
          <w:rFonts w:asciiTheme="minorHAnsi" w:hAnsiTheme="minorHAnsi" w:cs="Arial"/>
          <w:sz w:val="24"/>
          <w:szCs w:val="24"/>
          <w:vertAlign w:val="superscript"/>
          <w:lang w:val="it-IT"/>
        </w:rPr>
        <w:t>2</w:t>
      </w:r>
      <w:r w:rsidR="001C7704" w:rsidRPr="001C7704">
        <w:rPr>
          <w:rFonts w:asciiTheme="minorHAnsi" w:hAnsiTheme="minorHAnsi" w:cs="Arial"/>
          <w:sz w:val="24"/>
          <w:szCs w:val="24"/>
          <w:lang w:val="it-IT"/>
        </w:rPr>
        <w:t>,</w:t>
      </w:r>
      <w:r w:rsidR="001C7704">
        <w:rPr>
          <w:rFonts w:asciiTheme="minorHAnsi" w:hAnsiTheme="minorHAnsi" w:cs="Arial"/>
          <w:sz w:val="24"/>
          <w:szCs w:val="24"/>
          <w:lang w:val="it-IT"/>
        </w:rPr>
        <w:t xml:space="preserve"> </w:t>
      </w:r>
      <w:r w:rsidR="00EC4198" w:rsidRPr="003858D5">
        <w:rPr>
          <w:rFonts w:asciiTheme="minorHAnsi" w:hAnsiTheme="minorHAnsi" w:cs="Arial"/>
          <w:sz w:val="24"/>
          <w:szCs w:val="24"/>
          <w:lang w:val="it-IT"/>
        </w:rPr>
        <w:t>Sergio D’Ambrosio</w:t>
      </w:r>
      <w:r w:rsidR="00EC4198">
        <w:rPr>
          <w:rFonts w:asciiTheme="minorHAnsi" w:hAnsiTheme="minorHAnsi" w:cs="Arial"/>
          <w:sz w:val="24"/>
          <w:szCs w:val="24"/>
          <w:vertAlign w:val="superscript"/>
          <w:lang w:val="it-IT"/>
        </w:rPr>
        <w:t>1</w:t>
      </w:r>
      <w:r w:rsidR="00EC4198" w:rsidRPr="003858D5">
        <w:rPr>
          <w:rFonts w:asciiTheme="minorHAnsi" w:hAnsiTheme="minorHAnsi" w:cs="Arial"/>
          <w:sz w:val="24"/>
          <w:szCs w:val="24"/>
          <w:lang w:val="it-IT"/>
        </w:rPr>
        <w:t>, Michela Ventrone</w:t>
      </w:r>
      <w:r w:rsidR="00EC4198" w:rsidRPr="003858D5">
        <w:rPr>
          <w:rFonts w:asciiTheme="minorHAnsi" w:hAnsiTheme="minorHAnsi" w:cs="Arial"/>
          <w:sz w:val="24"/>
          <w:szCs w:val="24"/>
          <w:vertAlign w:val="superscript"/>
          <w:lang w:val="it-IT"/>
        </w:rPr>
        <w:t>1</w:t>
      </w:r>
      <w:r w:rsidR="00EC4198" w:rsidRPr="00EC4198">
        <w:rPr>
          <w:rFonts w:asciiTheme="minorHAnsi" w:hAnsiTheme="minorHAnsi" w:cs="Arial"/>
          <w:sz w:val="24"/>
          <w:szCs w:val="24"/>
          <w:lang w:val="it-IT"/>
        </w:rPr>
        <w:t>,</w:t>
      </w:r>
      <w:r w:rsidR="00A430CC">
        <w:rPr>
          <w:rFonts w:asciiTheme="minorHAnsi" w:hAnsiTheme="minorHAnsi" w:cs="Arial"/>
          <w:sz w:val="24"/>
          <w:szCs w:val="24"/>
          <w:lang w:val="it-IT"/>
        </w:rPr>
        <w:t xml:space="preserve"> </w:t>
      </w:r>
      <w:r w:rsidRPr="003858D5">
        <w:rPr>
          <w:rFonts w:asciiTheme="minorHAnsi" w:hAnsiTheme="minorHAnsi" w:cs="Arial"/>
          <w:sz w:val="24"/>
          <w:szCs w:val="24"/>
          <w:lang w:val="it-IT"/>
        </w:rPr>
        <w:t xml:space="preserve"> Licia Lama</w:t>
      </w:r>
      <w:r>
        <w:rPr>
          <w:rFonts w:asciiTheme="minorHAnsi" w:hAnsiTheme="minorHAnsi" w:cs="Arial"/>
          <w:sz w:val="24"/>
          <w:szCs w:val="24"/>
          <w:vertAlign w:val="superscript"/>
          <w:lang w:val="it-IT"/>
        </w:rPr>
        <w:t>3</w:t>
      </w:r>
      <w:r w:rsidRPr="003858D5">
        <w:rPr>
          <w:rFonts w:asciiTheme="minorHAnsi" w:hAnsiTheme="minorHAnsi" w:cs="Arial"/>
          <w:sz w:val="24"/>
          <w:szCs w:val="24"/>
          <w:lang w:val="it-IT"/>
        </w:rPr>
        <w:t>, Olimpia Pepe</w:t>
      </w:r>
      <w:r>
        <w:rPr>
          <w:rFonts w:asciiTheme="minorHAnsi" w:hAnsiTheme="minorHAnsi" w:cs="Arial"/>
          <w:sz w:val="24"/>
          <w:szCs w:val="24"/>
          <w:vertAlign w:val="superscript"/>
          <w:lang w:val="it-IT"/>
        </w:rPr>
        <w:t>4</w:t>
      </w:r>
      <w:r w:rsidRPr="003858D5">
        <w:rPr>
          <w:rFonts w:asciiTheme="minorHAnsi" w:hAnsiTheme="minorHAnsi" w:cs="Arial"/>
          <w:sz w:val="24"/>
          <w:szCs w:val="24"/>
          <w:lang w:val="it-IT"/>
        </w:rPr>
        <w:t>, Chiara Schiraldi</w:t>
      </w:r>
      <w:r>
        <w:rPr>
          <w:rFonts w:asciiTheme="minorHAnsi" w:hAnsiTheme="minorHAnsi" w:cs="Arial"/>
          <w:sz w:val="24"/>
          <w:szCs w:val="24"/>
          <w:vertAlign w:val="superscript"/>
          <w:lang w:val="it-IT"/>
        </w:rPr>
        <w:t>1</w:t>
      </w:r>
    </w:p>
    <w:p w14:paraId="319BCA15" w14:textId="77777777" w:rsidR="00704BDF" w:rsidRPr="00A430CC" w:rsidRDefault="00704BDF" w:rsidP="00704BDF">
      <w:pPr>
        <w:snapToGrid w:val="0"/>
        <w:spacing w:after="120"/>
        <w:jc w:val="center"/>
        <w:rPr>
          <w:rFonts w:cs="Arial"/>
          <w:color w:val="000000" w:themeColor="text1"/>
          <w:lang w:val="en-US"/>
        </w:rPr>
      </w:pPr>
      <w:r w:rsidRPr="00A430CC">
        <w:rPr>
          <w:rFonts w:eastAsia="MS PGothic"/>
          <w:i/>
          <w:iCs/>
          <w:color w:val="000000"/>
          <w:sz w:val="20"/>
          <w:lang w:val="en-US"/>
        </w:rPr>
        <w:t>1</w:t>
      </w:r>
      <w:r w:rsidR="003858D5" w:rsidRPr="00A430CC">
        <w:rPr>
          <w:rFonts w:cs="Arial"/>
          <w:lang w:val="en-US"/>
        </w:rPr>
        <w:t>University of Campania L. Vanvitelli, Department of Experimental Medicine, Via de Crecchio 7, 80138, Naples, Italy</w:t>
      </w:r>
      <w:r w:rsidRPr="00A430CC">
        <w:rPr>
          <w:rFonts w:asciiTheme="minorHAnsi" w:eastAsia="MS PGothic" w:hAnsiTheme="minorHAnsi"/>
          <w:i/>
          <w:iCs/>
          <w:color w:val="000000"/>
          <w:sz w:val="20"/>
          <w:lang w:val="en-US"/>
        </w:rPr>
        <w:t xml:space="preserve">; 2 </w:t>
      </w:r>
      <w:r w:rsidR="00A430CC">
        <w:rPr>
          <w:rFonts w:cs="Arial"/>
          <w:lang w:val="en-US"/>
        </w:rPr>
        <w:t>University of Campania L. Vanvitelli</w:t>
      </w:r>
      <w:r w:rsidR="00A430CC" w:rsidRPr="006D7B24">
        <w:rPr>
          <w:rFonts w:cs="Arial"/>
          <w:color w:val="000000" w:themeColor="text1"/>
          <w:lang w:val="en-US"/>
        </w:rPr>
        <w:t>, Department of Environmental, Biological and Pharmaceutical Sciences and Technologies, Via Vivaldi 43, 81100, Caserta, Italy</w:t>
      </w:r>
      <w:r w:rsidR="00A430CC" w:rsidRPr="00A430CC">
        <w:rPr>
          <w:rFonts w:cs="Arial"/>
          <w:lang w:val="en-US"/>
        </w:rPr>
        <w:t xml:space="preserve">; </w:t>
      </w:r>
      <w:r w:rsidR="00A430CC">
        <w:rPr>
          <w:rFonts w:eastAsia="MS PGothic"/>
          <w:i/>
          <w:iCs/>
          <w:color w:val="000000"/>
          <w:sz w:val="20"/>
          <w:lang w:val="en-US"/>
        </w:rPr>
        <w:t xml:space="preserve">3 </w:t>
      </w:r>
      <w:hyperlink r:id="rId10" w:history="1">
        <w:r w:rsidR="00A430CC" w:rsidRPr="00A430CC">
          <w:rPr>
            <w:rFonts w:cs="Arial"/>
            <w:lang w:val="en-US"/>
          </w:rPr>
          <w:t>National Research Council</w:t>
        </w:r>
      </w:hyperlink>
      <w:r w:rsidR="00A430CC" w:rsidRPr="00A430CC">
        <w:rPr>
          <w:rFonts w:cs="Arial"/>
          <w:lang w:val="en-US"/>
        </w:rPr>
        <w:t xml:space="preserve">, </w:t>
      </w:r>
      <w:hyperlink r:id="rId11" w:history="1">
        <w:r w:rsidR="00A430CC" w:rsidRPr="00A430CC">
          <w:rPr>
            <w:rFonts w:cs="Arial"/>
            <w:lang w:val="en-US"/>
          </w:rPr>
          <w:t>Institute of Biomolecular Chemistry (ICB</w:t>
        </w:r>
      </w:hyperlink>
      <w:r w:rsidR="00A430CC" w:rsidRPr="00A430CC">
        <w:rPr>
          <w:rFonts w:cs="Arial"/>
          <w:lang w:val="en-US"/>
        </w:rPr>
        <w:t>), Via Campi Flegrei, 34 - 80078 Pozzuoli, Naples, Italy</w:t>
      </w:r>
      <w:r w:rsidR="00A430CC">
        <w:rPr>
          <w:rFonts w:cs="Arial"/>
          <w:lang w:val="en-US"/>
        </w:rPr>
        <w:t xml:space="preserve">; </w:t>
      </w:r>
      <w:r w:rsidR="00A430CC" w:rsidRPr="00A430CC">
        <w:rPr>
          <w:rFonts w:cs="Arial"/>
          <w:i/>
          <w:color w:val="000000" w:themeColor="text1"/>
          <w:lang w:val="en-US"/>
        </w:rPr>
        <w:t>4</w:t>
      </w:r>
      <w:r w:rsidR="00A430CC" w:rsidRPr="00A430CC">
        <w:rPr>
          <w:rFonts w:cs="Arial"/>
          <w:color w:val="000000" w:themeColor="text1"/>
          <w:lang w:val="en-US"/>
        </w:rPr>
        <w:t xml:space="preserve"> Department of Agricultural Sciences, Division of Microbiology, University of Naples Federico II, Via Università 100, 80055 Portici (Naples), Italy</w:t>
      </w:r>
    </w:p>
    <w:p w14:paraId="40A4425F" w14:textId="77777777" w:rsidR="003858D5" w:rsidRPr="00A430CC" w:rsidRDefault="00704BDF" w:rsidP="00A430CC">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hyperlink r:id="rId12" w:history="1">
        <w:r w:rsidR="003858D5" w:rsidRPr="00666EA0">
          <w:rPr>
            <w:rStyle w:val="Collegamentoipertestuale"/>
            <w:rFonts w:asciiTheme="minorHAnsi" w:eastAsia="MS PGothic" w:hAnsiTheme="minorHAnsi"/>
            <w:bCs/>
            <w:i/>
            <w:iCs/>
            <w:sz w:val="20"/>
            <w:lang w:val="en-US"/>
          </w:rPr>
          <w:t>donatella.cimini@unicampania.it</w:t>
        </w:r>
      </w:hyperlink>
    </w:p>
    <w:p w14:paraId="78931FEF" w14:textId="77777777" w:rsidR="00704BDF" w:rsidRPr="00EC66CC" w:rsidRDefault="00704BDF" w:rsidP="00A51B54">
      <w:pPr>
        <w:pStyle w:val="AbstractHeading"/>
        <w:tabs>
          <w:tab w:val="left" w:pos="3547"/>
          <w:tab w:val="center" w:pos="4694"/>
        </w:tabs>
        <w:spacing w:before="240" w:after="0"/>
        <w:ind w:firstLine="357"/>
        <w:outlineLvl w:val="0"/>
        <w:rPr>
          <w:rFonts w:asciiTheme="minorHAnsi" w:hAnsiTheme="minorHAnsi"/>
          <w:b/>
        </w:rPr>
      </w:pPr>
      <w:r w:rsidRPr="00EC66CC">
        <w:rPr>
          <w:rFonts w:asciiTheme="minorHAnsi" w:hAnsiTheme="minorHAnsi"/>
          <w:b/>
        </w:rPr>
        <w:t>Highlights</w:t>
      </w:r>
    </w:p>
    <w:p w14:paraId="3F3D0378" w14:textId="77777777" w:rsidR="00704BDF" w:rsidRPr="00EC66CC" w:rsidRDefault="006E7420" w:rsidP="00704BDF">
      <w:pPr>
        <w:pStyle w:val="AbstractBody"/>
        <w:numPr>
          <w:ilvl w:val="0"/>
          <w:numId w:val="16"/>
        </w:numPr>
        <w:rPr>
          <w:rFonts w:asciiTheme="minorHAnsi" w:hAnsiTheme="minorHAnsi"/>
        </w:rPr>
      </w:pPr>
      <w:r w:rsidRPr="006E7420">
        <w:rPr>
          <w:rFonts w:asciiTheme="minorHAnsi" w:hAnsiTheme="minorHAnsi"/>
          <w:i/>
        </w:rPr>
        <w:t>B.succiniciproducens</w:t>
      </w:r>
      <w:r w:rsidRPr="006E7420">
        <w:rPr>
          <w:rFonts w:asciiTheme="minorHAnsi" w:hAnsiTheme="minorHAnsi"/>
        </w:rPr>
        <w:t xml:space="preserve"> produced 37 g/L of succinic acid on </w:t>
      </w:r>
      <w:r w:rsidRPr="00047722">
        <w:rPr>
          <w:rFonts w:asciiTheme="minorHAnsi" w:hAnsiTheme="minorHAnsi"/>
          <w:i/>
        </w:rPr>
        <w:t>A. donax</w:t>
      </w:r>
      <w:r w:rsidRPr="006E7420">
        <w:rPr>
          <w:rFonts w:asciiTheme="minorHAnsi" w:hAnsiTheme="minorHAnsi"/>
        </w:rPr>
        <w:t xml:space="preserve"> hydrolysate</w:t>
      </w:r>
      <w:r w:rsidR="00704BDF" w:rsidRPr="00EC66CC">
        <w:rPr>
          <w:rFonts w:asciiTheme="minorHAnsi" w:hAnsiTheme="minorHAnsi"/>
        </w:rPr>
        <w:t>.</w:t>
      </w:r>
    </w:p>
    <w:p w14:paraId="22BADEF3" w14:textId="77777777" w:rsidR="00704BDF" w:rsidRPr="00EC66CC" w:rsidRDefault="00047722" w:rsidP="00704BDF">
      <w:pPr>
        <w:pStyle w:val="AbstractBody"/>
        <w:numPr>
          <w:ilvl w:val="0"/>
          <w:numId w:val="16"/>
        </w:numPr>
        <w:rPr>
          <w:rFonts w:asciiTheme="minorHAnsi" w:hAnsiTheme="minorHAnsi"/>
        </w:rPr>
      </w:pPr>
      <w:r w:rsidRPr="00047722">
        <w:rPr>
          <w:rFonts w:asciiTheme="minorHAnsi" w:hAnsiTheme="minorHAnsi"/>
          <w:i/>
        </w:rPr>
        <w:t>A fermentation efficiency of about 75% was demonstrated on pilot scale FB experiments</w:t>
      </w:r>
      <w:r w:rsidR="00704BDF" w:rsidRPr="00EC66CC">
        <w:rPr>
          <w:rFonts w:asciiTheme="minorHAnsi" w:hAnsiTheme="minorHAnsi"/>
        </w:rPr>
        <w:t xml:space="preserve">. </w:t>
      </w:r>
    </w:p>
    <w:p w14:paraId="7607C746" w14:textId="172C65F3" w:rsidR="00704BDF" w:rsidRPr="002A0279" w:rsidRDefault="002A0279" w:rsidP="00704BDF">
      <w:pPr>
        <w:pStyle w:val="AbstractBody"/>
        <w:numPr>
          <w:ilvl w:val="0"/>
          <w:numId w:val="16"/>
        </w:numPr>
        <w:rPr>
          <w:rFonts w:asciiTheme="minorHAnsi" w:hAnsiTheme="minorHAnsi"/>
          <w:i/>
        </w:rPr>
      </w:pPr>
      <w:r w:rsidRPr="002A0279">
        <w:rPr>
          <w:rFonts w:asciiTheme="minorHAnsi" w:hAnsiTheme="minorHAnsi"/>
          <w:i/>
        </w:rPr>
        <w:t>Effective and theoretical optimized process performance was assessed via material flow analysis</w:t>
      </w:r>
      <w:r w:rsidR="00704BDF" w:rsidRPr="002A0279">
        <w:rPr>
          <w:rFonts w:asciiTheme="minorHAnsi" w:hAnsiTheme="minorHAnsi"/>
          <w:i/>
        </w:rPr>
        <w:t xml:space="preserve">. </w:t>
      </w:r>
    </w:p>
    <w:p w14:paraId="2374AEB5" w14:textId="77777777" w:rsidR="00704BDF" w:rsidRPr="00A15B93" w:rsidRDefault="00704BDF" w:rsidP="00704BDF">
      <w:pPr>
        <w:snapToGrid w:val="0"/>
        <w:spacing w:after="120"/>
        <w:jc w:val="center"/>
        <w:rPr>
          <w:rFonts w:eastAsia="SimSun"/>
          <w:bCs/>
          <w:i/>
          <w:iCs/>
          <w:color w:val="0000FF"/>
          <w:sz w:val="20"/>
          <w:lang w:val="en-US" w:eastAsia="zh-CN"/>
        </w:rPr>
      </w:pPr>
    </w:p>
    <w:p w14:paraId="4E5F2D58"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345B6FC5" w14:textId="77777777" w:rsidR="00D5665C" w:rsidRPr="00D5665C" w:rsidRDefault="00D5665C" w:rsidP="00D5665C">
      <w:pPr>
        <w:pStyle w:val="Normale1"/>
        <w:spacing w:after="120"/>
        <w:jc w:val="both"/>
        <w:rPr>
          <w:rFonts w:asciiTheme="minorHAnsi" w:eastAsia="MS PGothic" w:hAnsiTheme="minorHAnsi" w:cs="Times New Roman"/>
          <w:sz w:val="22"/>
          <w:szCs w:val="22"/>
          <w:lang w:val="en-US" w:eastAsia="en-US"/>
        </w:rPr>
      </w:pPr>
      <w:r w:rsidRPr="00D5665C">
        <w:rPr>
          <w:rFonts w:asciiTheme="minorHAnsi" w:eastAsia="MS PGothic" w:hAnsiTheme="minorHAnsi" w:cs="Times New Roman"/>
          <w:sz w:val="22"/>
          <w:szCs w:val="22"/>
          <w:lang w:val="en-US" w:eastAsia="en-US"/>
        </w:rPr>
        <w:t xml:space="preserve">Due to its wide range of applications in the food, pharmaceutical and chemical fields, microbial synthesis of succinic acid is receiving growing attention, generating already relevant industrial results, as well as fueling constant research for improvements. In order to develop a sustainable process, a special focus is now set on the exploitation and conversion of lignocellulosic biomasses into platform chemicals.  </w:t>
      </w:r>
    </w:p>
    <w:p w14:paraId="32DBBA80" w14:textId="77777777" w:rsidR="00704BDF" w:rsidRPr="00D5665C" w:rsidRDefault="00704BDF" w:rsidP="00D5665C">
      <w:pPr>
        <w:snapToGrid w:val="0"/>
        <w:spacing w:after="120" w:line="240" w:lineRule="auto"/>
        <w:rPr>
          <w:rFonts w:asciiTheme="minorHAnsi" w:eastAsia="MS PGothic" w:hAnsiTheme="minorHAnsi"/>
          <w:color w:val="000000"/>
          <w:sz w:val="22"/>
          <w:szCs w:val="22"/>
          <w:lang w:val="en-US"/>
        </w:rPr>
      </w:pPr>
      <w:r w:rsidRPr="00D5665C">
        <w:rPr>
          <w:rFonts w:asciiTheme="minorHAnsi" w:eastAsia="MS PGothic" w:hAnsiTheme="minorHAnsi"/>
          <w:b/>
          <w:bCs/>
          <w:color w:val="000000"/>
          <w:sz w:val="22"/>
          <w:szCs w:val="22"/>
          <w:lang w:val="en-US"/>
        </w:rPr>
        <w:t>2. Methods</w:t>
      </w:r>
    </w:p>
    <w:p w14:paraId="328E837D" w14:textId="77777777" w:rsidR="00A430CC" w:rsidRPr="000D6F24" w:rsidRDefault="00D5665C" w:rsidP="00A430CC">
      <w:pPr>
        <w:spacing w:after="120" w:line="240" w:lineRule="auto"/>
        <w:rPr>
          <w:rFonts w:asciiTheme="minorHAnsi" w:hAnsiTheme="minorHAnsi" w:cs="Arial"/>
          <w:sz w:val="20"/>
        </w:rPr>
      </w:pPr>
      <w:r w:rsidRPr="00D5665C">
        <w:rPr>
          <w:rFonts w:asciiTheme="minorHAnsi" w:hAnsiTheme="minorHAnsi" w:cs="Arial"/>
          <w:sz w:val="22"/>
          <w:szCs w:val="22"/>
        </w:rPr>
        <w:t xml:space="preserve">Fermentation experiments were performed on a Biostat C (150 L total volume) with a working volume of 70-80 L (Sartorius Stedim; Melsungen, Germany). All fermentations were carried out at 37°C on MH medium supplemented with </w:t>
      </w:r>
      <w:r w:rsidRPr="00D5665C">
        <w:rPr>
          <w:rFonts w:asciiTheme="minorHAnsi" w:hAnsiTheme="minorHAnsi" w:cs="Arial"/>
          <w:i/>
          <w:sz w:val="22"/>
          <w:szCs w:val="22"/>
        </w:rPr>
        <w:t>A. donax</w:t>
      </w:r>
      <w:r w:rsidRPr="00D5665C">
        <w:rPr>
          <w:rFonts w:asciiTheme="minorHAnsi" w:hAnsiTheme="minorHAnsi" w:cs="Arial"/>
          <w:sz w:val="22"/>
          <w:szCs w:val="22"/>
        </w:rPr>
        <w:t xml:space="preserve"> hydrolysate. The culture was sparged with CO</w:t>
      </w:r>
      <w:r w:rsidRPr="00D5665C">
        <w:rPr>
          <w:rFonts w:asciiTheme="minorHAnsi" w:hAnsiTheme="minorHAnsi" w:cs="Arial"/>
          <w:sz w:val="22"/>
          <w:szCs w:val="22"/>
          <w:vertAlign w:val="subscript"/>
        </w:rPr>
        <w:t>2</w:t>
      </w:r>
      <w:r w:rsidRPr="00D5665C">
        <w:rPr>
          <w:rFonts w:asciiTheme="minorHAnsi" w:hAnsiTheme="minorHAnsi" w:cs="Arial"/>
          <w:sz w:val="22"/>
          <w:szCs w:val="22"/>
        </w:rPr>
        <w:t xml:space="preserve"> at 0.1 vvm and agitati</w:t>
      </w:r>
      <w:r w:rsidR="00C6696C">
        <w:rPr>
          <w:rFonts w:asciiTheme="minorHAnsi" w:hAnsiTheme="minorHAnsi" w:cs="Arial"/>
          <w:sz w:val="22"/>
          <w:szCs w:val="22"/>
        </w:rPr>
        <w:t>on speed was set to 100-200 rpm and</w:t>
      </w:r>
      <w:r w:rsidRPr="00D5665C">
        <w:rPr>
          <w:rFonts w:asciiTheme="minorHAnsi" w:hAnsiTheme="minorHAnsi" w:cs="Arial"/>
          <w:sz w:val="22"/>
          <w:szCs w:val="22"/>
        </w:rPr>
        <w:t xml:space="preserve"> </w:t>
      </w:r>
      <w:r w:rsidR="00C6696C">
        <w:rPr>
          <w:rFonts w:asciiTheme="minorHAnsi" w:hAnsiTheme="minorHAnsi" w:cs="Arial"/>
          <w:sz w:val="22"/>
          <w:szCs w:val="22"/>
        </w:rPr>
        <w:t>a</w:t>
      </w:r>
      <w:r w:rsidRPr="00D5665C">
        <w:rPr>
          <w:rFonts w:asciiTheme="minorHAnsi" w:hAnsiTheme="minorHAnsi" w:cs="Arial"/>
          <w:sz w:val="22"/>
          <w:szCs w:val="22"/>
        </w:rPr>
        <w:t xml:space="preserve"> constant pH of 6.5 was maintained</w:t>
      </w:r>
      <w:r w:rsidR="00C6696C">
        <w:rPr>
          <w:rFonts w:asciiTheme="minorHAnsi" w:hAnsiTheme="minorHAnsi" w:cs="Arial"/>
          <w:sz w:val="22"/>
          <w:szCs w:val="22"/>
        </w:rPr>
        <w:t>.</w:t>
      </w:r>
      <w:r w:rsidRPr="00D5665C">
        <w:rPr>
          <w:rFonts w:asciiTheme="minorHAnsi" w:hAnsiTheme="minorHAnsi" w:cs="Arial"/>
          <w:sz w:val="22"/>
          <w:szCs w:val="22"/>
        </w:rPr>
        <w:t xml:space="preserve"> For the fed-batch phase a concentrated feeding solution containing sugars and yeast extract</w:t>
      </w:r>
      <w:r w:rsidRPr="00D5665C">
        <w:rPr>
          <w:rFonts w:asciiTheme="minorHAnsi" w:hAnsiTheme="minorHAnsi" w:cs="Arial"/>
          <w:i/>
          <w:sz w:val="22"/>
          <w:szCs w:val="22"/>
        </w:rPr>
        <w:t xml:space="preserve">, </w:t>
      </w:r>
      <w:r w:rsidRPr="00D5665C">
        <w:rPr>
          <w:rFonts w:asciiTheme="minorHAnsi" w:hAnsiTheme="minorHAnsi" w:cs="Arial"/>
          <w:sz w:val="22"/>
          <w:szCs w:val="22"/>
        </w:rPr>
        <w:t xml:space="preserve">was added to the broth in order to prolong growth. The feeding profiles provided addition of about 33-55 g/L of total sugars either pure or diluted in </w:t>
      </w:r>
      <w:r w:rsidRPr="00D5665C">
        <w:rPr>
          <w:rFonts w:asciiTheme="minorHAnsi" w:hAnsiTheme="minorHAnsi" w:cs="Arial"/>
          <w:i/>
          <w:sz w:val="22"/>
          <w:szCs w:val="22"/>
        </w:rPr>
        <w:t>A. donax</w:t>
      </w:r>
      <w:r w:rsidRPr="00D5665C">
        <w:rPr>
          <w:rFonts w:asciiTheme="minorHAnsi" w:hAnsiTheme="minorHAnsi" w:cs="Arial"/>
          <w:sz w:val="22"/>
          <w:szCs w:val="22"/>
        </w:rPr>
        <w:t xml:space="preserve"> with a rate ranging from 0.2 to 1.2 g/L∙h. The global evaluation of process efficiency considering the conversion of cellulose and hemicellulose to monosaccharides and their fermentation to succinic acid was performed </w:t>
      </w:r>
      <w:r w:rsidR="000D6F24">
        <w:rPr>
          <w:rFonts w:asciiTheme="minorHAnsi" w:hAnsiTheme="minorHAnsi" w:cs="Arial"/>
          <w:sz w:val="22"/>
          <w:szCs w:val="22"/>
        </w:rPr>
        <w:t>[2].</w:t>
      </w:r>
      <w:r w:rsidR="00C6696C">
        <w:rPr>
          <w:rFonts w:asciiTheme="minorHAnsi" w:hAnsiTheme="minorHAnsi" w:cs="Arial"/>
          <w:sz w:val="22"/>
          <w:szCs w:val="22"/>
        </w:rPr>
        <w:t xml:space="preserve">We carried out material flow analysis (MFA) by using </w:t>
      </w:r>
      <w:r w:rsidR="00C6696C" w:rsidRPr="00C6696C">
        <w:rPr>
          <w:rFonts w:asciiTheme="minorHAnsi" w:hAnsiTheme="minorHAnsi" w:cs="Arial"/>
          <w:sz w:val="22"/>
          <w:szCs w:val="22"/>
        </w:rPr>
        <w:t xml:space="preserve">the STAN </w:t>
      </w:r>
      <w:r w:rsidR="00C6696C">
        <w:rPr>
          <w:rFonts w:asciiTheme="minorHAnsi" w:hAnsiTheme="minorHAnsi" w:cs="Arial"/>
          <w:sz w:val="22"/>
          <w:szCs w:val="22"/>
        </w:rPr>
        <w:t xml:space="preserve">software </w:t>
      </w:r>
      <w:r w:rsidR="00C6696C" w:rsidRPr="00C6696C">
        <w:rPr>
          <w:rFonts w:asciiTheme="minorHAnsi" w:hAnsiTheme="minorHAnsi" w:cs="Arial"/>
          <w:sz w:val="22"/>
          <w:szCs w:val="22"/>
        </w:rPr>
        <w:t xml:space="preserve">(published by TU Wien, Institute for Water Quality, Resource and Waste Management) that is a freeware </w:t>
      </w:r>
      <w:r w:rsidR="00C6696C">
        <w:rPr>
          <w:rFonts w:asciiTheme="minorHAnsi" w:hAnsiTheme="minorHAnsi" w:cs="Arial"/>
          <w:sz w:val="22"/>
          <w:szCs w:val="22"/>
        </w:rPr>
        <w:t>that follows the</w:t>
      </w:r>
      <w:r w:rsidR="00C6696C" w:rsidRPr="00C6696C">
        <w:rPr>
          <w:rFonts w:asciiTheme="minorHAnsi" w:hAnsiTheme="minorHAnsi" w:cs="Arial"/>
          <w:sz w:val="22"/>
          <w:szCs w:val="22"/>
        </w:rPr>
        <w:t xml:space="preserve"> Austrian standard ÖNorm S 2096 (Material flow analysis – Application in waste management).</w:t>
      </w:r>
      <w:r w:rsidR="00A430CC">
        <w:rPr>
          <w:rFonts w:asciiTheme="minorHAnsi" w:hAnsiTheme="minorHAnsi" w:cs="Arial"/>
          <w:sz w:val="22"/>
          <w:szCs w:val="22"/>
        </w:rPr>
        <w:t xml:space="preserve">Shake flask experiments </w:t>
      </w:r>
      <w:r w:rsidR="00A430CC" w:rsidRPr="00A430CC">
        <w:rPr>
          <w:rFonts w:asciiTheme="minorHAnsi" w:hAnsiTheme="minorHAnsi" w:cs="Arial"/>
          <w:sz w:val="22"/>
          <w:szCs w:val="22"/>
        </w:rPr>
        <w:t>were conducted in 0.</w:t>
      </w:r>
      <w:r w:rsidR="00A430CC">
        <w:rPr>
          <w:rFonts w:asciiTheme="minorHAnsi" w:hAnsiTheme="minorHAnsi" w:cs="Arial"/>
          <w:sz w:val="22"/>
          <w:szCs w:val="22"/>
        </w:rPr>
        <w:t>1</w:t>
      </w:r>
      <w:r w:rsidR="00A430CC" w:rsidRPr="00A430CC">
        <w:rPr>
          <w:rFonts w:asciiTheme="minorHAnsi" w:hAnsiTheme="minorHAnsi" w:cs="Arial"/>
          <w:sz w:val="22"/>
          <w:szCs w:val="22"/>
        </w:rPr>
        <w:t xml:space="preserve"> L bottles filled with 0.</w:t>
      </w:r>
      <w:r w:rsidR="00A430CC">
        <w:rPr>
          <w:rFonts w:asciiTheme="minorHAnsi" w:hAnsiTheme="minorHAnsi" w:cs="Arial"/>
          <w:sz w:val="22"/>
          <w:szCs w:val="22"/>
        </w:rPr>
        <w:t>1</w:t>
      </w:r>
      <w:r w:rsidR="00A430CC" w:rsidRPr="00A430CC">
        <w:rPr>
          <w:rFonts w:asciiTheme="minorHAnsi" w:hAnsiTheme="minorHAnsi" w:cs="Arial"/>
          <w:sz w:val="22"/>
          <w:szCs w:val="22"/>
        </w:rPr>
        <w:t xml:space="preserve"> L of medium at 37°C and 140 rpm, in a rotary shaker incubator (model Minitron, Infors, Bottmingen, Switzerland). Bottles were sealed with stainless steel headpiece caps and sterile venting filters to insufflate CO</w:t>
      </w:r>
      <w:r w:rsidR="00A430CC" w:rsidRPr="00A430CC">
        <w:rPr>
          <w:rFonts w:asciiTheme="minorHAnsi" w:hAnsiTheme="minorHAnsi" w:cs="Arial"/>
          <w:sz w:val="22"/>
          <w:szCs w:val="22"/>
          <w:vertAlign w:val="subscript"/>
        </w:rPr>
        <w:t>2</w:t>
      </w:r>
      <w:r w:rsidR="00A430CC" w:rsidRPr="00A430CC">
        <w:rPr>
          <w:rFonts w:asciiTheme="minorHAnsi" w:hAnsiTheme="minorHAnsi" w:cs="Arial"/>
          <w:sz w:val="22"/>
          <w:szCs w:val="22"/>
        </w:rPr>
        <w:t xml:space="preserve">, before starting the </w:t>
      </w:r>
      <w:r w:rsidR="00A430CC" w:rsidRPr="00A430CC">
        <w:rPr>
          <w:rFonts w:asciiTheme="minorHAnsi" w:hAnsiTheme="minorHAnsi" w:cs="Arial"/>
          <w:sz w:val="22"/>
          <w:szCs w:val="22"/>
        </w:rPr>
        <w:lastRenderedPageBreak/>
        <w:t xml:space="preserve">experiment and </w:t>
      </w:r>
      <w:r w:rsidR="00A430CC">
        <w:rPr>
          <w:rFonts w:asciiTheme="minorHAnsi" w:hAnsiTheme="minorHAnsi" w:cs="Arial"/>
          <w:sz w:val="22"/>
          <w:szCs w:val="22"/>
        </w:rPr>
        <w:t>during</w:t>
      </w:r>
      <w:r w:rsidR="00A430CC" w:rsidRPr="00A430CC">
        <w:rPr>
          <w:rFonts w:asciiTheme="minorHAnsi" w:hAnsiTheme="minorHAnsi" w:cs="Arial"/>
          <w:sz w:val="22"/>
          <w:szCs w:val="22"/>
        </w:rPr>
        <w:t xml:space="preserve"> growth. Experiments were conducted on standard MH medium supplemented with </w:t>
      </w:r>
      <w:r w:rsidR="00A430CC">
        <w:rPr>
          <w:rFonts w:asciiTheme="minorHAnsi" w:hAnsiTheme="minorHAnsi" w:cs="Arial"/>
          <w:sz w:val="22"/>
          <w:szCs w:val="22"/>
        </w:rPr>
        <w:t>lignocellulosic hydrolysates</w:t>
      </w:r>
      <w:r w:rsidR="00A430CC" w:rsidRPr="00A430CC">
        <w:rPr>
          <w:rFonts w:asciiTheme="minorHAnsi" w:hAnsiTheme="minorHAnsi" w:cs="Arial"/>
          <w:sz w:val="22"/>
          <w:szCs w:val="22"/>
        </w:rPr>
        <w:t xml:space="preserve"> as C source. </w:t>
      </w:r>
    </w:p>
    <w:p w14:paraId="205714B9" w14:textId="77777777" w:rsidR="00A430CC" w:rsidRPr="00D5665C" w:rsidRDefault="00A430CC" w:rsidP="00C6696C">
      <w:pPr>
        <w:spacing w:after="120" w:line="240" w:lineRule="auto"/>
        <w:rPr>
          <w:rFonts w:asciiTheme="minorHAnsi" w:hAnsiTheme="minorHAnsi" w:cs="Arial"/>
          <w:sz w:val="22"/>
          <w:szCs w:val="22"/>
        </w:rPr>
      </w:pPr>
    </w:p>
    <w:p w14:paraId="47C2CD88" w14:textId="77777777" w:rsidR="00704BDF" w:rsidRDefault="00704BDF" w:rsidP="00704BDF">
      <w:pPr>
        <w:snapToGrid w:val="0"/>
        <w:spacing w:before="24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1753A975" w14:textId="77777777" w:rsidR="000D6F24" w:rsidRDefault="00D5665C" w:rsidP="00D5665C">
      <w:pPr>
        <w:pStyle w:val="Normale1"/>
        <w:spacing w:after="120"/>
        <w:jc w:val="both"/>
        <w:rPr>
          <w:rFonts w:asciiTheme="minorHAnsi" w:eastAsia="MS PGothic" w:hAnsiTheme="minorHAnsi" w:cs="Times New Roman"/>
          <w:sz w:val="22"/>
          <w:szCs w:val="22"/>
          <w:lang w:val="en-US" w:eastAsia="en-US"/>
        </w:rPr>
      </w:pPr>
      <w:r w:rsidRPr="00D5665C">
        <w:rPr>
          <w:rFonts w:asciiTheme="minorHAnsi" w:eastAsia="MS PGothic" w:hAnsiTheme="minorHAnsi" w:cs="Times New Roman"/>
          <w:sz w:val="22"/>
          <w:szCs w:val="22"/>
          <w:lang w:val="en-US" w:eastAsia="en-US"/>
        </w:rPr>
        <w:t xml:space="preserve">In the present work we used </w:t>
      </w:r>
      <w:r w:rsidRPr="00D5665C">
        <w:rPr>
          <w:rFonts w:asciiTheme="minorHAnsi" w:eastAsia="MS PGothic" w:hAnsiTheme="minorHAnsi" w:cs="Times New Roman"/>
          <w:i/>
          <w:sz w:val="22"/>
          <w:szCs w:val="22"/>
          <w:lang w:val="en-US" w:eastAsia="en-US"/>
        </w:rPr>
        <w:t>Basfia succiniciproducens</w:t>
      </w:r>
      <w:r w:rsidRPr="00D5665C">
        <w:rPr>
          <w:rFonts w:asciiTheme="minorHAnsi" w:eastAsia="MS PGothic" w:hAnsiTheme="minorHAnsi" w:cs="Times New Roman"/>
          <w:sz w:val="22"/>
          <w:szCs w:val="22"/>
          <w:lang w:val="en-US" w:eastAsia="en-US"/>
        </w:rPr>
        <w:t xml:space="preserve"> BPP7 in separated hydrolysis and fermentation experiments with </w:t>
      </w:r>
      <w:r w:rsidRPr="00C6696C">
        <w:rPr>
          <w:rFonts w:asciiTheme="minorHAnsi" w:eastAsia="MS PGothic" w:hAnsiTheme="minorHAnsi" w:cs="Times New Roman"/>
          <w:i/>
          <w:sz w:val="22"/>
          <w:szCs w:val="22"/>
          <w:lang w:val="en-US" w:eastAsia="en-US"/>
        </w:rPr>
        <w:t>Arundo donax</w:t>
      </w:r>
      <w:r w:rsidRPr="00D5665C">
        <w:rPr>
          <w:rFonts w:asciiTheme="minorHAnsi" w:eastAsia="MS PGothic" w:hAnsiTheme="minorHAnsi" w:cs="Times New Roman"/>
          <w:sz w:val="22"/>
          <w:szCs w:val="22"/>
          <w:lang w:val="en-US" w:eastAsia="en-US"/>
        </w:rPr>
        <w:t xml:space="preserve"> as starting material. </w:t>
      </w:r>
      <w:r w:rsidR="00C6696C">
        <w:rPr>
          <w:rFonts w:asciiTheme="minorHAnsi" w:eastAsia="MS PGothic" w:hAnsiTheme="minorHAnsi" w:cs="Times New Roman"/>
          <w:sz w:val="22"/>
          <w:szCs w:val="22"/>
          <w:lang w:val="en-US" w:eastAsia="en-US"/>
        </w:rPr>
        <w:t>We developed batch and f</w:t>
      </w:r>
      <w:r w:rsidRPr="00D5665C">
        <w:rPr>
          <w:rFonts w:asciiTheme="minorHAnsi" w:eastAsia="MS PGothic" w:hAnsiTheme="minorHAnsi" w:cs="Times New Roman"/>
          <w:sz w:val="22"/>
          <w:szCs w:val="22"/>
          <w:lang w:val="en-US" w:eastAsia="en-US"/>
        </w:rPr>
        <w:t>ed-batch strategies</w:t>
      </w:r>
      <w:r w:rsidR="009B6F12">
        <w:rPr>
          <w:rFonts w:asciiTheme="minorHAnsi" w:eastAsia="MS PGothic" w:hAnsiTheme="minorHAnsi" w:cs="Times New Roman"/>
          <w:sz w:val="22"/>
          <w:szCs w:val="22"/>
          <w:lang w:val="en-US" w:eastAsia="en-US"/>
        </w:rPr>
        <w:t>,</w:t>
      </w:r>
      <w:r w:rsidRPr="00D5665C">
        <w:rPr>
          <w:rFonts w:asciiTheme="minorHAnsi" w:eastAsia="MS PGothic" w:hAnsiTheme="minorHAnsi" w:cs="Times New Roman"/>
          <w:sz w:val="22"/>
          <w:szCs w:val="22"/>
          <w:lang w:val="en-US" w:eastAsia="en-US"/>
        </w:rPr>
        <w:t xml:space="preserve"> </w:t>
      </w:r>
      <w:r w:rsidR="00C6696C">
        <w:rPr>
          <w:rFonts w:asciiTheme="minorHAnsi" w:eastAsia="MS PGothic" w:hAnsiTheme="minorHAnsi" w:cs="Times New Roman"/>
          <w:sz w:val="22"/>
          <w:szCs w:val="22"/>
          <w:lang w:val="en-US" w:eastAsia="en-US"/>
        </w:rPr>
        <w:t>the latter showing</w:t>
      </w:r>
      <w:r w:rsidRPr="00D5665C">
        <w:rPr>
          <w:rFonts w:asciiTheme="minorHAnsi" w:eastAsia="MS PGothic" w:hAnsiTheme="minorHAnsi" w:cs="Times New Roman"/>
          <w:sz w:val="22"/>
          <w:szCs w:val="22"/>
          <w:lang w:val="en-US" w:eastAsia="en-US"/>
        </w:rPr>
        <w:t xml:space="preserve"> a maximal production of about 37 g/L of succinic acid a productivity of 0.9 g/L∙h on the pilot scale. Global mass balance calculations demonstrated a hydrolysis and fermentation efficiency of about 75%. </w:t>
      </w:r>
    </w:p>
    <w:tbl>
      <w:tblPr>
        <w:tblpPr w:leftFromText="141" w:rightFromText="141" w:vertAnchor="text" w:horzAnchor="margin" w:tblpXSpec="center" w:tblpY="175"/>
        <w:tblW w:w="6317" w:type="dxa"/>
        <w:tblCellMar>
          <w:left w:w="70" w:type="dxa"/>
          <w:right w:w="70" w:type="dxa"/>
        </w:tblCellMar>
        <w:tblLook w:val="04A0" w:firstRow="1" w:lastRow="0" w:firstColumn="1" w:lastColumn="0" w:noHBand="0" w:noVBand="1"/>
      </w:tblPr>
      <w:tblGrid>
        <w:gridCol w:w="581"/>
        <w:gridCol w:w="765"/>
        <w:gridCol w:w="932"/>
        <w:gridCol w:w="704"/>
        <w:gridCol w:w="831"/>
        <w:gridCol w:w="1252"/>
        <w:gridCol w:w="1252"/>
      </w:tblGrid>
      <w:tr w:rsidR="000D6F24" w:rsidRPr="006D0909" w14:paraId="63D0DAFA" w14:textId="77777777" w:rsidTr="000D6F24">
        <w:trPr>
          <w:trHeight w:val="1200"/>
        </w:trPr>
        <w:tc>
          <w:tcPr>
            <w:tcW w:w="581" w:type="dxa"/>
            <w:tcBorders>
              <w:top w:val="single" w:sz="4" w:space="0" w:color="auto"/>
              <w:left w:val="nil"/>
              <w:bottom w:val="single" w:sz="4" w:space="0" w:color="auto"/>
              <w:right w:val="nil"/>
            </w:tcBorders>
            <w:shd w:val="clear" w:color="auto" w:fill="auto"/>
            <w:hideMark/>
          </w:tcPr>
          <w:p w14:paraId="7F98B92E" w14:textId="77777777" w:rsidR="000D6F24" w:rsidRPr="00360002" w:rsidRDefault="000D6F24" w:rsidP="009D5894">
            <w:pPr>
              <w:spacing w:line="240" w:lineRule="auto"/>
              <w:rPr>
                <w:rFonts w:ascii="Calibri" w:hAnsi="Calibri"/>
                <w:color w:val="000000"/>
                <w:sz w:val="20"/>
                <w:lang w:val="en-US" w:eastAsia="it-IT"/>
              </w:rPr>
            </w:pPr>
            <w:r w:rsidRPr="00360002">
              <w:rPr>
                <w:rFonts w:ascii="Calibri" w:hAnsi="Calibri"/>
                <w:color w:val="000000"/>
                <w:sz w:val="20"/>
                <w:lang w:val="en-US" w:eastAsia="it-IT"/>
              </w:rPr>
              <w:t> </w:t>
            </w:r>
          </w:p>
        </w:tc>
        <w:tc>
          <w:tcPr>
            <w:tcW w:w="765" w:type="dxa"/>
            <w:tcBorders>
              <w:top w:val="single" w:sz="4" w:space="0" w:color="auto"/>
              <w:left w:val="nil"/>
              <w:bottom w:val="single" w:sz="4" w:space="0" w:color="auto"/>
              <w:right w:val="nil"/>
            </w:tcBorders>
            <w:shd w:val="clear" w:color="auto" w:fill="auto"/>
            <w:hideMark/>
          </w:tcPr>
          <w:p w14:paraId="21050516" w14:textId="77777777" w:rsidR="000D6F24" w:rsidRPr="006D0909" w:rsidRDefault="000D6F24" w:rsidP="009D5894">
            <w:pPr>
              <w:spacing w:line="240" w:lineRule="auto"/>
              <w:jc w:val="center"/>
              <w:rPr>
                <w:rFonts w:ascii="Calibri" w:hAnsi="Calibri"/>
                <w:color w:val="000000"/>
                <w:sz w:val="20"/>
                <w:lang w:eastAsia="it-IT"/>
              </w:rPr>
            </w:pPr>
            <w:r w:rsidRPr="006D0909">
              <w:rPr>
                <w:rFonts w:ascii="Calibri" w:hAnsi="Calibri"/>
                <w:color w:val="000000"/>
                <w:sz w:val="20"/>
                <w:lang w:eastAsia="it-IT"/>
              </w:rPr>
              <w:t>SA</w:t>
            </w:r>
          </w:p>
          <w:p w14:paraId="58A0DBB5" w14:textId="77777777" w:rsidR="000D6F24" w:rsidRPr="006D0909" w:rsidRDefault="000D6F24" w:rsidP="009D5894">
            <w:pPr>
              <w:spacing w:line="240" w:lineRule="auto"/>
              <w:jc w:val="center"/>
              <w:rPr>
                <w:rFonts w:ascii="Calibri" w:hAnsi="Calibri"/>
                <w:color w:val="000000"/>
                <w:sz w:val="20"/>
                <w:lang w:eastAsia="it-IT"/>
              </w:rPr>
            </w:pPr>
            <w:r w:rsidRPr="006D0909">
              <w:rPr>
                <w:rFonts w:ascii="Calibri" w:hAnsi="Calibri"/>
                <w:color w:val="000000"/>
                <w:sz w:val="20"/>
                <w:lang w:eastAsia="it-IT"/>
              </w:rPr>
              <w:t xml:space="preserve"> (g/L)</w:t>
            </w:r>
          </w:p>
        </w:tc>
        <w:tc>
          <w:tcPr>
            <w:tcW w:w="932" w:type="dxa"/>
            <w:tcBorders>
              <w:top w:val="single" w:sz="4" w:space="0" w:color="auto"/>
              <w:left w:val="nil"/>
              <w:bottom w:val="single" w:sz="4" w:space="0" w:color="auto"/>
              <w:right w:val="nil"/>
            </w:tcBorders>
          </w:tcPr>
          <w:p w14:paraId="2E1989DE" w14:textId="77777777" w:rsidR="000D6F24" w:rsidRPr="000D6F24" w:rsidRDefault="000D6F24" w:rsidP="009D5894">
            <w:pPr>
              <w:spacing w:line="240" w:lineRule="auto"/>
              <w:jc w:val="center"/>
              <w:rPr>
                <w:rFonts w:ascii="Calibri" w:hAnsi="Calibri"/>
                <w:color w:val="000000"/>
                <w:sz w:val="20"/>
                <w:lang w:eastAsia="it-IT"/>
              </w:rPr>
            </w:pPr>
            <w:r w:rsidRPr="000D6F24">
              <w:rPr>
                <w:rFonts w:ascii="Calibri" w:hAnsi="Calibri"/>
                <w:color w:val="000000"/>
                <w:sz w:val="20"/>
                <w:lang w:eastAsia="it-IT"/>
              </w:rPr>
              <w:t>LA+FA/SA</w:t>
            </w:r>
          </w:p>
          <w:p w14:paraId="24CADEB2" w14:textId="77777777" w:rsidR="000D6F24" w:rsidRPr="000D6F24" w:rsidRDefault="000D6F24" w:rsidP="009D5894">
            <w:pPr>
              <w:spacing w:line="240" w:lineRule="auto"/>
              <w:jc w:val="center"/>
              <w:rPr>
                <w:rFonts w:ascii="Calibri" w:hAnsi="Calibri"/>
                <w:color w:val="000000"/>
                <w:sz w:val="20"/>
                <w:lang w:eastAsia="it-IT"/>
              </w:rPr>
            </w:pPr>
            <w:r w:rsidRPr="000D6F24">
              <w:rPr>
                <w:rFonts w:ascii="Calibri" w:hAnsi="Calibri"/>
                <w:color w:val="000000"/>
                <w:sz w:val="20"/>
                <w:lang w:eastAsia="it-IT"/>
              </w:rPr>
              <w:t>(g/g)</w:t>
            </w:r>
          </w:p>
        </w:tc>
        <w:tc>
          <w:tcPr>
            <w:tcW w:w="704" w:type="dxa"/>
            <w:tcBorders>
              <w:top w:val="single" w:sz="4" w:space="0" w:color="auto"/>
              <w:left w:val="nil"/>
              <w:bottom w:val="single" w:sz="4" w:space="0" w:color="auto"/>
              <w:right w:val="nil"/>
            </w:tcBorders>
          </w:tcPr>
          <w:p w14:paraId="15CE0C5D" w14:textId="77777777" w:rsidR="000D6F24" w:rsidRPr="000D6F24" w:rsidRDefault="000D6F24" w:rsidP="009D5894">
            <w:pPr>
              <w:spacing w:line="240" w:lineRule="auto"/>
              <w:jc w:val="center"/>
              <w:rPr>
                <w:rFonts w:ascii="Calibri" w:hAnsi="Calibri"/>
                <w:color w:val="000000"/>
                <w:sz w:val="20"/>
                <w:lang w:eastAsia="it-IT"/>
              </w:rPr>
            </w:pPr>
            <w:r w:rsidRPr="000D6F24">
              <w:rPr>
                <w:rFonts w:ascii="Calibri" w:hAnsi="Calibri"/>
                <w:color w:val="000000"/>
                <w:sz w:val="20"/>
                <w:lang w:eastAsia="it-IT"/>
              </w:rPr>
              <w:t>AA/SA (g/g)</w:t>
            </w:r>
          </w:p>
        </w:tc>
        <w:tc>
          <w:tcPr>
            <w:tcW w:w="831" w:type="dxa"/>
            <w:tcBorders>
              <w:top w:val="single" w:sz="4" w:space="0" w:color="auto"/>
              <w:left w:val="nil"/>
              <w:bottom w:val="single" w:sz="4" w:space="0" w:color="auto"/>
              <w:right w:val="nil"/>
            </w:tcBorders>
          </w:tcPr>
          <w:p w14:paraId="1CBCFA05" w14:textId="77777777" w:rsidR="000D6F24" w:rsidRPr="000D6F24" w:rsidRDefault="000D6F24" w:rsidP="009D5894">
            <w:pPr>
              <w:spacing w:line="240" w:lineRule="auto"/>
              <w:jc w:val="center"/>
              <w:rPr>
                <w:rFonts w:ascii="Calibri" w:hAnsi="Calibri"/>
                <w:color w:val="000000"/>
                <w:sz w:val="20"/>
                <w:lang w:eastAsia="it-IT"/>
              </w:rPr>
            </w:pPr>
            <w:r w:rsidRPr="000D6F24">
              <w:rPr>
                <w:rFonts w:ascii="Calibri" w:hAnsi="Calibri"/>
                <w:color w:val="000000"/>
                <w:sz w:val="20"/>
                <w:lang w:eastAsia="it-IT"/>
              </w:rPr>
              <w:t>SA/TA (g/g)</w:t>
            </w:r>
          </w:p>
          <w:p w14:paraId="18D04811" w14:textId="77777777" w:rsidR="000D6F24" w:rsidRPr="000D6F24" w:rsidRDefault="000D6F24" w:rsidP="009D5894">
            <w:pPr>
              <w:spacing w:line="240" w:lineRule="auto"/>
              <w:jc w:val="center"/>
              <w:rPr>
                <w:rFonts w:ascii="Calibri" w:hAnsi="Calibri"/>
                <w:color w:val="000000"/>
                <w:sz w:val="20"/>
                <w:lang w:eastAsia="it-IT"/>
              </w:rPr>
            </w:pPr>
          </w:p>
        </w:tc>
        <w:tc>
          <w:tcPr>
            <w:tcW w:w="1252" w:type="dxa"/>
            <w:tcBorders>
              <w:top w:val="single" w:sz="4" w:space="0" w:color="auto"/>
              <w:left w:val="nil"/>
              <w:bottom w:val="single" w:sz="4" w:space="0" w:color="auto"/>
              <w:right w:val="nil"/>
            </w:tcBorders>
          </w:tcPr>
          <w:p w14:paraId="09697B23" w14:textId="77777777" w:rsidR="000D6F24" w:rsidRPr="000D6F24" w:rsidRDefault="000D6F24" w:rsidP="009D5894">
            <w:pPr>
              <w:spacing w:line="240" w:lineRule="auto"/>
              <w:jc w:val="center"/>
              <w:rPr>
                <w:rFonts w:ascii="Calibri" w:hAnsi="Calibri"/>
                <w:color w:val="000000"/>
                <w:sz w:val="20"/>
                <w:lang w:eastAsia="it-IT"/>
              </w:rPr>
            </w:pPr>
            <w:r w:rsidRPr="000D6F24">
              <w:rPr>
                <w:rFonts w:ascii="Calibri" w:hAnsi="Calibri"/>
                <w:color w:val="000000"/>
                <w:sz w:val="20"/>
                <w:lang w:eastAsia="it-IT"/>
              </w:rPr>
              <w:t>TA/SA</w:t>
            </w:r>
          </w:p>
          <w:p w14:paraId="2EA5A1B7" w14:textId="77777777" w:rsidR="000D6F24" w:rsidRPr="000D6F24" w:rsidRDefault="000D6F24" w:rsidP="009D5894">
            <w:pPr>
              <w:spacing w:line="240" w:lineRule="auto"/>
              <w:jc w:val="center"/>
              <w:rPr>
                <w:rFonts w:ascii="Calibri" w:hAnsi="Calibri"/>
                <w:color w:val="000000"/>
                <w:sz w:val="20"/>
                <w:lang w:eastAsia="it-IT"/>
              </w:rPr>
            </w:pPr>
            <w:r w:rsidRPr="000D6F24">
              <w:rPr>
                <w:rFonts w:ascii="Calibri" w:hAnsi="Calibri"/>
                <w:color w:val="000000"/>
                <w:sz w:val="20"/>
                <w:lang w:eastAsia="it-IT"/>
              </w:rPr>
              <w:t>(g/g)</w:t>
            </w:r>
          </w:p>
        </w:tc>
        <w:tc>
          <w:tcPr>
            <w:tcW w:w="1252" w:type="dxa"/>
            <w:tcBorders>
              <w:top w:val="single" w:sz="4" w:space="0" w:color="auto"/>
              <w:left w:val="nil"/>
              <w:bottom w:val="single" w:sz="4" w:space="0" w:color="auto"/>
              <w:right w:val="nil"/>
            </w:tcBorders>
            <w:shd w:val="clear" w:color="auto" w:fill="auto"/>
            <w:hideMark/>
          </w:tcPr>
          <w:p w14:paraId="2339C592" w14:textId="77777777" w:rsidR="000D6F24" w:rsidRPr="006D0909" w:rsidRDefault="000D6F24" w:rsidP="009D5894">
            <w:pPr>
              <w:spacing w:line="240" w:lineRule="auto"/>
              <w:jc w:val="center"/>
              <w:rPr>
                <w:rFonts w:ascii="Calibri" w:hAnsi="Calibri"/>
                <w:color w:val="000000"/>
                <w:sz w:val="20"/>
                <w:lang w:eastAsia="it-IT"/>
              </w:rPr>
            </w:pPr>
            <w:r w:rsidRPr="006D0909">
              <w:rPr>
                <w:rFonts w:ascii="Calibri" w:hAnsi="Calibri"/>
                <w:color w:val="000000"/>
                <w:sz w:val="20"/>
                <w:lang w:eastAsia="it-IT"/>
              </w:rPr>
              <w:t>Fermentation efficiency</w:t>
            </w:r>
          </w:p>
          <w:p w14:paraId="7A5D2E94" w14:textId="77777777" w:rsidR="000D6F24" w:rsidRPr="006D0909" w:rsidRDefault="000D6F24" w:rsidP="009D5894">
            <w:pPr>
              <w:spacing w:line="240" w:lineRule="auto"/>
              <w:jc w:val="center"/>
              <w:rPr>
                <w:rFonts w:ascii="Calibri" w:hAnsi="Calibri"/>
                <w:color w:val="000000"/>
                <w:sz w:val="20"/>
                <w:lang w:eastAsia="it-IT"/>
              </w:rPr>
            </w:pPr>
            <w:r w:rsidRPr="006D0909">
              <w:rPr>
                <w:rFonts w:ascii="Calibri" w:hAnsi="Calibri"/>
                <w:color w:val="000000"/>
                <w:sz w:val="20"/>
                <w:lang w:eastAsia="it-IT"/>
              </w:rPr>
              <w:t>(%)</w:t>
            </w:r>
          </w:p>
        </w:tc>
      </w:tr>
      <w:tr w:rsidR="000D6F24" w:rsidRPr="006D0909" w14:paraId="1D7F5894" w14:textId="77777777" w:rsidTr="000D6F24">
        <w:trPr>
          <w:trHeight w:val="300"/>
        </w:trPr>
        <w:tc>
          <w:tcPr>
            <w:tcW w:w="581" w:type="dxa"/>
            <w:tcBorders>
              <w:top w:val="nil"/>
              <w:left w:val="nil"/>
              <w:bottom w:val="nil"/>
              <w:right w:val="nil"/>
            </w:tcBorders>
            <w:shd w:val="clear" w:color="auto" w:fill="auto"/>
            <w:noWrap/>
            <w:vAlign w:val="bottom"/>
            <w:hideMark/>
          </w:tcPr>
          <w:p w14:paraId="5E6D825C" w14:textId="77777777" w:rsidR="000D6F24" w:rsidRPr="006D0909" w:rsidRDefault="000D6F24" w:rsidP="009D5894">
            <w:pPr>
              <w:spacing w:line="240" w:lineRule="auto"/>
              <w:rPr>
                <w:rFonts w:ascii="Calibri" w:hAnsi="Calibri"/>
                <w:color w:val="000000"/>
                <w:sz w:val="20"/>
                <w:lang w:eastAsia="it-IT"/>
              </w:rPr>
            </w:pPr>
            <w:r w:rsidRPr="006D0909">
              <w:rPr>
                <w:rFonts w:ascii="Calibri" w:hAnsi="Calibri"/>
                <w:color w:val="000000"/>
                <w:sz w:val="20"/>
                <w:lang w:eastAsia="it-IT"/>
              </w:rPr>
              <w:t>FB1</w:t>
            </w:r>
          </w:p>
        </w:tc>
        <w:tc>
          <w:tcPr>
            <w:tcW w:w="765" w:type="dxa"/>
            <w:tcBorders>
              <w:top w:val="nil"/>
              <w:left w:val="nil"/>
              <w:bottom w:val="nil"/>
              <w:right w:val="nil"/>
            </w:tcBorders>
            <w:shd w:val="clear" w:color="auto" w:fill="auto"/>
            <w:noWrap/>
            <w:vAlign w:val="bottom"/>
            <w:hideMark/>
          </w:tcPr>
          <w:p w14:paraId="2A2EDF96" w14:textId="77777777" w:rsidR="000D6F24" w:rsidRPr="006D0909" w:rsidRDefault="000D6F24" w:rsidP="009D5894">
            <w:pPr>
              <w:spacing w:line="240" w:lineRule="auto"/>
              <w:jc w:val="center"/>
              <w:rPr>
                <w:rFonts w:ascii="Calibri" w:hAnsi="Calibri"/>
                <w:color w:val="000000"/>
                <w:sz w:val="20"/>
                <w:lang w:eastAsia="it-IT"/>
              </w:rPr>
            </w:pPr>
            <w:r w:rsidRPr="006D0909">
              <w:rPr>
                <w:rFonts w:ascii="Calibri" w:hAnsi="Calibri"/>
                <w:color w:val="000000"/>
                <w:sz w:val="20"/>
                <w:lang w:eastAsia="it-IT"/>
              </w:rPr>
              <w:t>26</w:t>
            </w:r>
            <w:r>
              <w:rPr>
                <w:rFonts w:ascii="Calibri" w:hAnsi="Calibri"/>
                <w:color w:val="000000"/>
                <w:sz w:val="20"/>
                <w:lang w:eastAsia="it-IT"/>
              </w:rPr>
              <w:t>.</w:t>
            </w:r>
            <w:r w:rsidRPr="006D0909">
              <w:rPr>
                <w:rFonts w:ascii="Calibri" w:hAnsi="Calibri"/>
                <w:color w:val="000000"/>
                <w:sz w:val="20"/>
                <w:lang w:eastAsia="it-IT"/>
              </w:rPr>
              <w:t>5</w:t>
            </w:r>
          </w:p>
        </w:tc>
        <w:tc>
          <w:tcPr>
            <w:tcW w:w="932" w:type="dxa"/>
            <w:tcBorders>
              <w:top w:val="nil"/>
              <w:left w:val="nil"/>
              <w:bottom w:val="nil"/>
              <w:right w:val="nil"/>
            </w:tcBorders>
          </w:tcPr>
          <w:p w14:paraId="63444100" w14:textId="77777777" w:rsidR="000D6F24" w:rsidRPr="000D6F24" w:rsidRDefault="000D6F24" w:rsidP="009D5894">
            <w:pPr>
              <w:spacing w:line="240" w:lineRule="auto"/>
              <w:jc w:val="center"/>
              <w:rPr>
                <w:rFonts w:ascii="Calibri" w:hAnsi="Calibri"/>
                <w:color w:val="000000"/>
                <w:sz w:val="20"/>
                <w:lang w:eastAsia="it-IT"/>
              </w:rPr>
            </w:pPr>
            <w:r w:rsidRPr="000D6F24">
              <w:rPr>
                <w:rFonts w:ascii="Calibri" w:hAnsi="Calibri"/>
                <w:color w:val="000000"/>
                <w:sz w:val="20"/>
                <w:lang w:eastAsia="it-IT"/>
              </w:rPr>
              <w:t>0.30</w:t>
            </w:r>
          </w:p>
        </w:tc>
        <w:tc>
          <w:tcPr>
            <w:tcW w:w="704" w:type="dxa"/>
            <w:tcBorders>
              <w:top w:val="nil"/>
              <w:left w:val="nil"/>
              <w:bottom w:val="nil"/>
              <w:right w:val="nil"/>
            </w:tcBorders>
          </w:tcPr>
          <w:p w14:paraId="4C7E9017" w14:textId="77777777" w:rsidR="000D6F24" w:rsidRPr="000D6F24" w:rsidRDefault="000D6F24" w:rsidP="009D5894">
            <w:pPr>
              <w:spacing w:line="240" w:lineRule="auto"/>
              <w:jc w:val="center"/>
              <w:rPr>
                <w:rFonts w:ascii="Calibri" w:hAnsi="Calibri"/>
                <w:color w:val="000000"/>
                <w:sz w:val="20"/>
                <w:lang w:eastAsia="it-IT"/>
              </w:rPr>
            </w:pPr>
            <w:r w:rsidRPr="000D6F24">
              <w:rPr>
                <w:rFonts w:ascii="Calibri" w:hAnsi="Calibri"/>
                <w:color w:val="000000"/>
                <w:sz w:val="20"/>
                <w:lang w:eastAsia="it-IT"/>
              </w:rPr>
              <w:t>0.18</w:t>
            </w:r>
          </w:p>
        </w:tc>
        <w:tc>
          <w:tcPr>
            <w:tcW w:w="831" w:type="dxa"/>
            <w:tcBorders>
              <w:top w:val="nil"/>
              <w:left w:val="nil"/>
              <w:bottom w:val="nil"/>
              <w:right w:val="nil"/>
            </w:tcBorders>
          </w:tcPr>
          <w:p w14:paraId="2E6A9C32" w14:textId="77777777" w:rsidR="000D6F24" w:rsidRPr="000D6F24" w:rsidRDefault="000D6F24" w:rsidP="009D5894">
            <w:pPr>
              <w:spacing w:line="240" w:lineRule="auto"/>
              <w:jc w:val="center"/>
              <w:rPr>
                <w:rFonts w:ascii="Calibri" w:hAnsi="Calibri"/>
                <w:color w:val="000000"/>
                <w:sz w:val="20"/>
                <w:lang w:eastAsia="it-IT"/>
              </w:rPr>
            </w:pPr>
            <w:r w:rsidRPr="000D6F24">
              <w:rPr>
                <w:rFonts w:ascii="Calibri" w:hAnsi="Calibri"/>
                <w:color w:val="000000"/>
                <w:sz w:val="20"/>
                <w:lang w:eastAsia="it-IT"/>
              </w:rPr>
              <w:t>2.06</w:t>
            </w:r>
          </w:p>
        </w:tc>
        <w:tc>
          <w:tcPr>
            <w:tcW w:w="1252" w:type="dxa"/>
            <w:tcBorders>
              <w:top w:val="nil"/>
              <w:left w:val="nil"/>
              <w:bottom w:val="nil"/>
              <w:right w:val="nil"/>
            </w:tcBorders>
          </w:tcPr>
          <w:p w14:paraId="4AF6FBD6" w14:textId="77777777" w:rsidR="000D6F24" w:rsidRPr="000D6F24" w:rsidRDefault="000D6F24" w:rsidP="009D5894">
            <w:pPr>
              <w:spacing w:line="240" w:lineRule="auto"/>
              <w:jc w:val="center"/>
              <w:rPr>
                <w:rFonts w:ascii="Calibri" w:hAnsi="Calibri"/>
                <w:color w:val="000000"/>
                <w:sz w:val="20"/>
                <w:lang w:eastAsia="it-IT"/>
              </w:rPr>
            </w:pPr>
            <w:r w:rsidRPr="000D6F24">
              <w:rPr>
                <w:rFonts w:ascii="Calibri" w:hAnsi="Calibri"/>
                <w:color w:val="000000"/>
                <w:sz w:val="20"/>
                <w:lang w:eastAsia="it-IT"/>
              </w:rPr>
              <w:t>0.48</w:t>
            </w:r>
          </w:p>
        </w:tc>
        <w:tc>
          <w:tcPr>
            <w:tcW w:w="1252" w:type="dxa"/>
            <w:tcBorders>
              <w:top w:val="nil"/>
              <w:left w:val="nil"/>
              <w:bottom w:val="nil"/>
              <w:right w:val="nil"/>
            </w:tcBorders>
            <w:shd w:val="clear" w:color="auto" w:fill="auto"/>
            <w:noWrap/>
            <w:vAlign w:val="bottom"/>
            <w:hideMark/>
          </w:tcPr>
          <w:p w14:paraId="00281A23" w14:textId="77777777" w:rsidR="000D6F24" w:rsidRPr="006D0909" w:rsidRDefault="000D6F24" w:rsidP="009D5894">
            <w:pPr>
              <w:spacing w:line="240" w:lineRule="auto"/>
              <w:jc w:val="center"/>
              <w:rPr>
                <w:rFonts w:ascii="Calibri" w:hAnsi="Calibri"/>
                <w:color w:val="000000"/>
                <w:sz w:val="20"/>
                <w:lang w:eastAsia="it-IT"/>
              </w:rPr>
            </w:pPr>
            <w:r w:rsidRPr="006D0909">
              <w:rPr>
                <w:rFonts w:ascii="Calibri" w:hAnsi="Calibri"/>
                <w:color w:val="000000"/>
                <w:sz w:val="20"/>
                <w:lang w:eastAsia="it-IT"/>
              </w:rPr>
              <w:t>46</w:t>
            </w:r>
            <w:r>
              <w:rPr>
                <w:rFonts w:ascii="Calibri" w:hAnsi="Calibri"/>
                <w:color w:val="000000"/>
                <w:sz w:val="20"/>
                <w:lang w:eastAsia="it-IT"/>
              </w:rPr>
              <w:t>.</w:t>
            </w:r>
            <w:r w:rsidRPr="006D0909">
              <w:rPr>
                <w:rFonts w:ascii="Calibri" w:hAnsi="Calibri"/>
                <w:color w:val="000000"/>
                <w:sz w:val="20"/>
                <w:lang w:eastAsia="it-IT"/>
              </w:rPr>
              <w:t>9</w:t>
            </w:r>
          </w:p>
        </w:tc>
      </w:tr>
      <w:tr w:rsidR="000D6F24" w:rsidRPr="006D0909" w14:paraId="51ACF19A" w14:textId="77777777" w:rsidTr="000D6F24">
        <w:trPr>
          <w:trHeight w:val="300"/>
        </w:trPr>
        <w:tc>
          <w:tcPr>
            <w:tcW w:w="581" w:type="dxa"/>
            <w:tcBorders>
              <w:top w:val="nil"/>
              <w:left w:val="nil"/>
              <w:bottom w:val="nil"/>
              <w:right w:val="nil"/>
            </w:tcBorders>
            <w:shd w:val="clear" w:color="auto" w:fill="auto"/>
            <w:noWrap/>
            <w:vAlign w:val="bottom"/>
            <w:hideMark/>
          </w:tcPr>
          <w:p w14:paraId="3975F185" w14:textId="77777777" w:rsidR="000D6F24" w:rsidRPr="006D0909" w:rsidRDefault="000D6F24" w:rsidP="009D5894">
            <w:pPr>
              <w:spacing w:line="240" w:lineRule="auto"/>
              <w:rPr>
                <w:rFonts w:ascii="Calibri" w:hAnsi="Calibri"/>
                <w:color w:val="000000"/>
                <w:sz w:val="20"/>
                <w:lang w:eastAsia="it-IT"/>
              </w:rPr>
            </w:pPr>
            <w:r w:rsidRPr="006D0909">
              <w:rPr>
                <w:rFonts w:ascii="Calibri" w:hAnsi="Calibri"/>
                <w:color w:val="000000"/>
                <w:sz w:val="20"/>
                <w:lang w:eastAsia="it-IT"/>
              </w:rPr>
              <w:t>FB2</w:t>
            </w:r>
          </w:p>
        </w:tc>
        <w:tc>
          <w:tcPr>
            <w:tcW w:w="765" w:type="dxa"/>
            <w:tcBorders>
              <w:top w:val="nil"/>
              <w:left w:val="nil"/>
              <w:bottom w:val="nil"/>
              <w:right w:val="nil"/>
            </w:tcBorders>
            <w:shd w:val="clear" w:color="auto" w:fill="auto"/>
            <w:noWrap/>
            <w:vAlign w:val="bottom"/>
            <w:hideMark/>
          </w:tcPr>
          <w:p w14:paraId="7CBF55AD" w14:textId="77777777" w:rsidR="000D6F24" w:rsidRPr="006D0909" w:rsidRDefault="000D6F24" w:rsidP="009D5894">
            <w:pPr>
              <w:spacing w:line="240" w:lineRule="auto"/>
              <w:jc w:val="center"/>
              <w:rPr>
                <w:rFonts w:ascii="Calibri" w:hAnsi="Calibri"/>
                <w:color w:val="000000"/>
                <w:sz w:val="20"/>
                <w:lang w:eastAsia="it-IT"/>
              </w:rPr>
            </w:pPr>
            <w:r w:rsidRPr="006D0909">
              <w:rPr>
                <w:rFonts w:ascii="Calibri" w:hAnsi="Calibri"/>
                <w:color w:val="000000"/>
                <w:sz w:val="20"/>
                <w:lang w:eastAsia="it-IT"/>
              </w:rPr>
              <w:t>21</w:t>
            </w:r>
            <w:r>
              <w:rPr>
                <w:rFonts w:ascii="Calibri" w:hAnsi="Calibri"/>
                <w:color w:val="000000"/>
                <w:sz w:val="20"/>
                <w:lang w:eastAsia="it-IT"/>
              </w:rPr>
              <w:t>.</w:t>
            </w:r>
            <w:r w:rsidRPr="006D0909">
              <w:rPr>
                <w:rFonts w:ascii="Calibri" w:hAnsi="Calibri"/>
                <w:color w:val="000000"/>
                <w:sz w:val="20"/>
                <w:lang w:eastAsia="it-IT"/>
              </w:rPr>
              <w:t>0</w:t>
            </w:r>
          </w:p>
        </w:tc>
        <w:tc>
          <w:tcPr>
            <w:tcW w:w="932" w:type="dxa"/>
            <w:tcBorders>
              <w:top w:val="nil"/>
              <w:left w:val="nil"/>
              <w:bottom w:val="nil"/>
              <w:right w:val="nil"/>
            </w:tcBorders>
          </w:tcPr>
          <w:p w14:paraId="5346D04C" w14:textId="77777777" w:rsidR="000D6F24" w:rsidRPr="000D6F24" w:rsidRDefault="000D6F24" w:rsidP="009D5894">
            <w:pPr>
              <w:spacing w:line="240" w:lineRule="auto"/>
              <w:jc w:val="center"/>
              <w:rPr>
                <w:rFonts w:ascii="Calibri" w:hAnsi="Calibri"/>
                <w:color w:val="000000"/>
                <w:sz w:val="20"/>
                <w:lang w:eastAsia="it-IT"/>
              </w:rPr>
            </w:pPr>
            <w:r w:rsidRPr="000D6F24">
              <w:rPr>
                <w:rFonts w:ascii="Calibri" w:hAnsi="Calibri"/>
                <w:color w:val="000000"/>
                <w:sz w:val="20"/>
                <w:lang w:eastAsia="it-IT"/>
              </w:rPr>
              <w:t>0.36</w:t>
            </w:r>
          </w:p>
        </w:tc>
        <w:tc>
          <w:tcPr>
            <w:tcW w:w="704" w:type="dxa"/>
            <w:tcBorders>
              <w:top w:val="nil"/>
              <w:left w:val="nil"/>
              <w:bottom w:val="nil"/>
              <w:right w:val="nil"/>
            </w:tcBorders>
          </w:tcPr>
          <w:p w14:paraId="5EB1D697" w14:textId="77777777" w:rsidR="000D6F24" w:rsidRPr="000D6F24" w:rsidRDefault="000D6F24" w:rsidP="009D5894">
            <w:pPr>
              <w:spacing w:line="240" w:lineRule="auto"/>
              <w:jc w:val="center"/>
              <w:rPr>
                <w:rFonts w:ascii="Calibri" w:hAnsi="Calibri"/>
                <w:color w:val="000000"/>
                <w:sz w:val="20"/>
                <w:lang w:eastAsia="it-IT"/>
              </w:rPr>
            </w:pPr>
            <w:r w:rsidRPr="000D6F24">
              <w:rPr>
                <w:rFonts w:ascii="Calibri" w:hAnsi="Calibri"/>
                <w:color w:val="000000"/>
                <w:sz w:val="20"/>
                <w:lang w:eastAsia="it-IT"/>
              </w:rPr>
              <w:t>0.22</w:t>
            </w:r>
          </w:p>
        </w:tc>
        <w:tc>
          <w:tcPr>
            <w:tcW w:w="831" w:type="dxa"/>
            <w:tcBorders>
              <w:top w:val="nil"/>
              <w:left w:val="nil"/>
              <w:bottom w:val="nil"/>
              <w:right w:val="nil"/>
            </w:tcBorders>
          </w:tcPr>
          <w:p w14:paraId="678236AB" w14:textId="77777777" w:rsidR="000D6F24" w:rsidRPr="000D6F24" w:rsidRDefault="000D6F24" w:rsidP="009D5894">
            <w:pPr>
              <w:spacing w:line="240" w:lineRule="auto"/>
              <w:jc w:val="center"/>
              <w:rPr>
                <w:rFonts w:ascii="Calibri" w:hAnsi="Calibri"/>
                <w:color w:val="000000"/>
                <w:sz w:val="20"/>
                <w:lang w:eastAsia="it-IT"/>
              </w:rPr>
            </w:pPr>
            <w:r w:rsidRPr="000D6F24">
              <w:rPr>
                <w:rFonts w:ascii="Calibri" w:hAnsi="Calibri"/>
                <w:color w:val="000000"/>
                <w:sz w:val="20"/>
                <w:lang w:eastAsia="it-IT"/>
              </w:rPr>
              <w:t>1.77</w:t>
            </w:r>
          </w:p>
        </w:tc>
        <w:tc>
          <w:tcPr>
            <w:tcW w:w="1252" w:type="dxa"/>
            <w:tcBorders>
              <w:top w:val="nil"/>
              <w:left w:val="nil"/>
              <w:bottom w:val="nil"/>
              <w:right w:val="nil"/>
            </w:tcBorders>
          </w:tcPr>
          <w:p w14:paraId="097839D5" w14:textId="77777777" w:rsidR="000D6F24" w:rsidRPr="000D6F24" w:rsidRDefault="000D6F24" w:rsidP="009D5894">
            <w:pPr>
              <w:spacing w:line="240" w:lineRule="auto"/>
              <w:jc w:val="center"/>
              <w:rPr>
                <w:rFonts w:ascii="Calibri" w:hAnsi="Calibri"/>
                <w:color w:val="000000"/>
                <w:sz w:val="20"/>
                <w:lang w:eastAsia="it-IT"/>
              </w:rPr>
            </w:pPr>
            <w:r w:rsidRPr="000D6F24">
              <w:rPr>
                <w:rFonts w:ascii="Calibri" w:hAnsi="Calibri"/>
                <w:color w:val="000000"/>
                <w:sz w:val="20"/>
                <w:lang w:eastAsia="it-IT"/>
              </w:rPr>
              <w:t>0.56</w:t>
            </w:r>
          </w:p>
        </w:tc>
        <w:tc>
          <w:tcPr>
            <w:tcW w:w="1252" w:type="dxa"/>
            <w:tcBorders>
              <w:top w:val="nil"/>
              <w:left w:val="nil"/>
              <w:bottom w:val="nil"/>
              <w:right w:val="nil"/>
            </w:tcBorders>
            <w:shd w:val="clear" w:color="auto" w:fill="auto"/>
            <w:noWrap/>
            <w:vAlign w:val="bottom"/>
            <w:hideMark/>
          </w:tcPr>
          <w:p w14:paraId="644F4F95" w14:textId="77777777" w:rsidR="000D6F24" w:rsidRPr="006D0909" w:rsidRDefault="000D6F24" w:rsidP="009D5894">
            <w:pPr>
              <w:spacing w:line="240" w:lineRule="auto"/>
              <w:jc w:val="center"/>
              <w:rPr>
                <w:rFonts w:ascii="Calibri" w:hAnsi="Calibri"/>
                <w:color w:val="000000"/>
                <w:sz w:val="20"/>
                <w:lang w:eastAsia="it-IT"/>
              </w:rPr>
            </w:pPr>
            <w:r w:rsidRPr="006D0909">
              <w:rPr>
                <w:rFonts w:ascii="Calibri" w:hAnsi="Calibri"/>
                <w:color w:val="000000"/>
                <w:sz w:val="20"/>
                <w:lang w:eastAsia="it-IT"/>
              </w:rPr>
              <w:t>67</w:t>
            </w:r>
            <w:r>
              <w:rPr>
                <w:rFonts w:ascii="Calibri" w:hAnsi="Calibri"/>
                <w:color w:val="000000"/>
                <w:sz w:val="20"/>
                <w:lang w:eastAsia="it-IT"/>
              </w:rPr>
              <w:t>.</w:t>
            </w:r>
            <w:r w:rsidRPr="006D0909">
              <w:rPr>
                <w:rFonts w:ascii="Calibri" w:hAnsi="Calibri"/>
                <w:color w:val="000000"/>
                <w:sz w:val="20"/>
                <w:lang w:eastAsia="it-IT"/>
              </w:rPr>
              <w:t>0</w:t>
            </w:r>
          </w:p>
        </w:tc>
      </w:tr>
      <w:tr w:rsidR="000D6F24" w:rsidRPr="006D0909" w14:paraId="3F09744F" w14:textId="77777777" w:rsidTr="000D6F24">
        <w:trPr>
          <w:trHeight w:val="300"/>
        </w:trPr>
        <w:tc>
          <w:tcPr>
            <w:tcW w:w="581" w:type="dxa"/>
            <w:tcBorders>
              <w:top w:val="nil"/>
              <w:left w:val="nil"/>
              <w:bottom w:val="nil"/>
              <w:right w:val="nil"/>
            </w:tcBorders>
            <w:shd w:val="clear" w:color="auto" w:fill="auto"/>
            <w:noWrap/>
            <w:vAlign w:val="bottom"/>
            <w:hideMark/>
          </w:tcPr>
          <w:p w14:paraId="72BD7F0D" w14:textId="77777777" w:rsidR="000D6F24" w:rsidRPr="006D0909" w:rsidRDefault="000D6F24" w:rsidP="009D5894">
            <w:pPr>
              <w:spacing w:line="240" w:lineRule="auto"/>
              <w:rPr>
                <w:rFonts w:ascii="Calibri" w:hAnsi="Calibri"/>
                <w:color w:val="000000"/>
                <w:sz w:val="20"/>
                <w:lang w:eastAsia="it-IT"/>
              </w:rPr>
            </w:pPr>
            <w:r w:rsidRPr="006D0909">
              <w:rPr>
                <w:rFonts w:ascii="Calibri" w:hAnsi="Calibri"/>
                <w:color w:val="000000"/>
                <w:sz w:val="20"/>
                <w:lang w:eastAsia="it-IT"/>
              </w:rPr>
              <w:t>FB3</w:t>
            </w:r>
          </w:p>
        </w:tc>
        <w:tc>
          <w:tcPr>
            <w:tcW w:w="765" w:type="dxa"/>
            <w:tcBorders>
              <w:top w:val="nil"/>
              <w:left w:val="nil"/>
              <w:bottom w:val="nil"/>
              <w:right w:val="nil"/>
            </w:tcBorders>
            <w:shd w:val="clear" w:color="auto" w:fill="auto"/>
            <w:noWrap/>
            <w:vAlign w:val="bottom"/>
            <w:hideMark/>
          </w:tcPr>
          <w:p w14:paraId="6AC01B51" w14:textId="77777777" w:rsidR="000D6F24" w:rsidRPr="006D0909" w:rsidRDefault="000D6F24" w:rsidP="009D5894">
            <w:pPr>
              <w:spacing w:line="240" w:lineRule="auto"/>
              <w:jc w:val="center"/>
              <w:rPr>
                <w:rFonts w:ascii="Calibri" w:hAnsi="Calibri"/>
                <w:color w:val="000000"/>
                <w:sz w:val="20"/>
                <w:lang w:eastAsia="it-IT"/>
              </w:rPr>
            </w:pPr>
            <w:r w:rsidRPr="006D0909">
              <w:rPr>
                <w:rFonts w:ascii="Calibri" w:hAnsi="Calibri"/>
                <w:color w:val="000000"/>
                <w:sz w:val="20"/>
                <w:lang w:eastAsia="it-IT"/>
              </w:rPr>
              <w:t>24</w:t>
            </w:r>
            <w:r>
              <w:rPr>
                <w:rFonts w:ascii="Calibri" w:hAnsi="Calibri"/>
                <w:color w:val="000000"/>
                <w:sz w:val="20"/>
                <w:lang w:eastAsia="it-IT"/>
              </w:rPr>
              <w:t>.</w:t>
            </w:r>
            <w:r w:rsidRPr="006D0909">
              <w:rPr>
                <w:rFonts w:ascii="Calibri" w:hAnsi="Calibri"/>
                <w:color w:val="000000"/>
                <w:sz w:val="20"/>
                <w:lang w:eastAsia="it-IT"/>
              </w:rPr>
              <w:t>0</w:t>
            </w:r>
          </w:p>
        </w:tc>
        <w:tc>
          <w:tcPr>
            <w:tcW w:w="932" w:type="dxa"/>
            <w:tcBorders>
              <w:top w:val="nil"/>
              <w:left w:val="nil"/>
              <w:bottom w:val="nil"/>
              <w:right w:val="nil"/>
            </w:tcBorders>
          </w:tcPr>
          <w:p w14:paraId="66E4ED88" w14:textId="77777777" w:rsidR="000D6F24" w:rsidRPr="000D6F24" w:rsidRDefault="000D6F24" w:rsidP="009D5894">
            <w:pPr>
              <w:spacing w:line="240" w:lineRule="auto"/>
              <w:jc w:val="center"/>
              <w:rPr>
                <w:rFonts w:ascii="Calibri" w:hAnsi="Calibri"/>
                <w:color w:val="000000"/>
                <w:sz w:val="20"/>
                <w:lang w:eastAsia="it-IT"/>
              </w:rPr>
            </w:pPr>
            <w:r w:rsidRPr="000D6F24">
              <w:rPr>
                <w:rFonts w:ascii="Calibri" w:hAnsi="Calibri"/>
                <w:color w:val="000000"/>
                <w:sz w:val="20"/>
                <w:lang w:eastAsia="it-IT"/>
              </w:rPr>
              <w:t>0.22</w:t>
            </w:r>
          </w:p>
        </w:tc>
        <w:tc>
          <w:tcPr>
            <w:tcW w:w="704" w:type="dxa"/>
            <w:tcBorders>
              <w:top w:val="nil"/>
              <w:left w:val="nil"/>
              <w:bottom w:val="nil"/>
              <w:right w:val="nil"/>
            </w:tcBorders>
          </w:tcPr>
          <w:p w14:paraId="777964F4" w14:textId="77777777" w:rsidR="000D6F24" w:rsidRPr="000D6F24" w:rsidRDefault="000D6F24" w:rsidP="009D5894">
            <w:pPr>
              <w:spacing w:line="240" w:lineRule="auto"/>
              <w:jc w:val="center"/>
              <w:rPr>
                <w:rFonts w:ascii="Calibri" w:hAnsi="Calibri"/>
                <w:color w:val="000000"/>
                <w:sz w:val="20"/>
                <w:lang w:eastAsia="it-IT"/>
              </w:rPr>
            </w:pPr>
            <w:r w:rsidRPr="000D6F24">
              <w:rPr>
                <w:rFonts w:ascii="Calibri" w:hAnsi="Calibri"/>
                <w:color w:val="000000"/>
                <w:sz w:val="20"/>
                <w:lang w:eastAsia="it-IT"/>
              </w:rPr>
              <w:t>0.20</w:t>
            </w:r>
          </w:p>
        </w:tc>
        <w:tc>
          <w:tcPr>
            <w:tcW w:w="831" w:type="dxa"/>
            <w:tcBorders>
              <w:top w:val="nil"/>
              <w:left w:val="nil"/>
              <w:bottom w:val="nil"/>
              <w:right w:val="nil"/>
            </w:tcBorders>
          </w:tcPr>
          <w:p w14:paraId="0722C9B9" w14:textId="77777777" w:rsidR="000D6F24" w:rsidRPr="000D6F24" w:rsidRDefault="000D6F24" w:rsidP="009D5894">
            <w:pPr>
              <w:spacing w:line="240" w:lineRule="auto"/>
              <w:jc w:val="center"/>
              <w:rPr>
                <w:rFonts w:ascii="Calibri" w:hAnsi="Calibri"/>
                <w:color w:val="000000"/>
                <w:sz w:val="20"/>
                <w:lang w:eastAsia="it-IT"/>
              </w:rPr>
            </w:pPr>
            <w:r w:rsidRPr="000D6F24">
              <w:rPr>
                <w:rFonts w:ascii="Calibri" w:hAnsi="Calibri"/>
                <w:color w:val="000000"/>
                <w:sz w:val="20"/>
                <w:lang w:eastAsia="it-IT"/>
              </w:rPr>
              <w:t>2.37</w:t>
            </w:r>
          </w:p>
        </w:tc>
        <w:tc>
          <w:tcPr>
            <w:tcW w:w="1252" w:type="dxa"/>
            <w:tcBorders>
              <w:top w:val="nil"/>
              <w:left w:val="nil"/>
              <w:bottom w:val="nil"/>
              <w:right w:val="nil"/>
            </w:tcBorders>
          </w:tcPr>
          <w:p w14:paraId="5CA17308" w14:textId="77777777" w:rsidR="000D6F24" w:rsidRPr="000D6F24" w:rsidRDefault="000D6F24" w:rsidP="009D5894">
            <w:pPr>
              <w:spacing w:line="240" w:lineRule="auto"/>
              <w:jc w:val="center"/>
              <w:rPr>
                <w:rFonts w:ascii="Calibri" w:hAnsi="Calibri"/>
                <w:color w:val="000000"/>
                <w:sz w:val="20"/>
                <w:lang w:eastAsia="it-IT"/>
              </w:rPr>
            </w:pPr>
            <w:r w:rsidRPr="000D6F24">
              <w:rPr>
                <w:rFonts w:ascii="Calibri" w:hAnsi="Calibri"/>
                <w:color w:val="000000"/>
                <w:sz w:val="20"/>
                <w:lang w:eastAsia="it-IT"/>
              </w:rPr>
              <w:t>0.42</w:t>
            </w:r>
          </w:p>
        </w:tc>
        <w:tc>
          <w:tcPr>
            <w:tcW w:w="1252" w:type="dxa"/>
            <w:tcBorders>
              <w:top w:val="nil"/>
              <w:left w:val="nil"/>
              <w:bottom w:val="nil"/>
              <w:right w:val="nil"/>
            </w:tcBorders>
            <w:shd w:val="clear" w:color="auto" w:fill="auto"/>
            <w:noWrap/>
            <w:vAlign w:val="bottom"/>
            <w:hideMark/>
          </w:tcPr>
          <w:p w14:paraId="38C6D5EB" w14:textId="77777777" w:rsidR="000D6F24" w:rsidRPr="006D0909" w:rsidRDefault="000D6F24" w:rsidP="009D5894">
            <w:pPr>
              <w:spacing w:line="240" w:lineRule="auto"/>
              <w:jc w:val="center"/>
              <w:rPr>
                <w:rFonts w:ascii="Calibri" w:hAnsi="Calibri"/>
                <w:color w:val="000000"/>
                <w:sz w:val="20"/>
                <w:lang w:eastAsia="it-IT"/>
              </w:rPr>
            </w:pPr>
            <w:r w:rsidRPr="006D0909">
              <w:rPr>
                <w:rFonts w:ascii="Calibri" w:hAnsi="Calibri"/>
                <w:color w:val="000000"/>
                <w:sz w:val="20"/>
                <w:lang w:eastAsia="it-IT"/>
              </w:rPr>
              <w:t>49</w:t>
            </w:r>
            <w:r>
              <w:rPr>
                <w:rFonts w:ascii="Calibri" w:hAnsi="Calibri"/>
                <w:color w:val="000000"/>
                <w:sz w:val="20"/>
                <w:lang w:eastAsia="it-IT"/>
              </w:rPr>
              <w:t>.</w:t>
            </w:r>
            <w:r w:rsidRPr="006D0909">
              <w:rPr>
                <w:rFonts w:ascii="Calibri" w:hAnsi="Calibri"/>
                <w:color w:val="000000"/>
                <w:sz w:val="20"/>
                <w:lang w:eastAsia="it-IT"/>
              </w:rPr>
              <w:t>2</w:t>
            </w:r>
          </w:p>
        </w:tc>
      </w:tr>
      <w:tr w:rsidR="000D6F24" w:rsidRPr="006D0909" w14:paraId="779A5AAA" w14:textId="77777777" w:rsidTr="000D6F24">
        <w:trPr>
          <w:trHeight w:val="300"/>
        </w:trPr>
        <w:tc>
          <w:tcPr>
            <w:tcW w:w="581" w:type="dxa"/>
            <w:tcBorders>
              <w:top w:val="nil"/>
              <w:left w:val="nil"/>
              <w:bottom w:val="single" w:sz="4" w:space="0" w:color="auto"/>
              <w:right w:val="nil"/>
            </w:tcBorders>
            <w:shd w:val="clear" w:color="auto" w:fill="auto"/>
            <w:noWrap/>
            <w:vAlign w:val="bottom"/>
            <w:hideMark/>
          </w:tcPr>
          <w:p w14:paraId="68BFCFAA" w14:textId="77777777" w:rsidR="000D6F24" w:rsidRPr="006D0909" w:rsidRDefault="000D6F24" w:rsidP="009D5894">
            <w:pPr>
              <w:spacing w:line="240" w:lineRule="auto"/>
              <w:rPr>
                <w:rFonts w:ascii="Calibri" w:hAnsi="Calibri"/>
                <w:color w:val="000000"/>
                <w:sz w:val="20"/>
                <w:lang w:eastAsia="it-IT"/>
              </w:rPr>
            </w:pPr>
            <w:r w:rsidRPr="006D0909">
              <w:rPr>
                <w:rFonts w:ascii="Calibri" w:hAnsi="Calibri"/>
                <w:color w:val="000000"/>
                <w:sz w:val="20"/>
                <w:lang w:eastAsia="it-IT"/>
              </w:rPr>
              <w:t>FB4</w:t>
            </w:r>
          </w:p>
        </w:tc>
        <w:tc>
          <w:tcPr>
            <w:tcW w:w="765" w:type="dxa"/>
            <w:tcBorders>
              <w:top w:val="nil"/>
              <w:left w:val="nil"/>
              <w:bottom w:val="single" w:sz="4" w:space="0" w:color="auto"/>
              <w:right w:val="nil"/>
            </w:tcBorders>
            <w:shd w:val="clear" w:color="auto" w:fill="auto"/>
            <w:noWrap/>
            <w:vAlign w:val="bottom"/>
            <w:hideMark/>
          </w:tcPr>
          <w:p w14:paraId="218EAC37" w14:textId="77777777" w:rsidR="000D6F24" w:rsidRPr="006D0909" w:rsidRDefault="000D6F24" w:rsidP="009D5894">
            <w:pPr>
              <w:spacing w:line="240" w:lineRule="auto"/>
              <w:jc w:val="center"/>
              <w:rPr>
                <w:rFonts w:ascii="Calibri" w:hAnsi="Calibri"/>
                <w:color w:val="000000"/>
                <w:sz w:val="20"/>
                <w:lang w:eastAsia="it-IT"/>
              </w:rPr>
            </w:pPr>
            <w:r w:rsidRPr="006D0909">
              <w:rPr>
                <w:rFonts w:ascii="Calibri" w:hAnsi="Calibri"/>
                <w:color w:val="000000"/>
                <w:sz w:val="20"/>
                <w:lang w:eastAsia="it-IT"/>
              </w:rPr>
              <w:t>37</w:t>
            </w:r>
            <w:r>
              <w:rPr>
                <w:rFonts w:ascii="Calibri" w:hAnsi="Calibri"/>
                <w:color w:val="000000"/>
                <w:sz w:val="20"/>
                <w:lang w:eastAsia="it-IT"/>
              </w:rPr>
              <w:t>.</w:t>
            </w:r>
            <w:r w:rsidRPr="006D0909">
              <w:rPr>
                <w:rFonts w:ascii="Calibri" w:hAnsi="Calibri"/>
                <w:color w:val="000000"/>
                <w:sz w:val="20"/>
                <w:lang w:eastAsia="it-IT"/>
              </w:rPr>
              <w:t>0</w:t>
            </w:r>
          </w:p>
        </w:tc>
        <w:tc>
          <w:tcPr>
            <w:tcW w:w="932" w:type="dxa"/>
            <w:tcBorders>
              <w:top w:val="nil"/>
              <w:left w:val="nil"/>
              <w:bottom w:val="single" w:sz="4" w:space="0" w:color="auto"/>
              <w:right w:val="nil"/>
            </w:tcBorders>
          </w:tcPr>
          <w:p w14:paraId="79716C54" w14:textId="77777777" w:rsidR="000D6F24" w:rsidRPr="000D6F24" w:rsidRDefault="000D6F24" w:rsidP="009D5894">
            <w:pPr>
              <w:spacing w:line="240" w:lineRule="auto"/>
              <w:jc w:val="center"/>
              <w:rPr>
                <w:rFonts w:ascii="Calibri" w:hAnsi="Calibri"/>
                <w:color w:val="000000"/>
                <w:sz w:val="20"/>
                <w:lang w:eastAsia="it-IT"/>
              </w:rPr>
            </w:pPr>
            <w:r w:rsidRPr="000D6F24">
              <w:rPr>
                <w:rFonts w:ascii="Calibri" w:hAnsi="Calibri"/>
                <w:color w:val="000000"/>
                <w:sz w:val="20"/>
                <w:lang w:eastAsia="it-IT"/>
              </w:rPr>
              <w:t>0.29</w:t>
            </w:r>
          </w:p>
        </w:tc>
        <w:tc>
          <w:tcPr>
            <w:tcW w:w="704" w:type="dxa"/>
            <w:tcBorders>
              <w:top w:val="nil"/>
              <w:left w:val="nil"/>
              <w:bottom w:val="single" w:sz="4" w:space="0" w:color="auto"/>
              <w:right w:val="nil"/>
            </w:tcBorders>
          </w:tcPr>
          <w:p w14:paraId="0F55D51E" w14:textId="77777777" w:rsidR="000D6F24" w:rsidRPr="000D6F24" w:rsidRDefault="000D6F24" w:rsidP="009D5894">
            <w:pPr>
              <w:spacing w:line="240" w:lineRule="auto"/>
              <w:jc w:val="center"/>
              <w:rPr>
                <w:rFonts w:ascii="Calibri" w:hAnsi="Calibri"/>
                <w:color w:val="000000"/>
                <w:sz w:val="20"/>
                <w:lang w:eastAsia="it-IT"/>
              </w:rPr>
            </w:pPr>
            <w:r w:rsidRPr="000D6F24">
              <w:rPr>
                <w:rFonts w:ascii="Calibri" w:hAnsi="Calibri"/>
                <w:color w:val="000000"/>
                <w:sz w:val="20"/>
                <w:lang w:eastAsia="it-IT"/>
              </w:rPr>
              <w:t>0.17</w:t>
            </w:r>
          </w:p>
        </w:tc>
        <w:tc>
          <w:tcPr>
            <w:tcW w:w="831" w:type="dxa"/>
            <w:tcBorders>
              <w:top w:val="nil"/>
              <w:left w:val="nil"/>
              <w:bottom w:val="single" w:sz="4" w:space="0" w:color="auto"/>
              <w:right w:val="nil"/>
            </w:tcBorders>
          </w:tcPr>
          <w:p w14:paraId="6ADDAA73" w14:textId="77777777" w:rsidR="000D6F24" w:rsidRPr="000D6F24" w:rsidRDefault="000D6F24" w:rsidP="009D5894">
            <w:pPr>
              <w:spacing w:line="240" w:lineRule="auto"/>
              <w:jc w:val="center"/>
              <w:rPr>
                <w:rFonts w:ascii="Calibri" w:hAnsi="Calibri"/>
                <w:color w:val="000000"/>
                <w:sz w:val="20"/>
                <w:lang w:eastAsia="it-IT"/>
              </w:rPr>
            </w:pPr>
            <w:r w:rsidRPr="000D6F24">
              <w:rPr>
                <w:rFonts w:ascii="Calibri" w:hAnsi="Calibri"/>
                <w:color w:val="000000"/>
                <w:sz w:val="20"/>
                <w:lang w:eastAsia="it-IT"/>
              </w:rPr>
              <w:t>2.16</w:t>
            </w:r>
          </w:p>
        </w:tc>
        <w:tc>
          <w:tcPr>
            <w:tcW w:w="1252" w:type="dxa"/>
            <w:tcBorders>
              <w:top w:val="nil"/>
              <w:left w:val="nil"/>
              <w:bottom w:val="single" w:sz="4" w:space="0" w:color="auto"/>
              <w:right w:val="nil"/>
            </w:tcBorders>
          </w:tcPr>
          <w:p w14:paraId="54E0F3B7" w14:textId="77777777" w:rsidR="000D6F24" w:rsidRPr="000D6F24" w:rsidRDefault="000D6F24" w:rsidP="009D5894">
            <w:pPr>
              <w:spacing w:line="240" w:lineRule="auto"/>
              <w:jc w:val="center"/>
              <w:rPr>
                <w:rFonts w:ascii="Calibri" w:hAnsi="Calibri"/>
                <w:color w:val="000000"/>
                <w:sz w:val="20"/>
                <w:lang w:eastAsia="it-IT"/>
              </w:rPr>
            </w:pPr>
            <w:r w:rsidRPr="000D6F24">
              <w:rPr>
                <w:rFonts w:ascii="Calibri" w:hAnsi="Calibri"/>
                <w:color w:val="000000"/>
                <w:sz w:val="20"/>
                <w:lang w:eastAsia="it-IT"/>
              </w:rPr>
              <w:t>0.46</w:t>
            </w:r>
          </w:p>
        </w:tc>
        <w:tc>
          <w:tcPr>
            <w:tcW w:w="1252" w:type="dxa"/>
            <w:tcBorders>
              <w:top w:val="nil"/>
              <w:left w:val="nil"/>
              <w:bottom w:val="single" w:sz="4" w:space="0" w:color="auto"/>
              <w:right w:val="nil"/>
            </w:tcBorders>
            <w:shd w:val="clear" w:color="auto" w:fill="auto"/>
            <w:noWrap/>
            <w:vAlign w:val="bottom"/>
            <w:hideMark/>
          </w:tcPr>
          <w:p w14:paraId="54F289B9" w14:textId="77777777" w:rsidR="000D6F24" w:rsidRPr="006D0909" w:rsidRDefault="000D6F24" w:rsidP="009D5894">
            <w:pPr>
              <w:spacing w:line="240" w:lineRule="auto"/>
              <w:jc w:val="center"/>
              <w:rPr>
                <w:rFonts w:ascii="Calibri" w:hAnsi="Calibri"/>
                <w:color w:val="000000"/>
                <w:sz w:val="20"/>
                <w:lang w:eastAsia="it-IT"/>
              </w:rPr>
            </w:pPr>
            <w:r w:rsidRPr="006D0909">
              <w:rPr>
                <w:rFonts w:ascii="Calibri" w:hAnsi="Calibri"/>
                <w:color w:val="000000"/>
                <w:sz w:val="20"/>
                <w:lang w:eastAsia="it-IT"/>
              </w:rPr>
              <w:t>75</w:t>
            </w:r>
            <w:r>
              <w:rPr>
                <w:rFonts w:ascii="Calibri" w:hAnsi="Calibri"/>
                <w:color w:val="000000"/>
                <w:sz w:val="20"/>
                <w:lang w:eastAsia="it-IT"/>
              </w:rPr>
              <w:t>.</w:t>
            </w:r>
            <w:r w:rsidRPr="006D0909">
              <w:rPr>
                <w:rFonts w:ascii="Calibri" w:hAnsi="Calibri"/>
                <w:color w:val="000000"/>
                <w:sz w:val="20"/>
                <w:lang w:eastAsia="it-IT"/>
              </w:rPr>
              <w:t>4</w:t>
            </w:r>
          </w:p>
        </w:tc>
      </w:tr>
    </w:tbl>
    <w:p w14:paraId="77953180" w14:textId="77777777" w:rsidR="000D6F24" w:rsidRDefault="000D6F24" w:rsidP="000D6F24">
      <w:pPr>
        <w:spacing w:after="120" w:line="240" w:lineRule="auto"/>
        <w:rPr>
          <w:rFonts w:asciiTheme="minorHAnsi" w:eastAsia="MS PGothic" w:hAnsiTheme="minorHAnsi"/>
          <w:color w:val="000000"/>
          <w:sz w:val="22"/>
          <w:szCs w:val="22"/>
          <w:lang w:val="en-US"/>
        </w:rPr>
      </w:pPr>
    </w:p>
    <w:p w14:paraId="3199048C" w14:textId="77777777" w:rsidR="000D6F24" w:rsidRDefault="000D6F24" w:rsidP="000D6F24">
      <w:pPr>
        <w:spacing w:after="120" w:line="240" w:lineRule="auto"/>
        <w:rPr>
          <w:rFonts w:asciiTheme="minorHAnsi" w:eastAsia="MS PGothic" w:hAnsiTheme="minorHAnsi"/>
          <w:color w:val="000000"/>
          <w:sz w:val="22"/>
          <w:szCs w:val="22"/>
          <w:lang w:val="en-US"/>
        </w:rPr>
      </w:pPr>
    </w:p>
    <w:p w14:paraId="56502AE0" w14:textId="77777777" w:rsidR="000D6F24" w:rsidRDefault="000D6F24" w:rsidP="000D6F24">
      <w:pPr>
        <w:spacing w:after="120" w:line="240" w:lineRule="auto"/>
        <w:rPr>
          <w:rFonts w:asciiTheme="minorHAnsi" w:eastAsia="MS PGothic" w:hAnsiTheme="minorHAnsi"/>
          <w:color w:val="000000"/>
          <w:sz w:val="22"/>
          <w:szCs w:val="22"/>
          <w:lang w:val="en-US"/>
        </w:rPr>
      </w:pPr>
    </w:p>
    <w:p w14:paraId="5C89C02B" w14:textId="77777777" w:rsidR="000D6F24" w:rsidRDefault="000D6F24" w:rsidP="000D6F24">
      <w:pPr>
        <w:spacing w:after="120" w:line="240" w:lineRule="auto"/>
        <w:rPr>
          <w:rFonts w:asciiTheme="minorHAnsi" w:eastAsia="MS PGothic" w:hAnsiTheme="minorHAnsi"/>
          <w:color w:val="000000"/>
          <w:sz w:val="22"/>
          <w:szCs w:val="22"/>
          <w:lang w:val="en-US"/>
        </w:rPr>
      </w:pPr>
    </w:p>
    <w:p w14:paraId="2B9E27EF" w14:textId="77777777" w:rsidR="000D6F24" w:rsidRDefault="000D6F24" w:rsidP="000D6F24">
      <w:pPr>
        <w:spacing w:after="120" w:line="240" w:lineRule="auto"/>
        <w:rPr>
          <w:rFonts w:asciiTheme="minorHAnsi" w:eastAsia="MS PGothic" w:hAnsiTheme="minorHAnsi"/>
          <w:color w:val="000000"/>
          <w:sz w:val="22"/>
          <w:szCs w:val="22"/>
          <w:lang w:val="en-US"/>
        </w:rPr>
      </w:pPr>
    </w:p>
    <w:p w14:paraId="6D6ECE65" w14:textId="77777777" w:rsidR="000D6F24" w:rsidRDefault="000D6F24" w:rsidP="000D6F24">
      <w:pPr>
        <w:spacing w:after="120" w:line="240" w:lineRule="auto"/>
        <w:rPr>
          <w:rFonts w:asciiTheme="minorHAnsi" w:eastAsia="MS PGothic" w:hAnsiTheme="minorHAnsi"/>
          <w:color w:val="000000"/>
          <w:sz w:val="22"/>
          <w:szCs w:val="22"/>
          <w:lang w:val="en-US"/>
        </w:rPr>
      </w:pPr>
    </w:p>
    <w:p w14:paraId="4EF0D8F9" w14:textId="77777777" w:rsidR="000D6F24" w:rsidRDefault="000D6F24" w:rsidP="000D6F24">
      <w:pPr>
        <w:spacing w:after="120" w:line="240" w:lineRule="auto"/>
        <w:rPr>
          <w:rFonts w:asciiTheme="minorHAnsi" w:eastAsia="MS PGothic" w:hAnsiTheme="minorHAnsi"/>
          <w:color w:val="000000"/>
          <w:sz w:val="22"/>
          <w:szCs w:val="22"/>
          <w:lang w:val="en-US"/>
        </w:rPr>
      </w:pPr>
    </w:p>
    <w:p w14:paraId="08C0B209" w14:textId="77777777" w:rsidR="000D6F24" w:rsidRDefault="000D6F24" w:rsidP="000D6F24">
      <w:pPr>
        <w:spacing w:after="120" w:line="240" w:lineRule="auto"/>
        <w:rPr>
          <w:rFonts w:asciiTheme="minorHAnsi" w:eastAsia="MS PGothic" w:hAnsiTheme="minorHAnsi"/>
          <w:color w:val="000000"/>
          <w:sz w:val="22"/>
          <w:szCs w:val="22"/>
          <w:lang w:val="en-US"/>
        </w:rPr>
      </w:pPr>
    </w:p>
    <w:p w14:paraId="637AB41F" w14:textId="77777777" w:rsidR="000D6F24" w:rsidRPr="000D6F24" w:rsidRDefault="000D6F24" w:rsidP="000D6F24">
      <w:pPr>
        <w:spacing w:after="120" w:line="240" w:lineRule="auto"/>
        <w:rPr>
          <w:rFonts w:ascii="Calibri" w:hAnsi="Calibri"/>
          <w:b/>
          <w:bCs/>
          <w:color w:val="000000"/>
          <w:sz w:val="16"/>
          <w:szCs w:val="16"/>
          <w:lang w:val="it-IT" w:eastAsia="it-IT"/>
        </w:rPr>
      </w:pPr>
      <w:r w:rsidRPr="000D6F24">
        <w:rPr>
          <w:rFonts w:asciiTheme="minorHAnsi" w:eastAsia="MS PGothic" w:hAnsiTheme="minorHAnsi"/>
          <w:color w:val="000000"/>
          <w:sz w:val="22"/>
          <w:szCs w:val="22"/>
          <w:lang w:val="en-US"/>
        </w:rPr>
        <w:t xml:space="preserve">Table </w:t>
      </w:r>
      <w:r>
        <w:rPr>
          <w:rFonts w:asciiTheme="minorHAnsi" w:eastAsia="MS PGothic" w:hAnsiTheme="minorHAnsi"/>
          <w:color w:val="000000"/>
          <w:sz w:val="22"/>
          <w:szCs w:val="22"/>
          <w:lang w:val="en-US"/>
        </w:rPr>
        <w:t>1-Fed-batch fermentations on pilot scale.</w:t>
      </w:r>
      <w:r w:rsidRPr="000D6F24">
        <w:rPr>
          <w:rFonts w:asciiTheme="minorHAnsi" w:eastAsia="MS PGothic" w:hAnsiTheme="minorHAnsi"/>
          <w:color w:val="000000"/>
          <w:sz w:val="22"/>
          <w:szCs w:val="22"/>
          <w:lang w:val="en-US"/>
        </w:rPr>
        <w:t xml:space="preserve"> </w:t>
      </w:r>
      <w:r w:rsidRPr="000D6F24">
        <w:rPr>
          <w:rFonts w:asciiTheme="minorHAnsi" w:eastAsia="MS PGothic" w:hAnsiTheme="minorHAnsi"/>
          <w:color w:val="000000"/>
          <w:sz w:val="22"/>
          <w:szCs w:val="22"/>
          <w:lang w:val="it-IT"/>
        </w:rPr>
        <w:t>SA, succinic acid; LA, lactic acid; FA, formic acid; AA, acetic acid; TA, LA+FA+AA.</w:t>
      </w:r>
      <w:r w:rsidRPr="000D6F24">
        <w:rPr>
          <w:rFonts w:ascii="Calibri" w:hAnsi="Calibri"/>
          <w:bCs/>
          <w:color w:val="000000"/>
          <w:sz w:val="24"/>
          <w:szCs w:val="24"/>
          <w:lang w:val="it-IT" w:eastAsia="it-IT"/>
        </w:rPr>
        <w:t xml:space="preserve"> </w:t>
      </w:r>
    </w:p>
    <w:p w14:paraId="755CF395" w14:textId="77777777" w:rsidR="000D6F24" w:rsidRPr="000D6F24" w:rsidRDefault="000D6F24" w:rsidP="00D5665C">
      <w:pPr>
        <w:pStyle w:val="Normale1"/>
        <w:spacing w:after="120"/>
        <w:jc w:val="both"/>
        <w:rPr>
          <w:rFonts w:asciiTheme="minorHAnsi" w:eastAsia="MS PGothic" w:hAnsiTheme="minorHAnsi" w:cs="Times New Roman"/>
          <w:sz w:val="22"/>
          <w:szCs w:val="22"/>
          <w:lang w:eastAsia="en-US"/>
        </w:rPr>
      </w:pPr>
    </w:p>
    <w:p w14:paraId="09F991AB" w14:textId="77777777" w:rsidR="00704BDF" w:rsidRPr="00D5665C" w:rsidRDefault="00D5665C" w:rsidP="00D5665C">
      <w:pPr>
        <w:pStyle w:val="Normale1"/>
        <w:spacing w:after="120"/>
        <w:jc w:val="both"/>
        <w:rPr>
          <w:rFonts w:asciiTheme="minorHAnsi" w:eastAsia="MS PGothic" w:hAnsiTheme="minorHAnsi" w:cs="Times New Roman"/>
          <w:sz w:val="22"/>
          <w:szCs w:val="22"/>
          <w:lang w:val="en-US" w:eastAsia="en-US"/>
        </w:rPr>
      </w:pPr>
      <w:r w:rsidRPr="00D5665C">
        <w:rPr>
          <w:rFonts w:asciiTheme="minorHAnsi" w:eastAsia="MS PGothic" w:hAnsiTheme="minorHAnsi" w:cs="Times New Roman"/>
          <w:sz w:val="22"/>
          <w:szCs w:val="22"/>
          <w:lang w:val="en-US" w:eastAsia="en-US"/>
        </w:rPr>
        <w:t xml:space="preserve">A Material Flow Analysis was applied showing that, in the identified conditions 88.5 % of succinic acid per Kg of virgin biomass used, and 52% of product on the total generated output, were obtained. </w:t>
      </w:r>
      <w:r w:rsidR="00C6696C" w:rsidRPr="00C6696C">
        <w:rPr>
          <w:rFonts w:asciiTheme="minorHAnsi" w:eastAsia="MS PGothic" w:hAnsiTheme="minorHAnsi" w:cs="Times New Roman"/>
          <w:sz w:val="22"/>
          <w:szCs w:val="22"/>
          <w:lang w:val="en-US" w:eastAsia="en-US"/>
        </w:rPr>
        <w:t xml:space="preserve">Considering an optimized process that uses </w:t>
      </w:r>
      <w:r w:rsidR="00C6696C" w:rsidRPr="00C6696C">
        <w:rPr>
          <w:rFonts w:asciiTheme="minorHAnsi" w:eastAsia="MS PGothic" w:hAnsiTheme="minorHAnsi" w:cs="Times New Roman"/>
          <w:i/>
          <w:sz w:val="22"/>
          <w:szCs w:val="22"/>
          <w:lang w:val="en-US" w:eastAsia="en-US"/>
        </w:rPr>
        <w:t>A. donax</w:t>
      </w:r>
      <w:r w:rsidR="00C6696C" w:rsidRPr="00C6696C">
        <w:rPr>
          <w:rFonts w:asciiTheme="minorHAnsi" w:eastAsia="MS PGothic" w:hAnsiTheme="minorHAnsi" w:cs="Times New Roman"/>
          <w:sz w:val="22"/>
          <w:szCs w:val="22"/>
          <w:lang w:val="en-US" w:eastAsia="en-US"/>
        </w:rPr>
        <w:t xml:space="preserve"> as only C source, data indicated a potential yield of about 30% of product, and an unconverted residue of 31% mainly composed of lignin, a potentially valuable feedstock for bioenergy and biochemicals production.</w:t>
      </w:r>
    </w:p>
    <w:p w14:paraId="46560E62"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6E72A775" w14:textId="77777777" w:rsidR="003F7F15" w:rsidRDefault="00D5665C" w:rsidP="00D5665C">
      <w:pPr>
        <w:pStyle w:val="Normale1"/>
        <w:jc w:val="both"/>
        <w:rPr>
          <w:rFonts w:asciiTheme="minorHAnsi" w:eastAsia="MS PGothic" w:hAnsiTheme="minorHAnsi" w:cs="Times New Roman"/>
          <w:sz w:val="22"/>
          <w:szCs w:val="22"/>
          <w:lang w:val="en-US" w:eastAsia="en-US"/>
        </w:rPr>
      </w:pPr>
      <w:r w:rsidRPr="00D5665C">
        <w:rPr>
          <w:rFonts w:asciiTheme="minorHAnsi" w:eastAsia="MS PGothic" w:hAnsiTheme="minorHAnsi" w:cs="Times New Roman"/>
          <w:sz w:val="22"/>
          <w:szCs w:val="22"/>
          <w:lang w:val="en-US" w:eastAsia="en-US"/>
        </w:rPr>
        <w:t xml:space="preserve">The use of fed-batch strategies for the growth of </w:t>
      </w:r>
      <w:r w:rsidRPr="00D5665C">
        <w:rPr>
          <w:rFonts w:asciiTheme="minorHAnsi" w:eastAsia="MS PGothic" w:hAnsiTheme="minorHAnsi" w:cs="Times New Roman"/>
          <w:i/>
          <w:sz w:val="22"/>
          <w:szCs w:val="22"/>
          <w:lang w:val="en-US" w:eastAsia="en-US"/>
        </w:rPr>
        <w:t>B. succiniciproducens</w:t>
      </w:r>
      <w:r w:rsidRPr="00D5665C">
        <w:rPr>
          <w:rFonts w:asciiTheme="minorHAnsi" w:eastAsia="MS PGothic" w:hAnsiTheme="minorHAnsi" w:cs="Times New Roman"/>
          <w:sz w:val="22"/>
          <w:szCs w:val="22"/>
          <w:lang w:val="en-US" w:eastAsia="en-US"/>
        </w:rPr>
        <w:t xml:space="preserve"> on </w:t>
      </w:r>
      <w:r w:rsidRPr="00C6696C">
        <w:rPr>
          <w:rFonts w:asciiTheme="minorHAnsi" w:eastAsia="MS PGothic" w:hAnsiTheme="minorHAnsi" w:cs="Times New Roman"/>
          <w:i/>
          <w:sz w:val="22"/>
          <w:szCs w:val="22"/>
          <w:lang w:val="en-US" w:eastAsia="en-US"/>
        </w:rPr>
        <w:t>A. donax</w:t>
      </w:r>
      <w:r w:rsidRPr="00D5665C">
        <w:rPr>
          <w:rFonts w:asciiTheme="minorHAnsi" w:eastAsia="MS PGothic" w:hAnsiTheme="minorHAnsi" w:cs="Times New Roman"/>
          <w:sz w:val="22"/>
          <w:szCs w:val="22"/>
          <w:lang w:val="en-US" w:eastAsia="en-US"/>
        </w:rPr>
        <w:t xml:space="preserve"> improved the titer and productivity of succinic acid on a scale that is close to industrial application. </w:t>
      </w:r>
      <w:r w:rsidR="00C6696C">
        <w:rPr>
          <w:rFonts w:cs="Arial"/>
          <w:lang w:val="en-GB"/>
        </w:rPr>
        <w:t xml:space="preserve">Best </w:t>
      </w:r>
      <w:r w:rsidR="00C6696C">
        <w:rPr>
          <w:lang w:val="en-US"/>
        </w:rPr>
        <w:t>e</w:t>
      </w:r>
      <w:r w:rsidR="00C6696C" w:rsidRPr="00F9586E">
        <w:rPr>
          <w:lang w:val="en-US"/>
        </w:rPr>
        <w:t xml:space="preserve">xperimental results </w:t>
      </w:r>
      <w:r w:rsidR="00C6696C">
        <w:rPr>
          <w:lang w:val="en-US"/>
        </w:rPr>
        <w:t>were analysed by material flow analysis to evaluate another aspect of industrial development and assess the performance o</w:t>
      </w:r>
      <w:r w:rsidR="009B6F12">
        <w:rPr>
          <w:lang w:val="en-US"/>
        </w:rPr>
        <w:t>f the entire production process</w:t>
      </w:r>
      <w:r w:rsidRPr="00D5665C">
        <w:rPr>
          <w:rFonts w:asciiTheme="minorHAnsi" w:eastAsia="MS PGothic" w:hAnsiTheme="minorHAnsi" w:cs="Times New Roman"/>
          <w:sz w:val="22"/>
          <w:szCs w:val="22"/>
          <w:lang w:val="en-US" w:eastAsia="en-US"/>
        </w:rPr>
        <w:t xml:space="preserve">. </w:t>
      </w:r>
    </w:p>
    <w:p w14:paraId="3F8F15E3" w14:textId="62A9CC20" w:rsidR="00D5665C" w:rsidRPr="00D5665C" w:rsidRDefault="003F7F15" w:rsidP="00D5665C">
      <w:pPr>
        <w:pStyle w:val="Normale1"/>
        <w:jc w:val="both"/>
        <w:rPr>
          <w:rFonts w:asciiTheme="minorHAnsi" w:eastAsia="MS PGothic" w:hAnsiTheme="minorHAnsi" w:cs="Times New Roman"/>
          <w:sz w:val="22"/>
          <w:szCs w:val="22"/>
          <w:lang w:val="en-US" w:eastAsia="en-US"/>
        </w:rPr>
      </w:pPr>
      <w:r>
        <w:rPr>
          <w:rFonts w:asciiTheme="minorHAnsi" w:eastAsia="MS PGothic" w:hAnsiTheme="minorHAnsi" w:cs="Times New Roman"/>
          <w:sz w:val="22"/>
          <w:szCs w:val="22"/>
          <w:lang w:val="en-US" w:eastAsia="en-US"/>
        </w:rPr>
        <w:t xml:space="preserve">Currently, investigations </w:t>
      </w:r>
      <w:r w:rsidR="00D5665C" w:rsidRPr="00D5665C">
        <w:rPr>
          <w:rFonts w:asciiTheme="minorHAnsi" w:eastAsia="MS PGothic" w:hAnsiTheme="minorHAnsi" w:cs="Times New Roman"/>
          <w:sz w:val="22"/>
          <w:szCs w:val="22"/>
          <w:lang w:val="en-US" w:eastAsia="en-US"/>
        </w:rPr>
        <w:t xml:space="preserve">on the possibility </w:t>
      </w:r>
      <w:r w:rsidR="00C6696C">
        <w:rPr>
          <w:rFonts w:asciiTheme="minorHAnsi" w:eastAsia="MS PGothic" w:hAnsiTheme="minorHAnsi" w:cs="Times New Roman"/>
          <w:sz w:val="22"/>
          <w:szCs w:val="22"/>
          <w:lang w:val="en-US" w:eastAsia="en-US"/>
        </w:rPr>
        <w:t>of using other lignocellulosic biomasses and micro</w:t>
      </w:r>
      <w:r w:rsidR="009B6F12">
        <w:rPr>
          <w:rFonts w:asciiTheme="minorHAnsi" w:eastAsia="MS PGothic" w:hAnsiTheme="minorHAnsi" w:cs="Times New Roman"/>
          <w:sz w:val="22"/>
          <w:szCs w:val="22"/>
          <w:lang w:val="en-US" w:eastAsia="en-US"/>
        </w:rPr>
        <w:t>o</w:t>
      </w:r>
      <w:r w:rsidR="00C6696C">
        <w:rPr>
          <w:rFonts w:asciiTheme="minorHAnsi" w:eastAsia="MS PGothic" w:hAnsiTheme="minorHAnsi" w:cs="Times New Roman"/>
          <w:sz w:val="22"/>
          <w:szCs w:val="22"/>
          <w:lang w:val="en-US" w:eastAsia="en-US"/>
        </w:rPr>
        <w:t xml:space="preserve">rganisms </w:t>
      </w:r>
      <w:r w:rsidR="002A0279">
        <w:rPr>
          <w:rFonts w:asciiTheme="minorHAnsi" w:eastAsia="MS PGothic" w:hAnsiTheme="minorHAnsi" w:cs="Times New Roman"/>
          <w:sz w:val="22"/>
          <w:szCs w:val="22"/>
          <w:lang w:val="en-US" w:eastAsia="en-US"/>
        </w:rPr>
        <w:t>are in progress</w:t>
      </w:r>
      <w:r w:rsidR="00C6696C">
        <w:rPr>
          <w:rFonts w:asciiTheme="minorHAnsi" w:eastAsia="MS PGothic" w:hAnsiTheme="minorHAnsi" w:cs="Times New Roman"/>
          <w:sz w:val="22"/>
          <w:szCs w:val="22"/>
          <w:lang w:val="en-US" w:eastAsia="en-US"/>
        </w:rPr>
        <w:t>.</w:t>
      </w:r>
    </w:p>
    <w:p w14:paraId="6F476BF8" w14:textId="77777777" w:rsidR="009B6F12" w:rsidRPr="009B6F12" w:rsidRDefault="00704BDF" w:rsidP="00A51B54">
      <w:pPr>
        <w:snapToGrid w:val="0"/>
        <w:spacing w:before="240" w:line="300" w:lineRule="auto"/>
        <w:outlineLvl w:val="0"/>
        <w:rPr>
          <w:rFonts w:asciiTheme="minorHAnsi" w:eastAsia="MS PGothic" w:hAnsiTheme="minorHAnsi"/>
          <w:b/>
          <w:bCs/>
          <w:color w:val="000000"/>
          <w:sz w:val="20"/>
          <w:lang w:val="en-US"/>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14:paraId="22060660" w14:textId="77777777" w:rsidR="009B6F12" w:rsidRDefault="009B6F12" w:rsidP="00704BDF">
      <w:pPr>
        <w:pStyle w:val="FirstParagraph"/>
        <w:numPr>
          <w:ilvl w:val="0"/>
          <w:numId w:val="17"/>
        </w:numPr>
        <w:tabs>
          <w:tab w:val="left" w:pos="426"/>
        </w:tabs>
        <w:spacing w:line="240" w:lineRule="auto"/>
        <w:ind w:left="426" w:hanging="426"/>
        <w:rPr>
          <w:rFonts w:asciiTheme="minorHAnsi" w:hAnsiTheme="minorHAnsi"/>
          <w:color w:val="000000"/>
        </w:rPr>
      </w:pPr>
      <w:r w:rsidRPr="009B6F12">
        <w:rPr>
          <w:rFonts w:asciiTheme="minorHAnsi" w:hAnsiTheme="minorHAnsi"/>
          <w:color w:val="000000"/>
        </w:rPr>
        <w:t>A.A. Shatalov, H. Pereira. Carbohyd Pol. (2012) 87:210-217</w:t>
      </w:r>
      <w:r>
        <w:rPr>
          <w:rFonts w:asciiTheme="minorHAnsi" w:hAnsiTheme="minorHAnsi"/>
          <w:color w:val="000000"/>
        </w:rPr>
        <w:t>.</w:t>
      </w:r>
    </w:p>
    <w:p w14:paraId="5C2F5F53" w14:textId="77777777" w:rsidR="00A430CC" w:rsidRPr="00A430CC" w:rsidRDefault="00A430CC" w:rsidP="00A430CC">
      <w:pPr>
        <w:pStyle w:val="desc"/>
        <w:numPr>
          <w:ilvl w:val="0"/>
          <w:numId w:val="17"/>
        </w:numPr>
        <w:shd w:val="clear" w:color="auto" w:fill="FFFFFF"/>
        <w:spacing w:before="0" w:beforeAutospacing="0" w:after="0" w:afterAutospacing="0"/>
        <w:rPr>
          <w:rFonts w:asciiTheme="minorHAnsi" w:hAnsiTheme="minorHAnsi"/>
          <w:color w:val="000000"/>
          <w:sz w:val="20"/>
          <w:szCs w:val="20"/>
          <w:lang w:eastAsia="en-US"/>
        </w:rPr>
      </w:pPr>
      <w:r w:rsidRPr="00A430CC">
        <w:rPr>
          <w:rFonts w:asciiTheme="minorHAnsi" w:hAnsiTheme="minorHAnsi"/>
          <w:color w:val="000000"/>
          <w:sz w:val="20"/>
          <w:szCs w:val="20"/>
          <w:lang w:eastAsia="en-US"/>
        </w:rPr>
        <w:t xml:space="preserve">D. </w:t>
      </w:r>
      <w:r>
        <w:rPr>
          <w:rFonts w:asciiTheme="minorHAnsi" w:hAnsiTheme="minorHAnsi"/>
          <w:color w:val="000000"/>
          <w:sz w:val="20"/>
          <w:szCs w:val="20"/>
          <w:lang w:eastAsia="en-US"/>
        </w:rPr>
        <w:t>Cimini</w:t>
      </w:r>
      <w:r w:rsidRPr="00A430CC">
        <w:rPr>
          <w:rFonts w:asciiTheme="minorHAnsi" w:hAnsiTheme="minorHAnsi"/>
          <w:color w:val="000000"/>
          <w:sz w:val="20"/>
          <w:szCs w:val="20"/>
          <w:lang w:eastAsia="en-US"/>
        </w:rPr>
        <w:t xml:space="preserve">, </w:t>
      </w:r>
      <w:r>
        <w:rPr>
          <w:rFonts w:asciiTheme="minorHAnsi" w:hAnsiTheme="minorHAnsi"/>
          <w:color w:val="000000"/>
          <w:sz w:val="20"/>
          <w:szCs w:val="20"/>
          <w:lang w:eastAsia="en-US"/>
        </w:rPr>
        <w:t xml:space="preserve">L. Zaccariello </w:t>
      </w:r>
      <w:r w:rsidRPr="00A430CC">
        <w:rPr>
          <w:rFonts w:asciiTheme="minorHAnsi" w:hAnsiTheme="minorHAnsi"/>
          <w:color w:val="000000"/>
          <w:sz w:val="20"/>
          <w:szCs w:val="20"/>
          <w:lang w:eastAsia="en-US"/>
        </w:rPr>
        <w:t>,</w:t>
      </w:r>
      <w:r>
        <w:rPr>
          <w:rFonts w:asciiTheme="minorHAnsi" w:hAnsiTheme="minorHAnsi"/>
          <w:color w:val="000000"/>
          <w:sz w:val="20"/>
          <w:szCs w:val="20"/>
          <w:lang w:eastAsia="en-US"/>
        </w:rPr>
        <w:t xml:space="preserve"> S.</w:t>
      </w:r>
      <w:r w:rsidRPr="00A430CC">
        <w:rPr>
          <w:rFonts w:asciiTheme="minorHAnsi" w:hAnsiTheme="minorHAnsi"/>
          <w:color w:val="000000"/>
          <w:sz w:val="20"/>
          <w:szCs w:val="20"/>
          <w:lang w:eastAsia="en-US"/>
        </w:rPr>
        <w:t xml:space="preserve"> D'Ambrosio,</w:t>
      </w:r>
      <w:r>
        <w:rPr>
          <w:rFonts w:asciiTheme="minorHAnsi" w:hAnsiTheme="minorHAnsi"/>
          <w:color w:val="000000"/>
          <w:sz w:val="20"/>
          <w:szCs w:val="20"/>
          <w:lang w:eastAsia="en-US"/>
        </w:rPr>
        <w:t>L. Lama</w:t>
      </w:r>
      <w:r w:rsidRPr="00A430CC">
        <w:rPr>
          <w:rFonts w:asciiTheme="minorHAnsi" w:hAnsiTheme="minorHAnsi"/>
          <w:color w:val="000000"/>
          <w:sz w:val="20"/>
          <w:szCs w:val="20"/>
          <w:lang w:eastAsia="en-US"/>
        </w:rPr>
        <w:t xml:space="preserve">, </w:t>
      </w:r>
      <w:r>
        <w:rPr>
          <w:rFonts w:asciiTheme="minorHAnsi" w:hAnsiTheme="minorHAnsi"/>
          <w:color w:val="000000"/>
          <w:sz w:val="20"/>
          <w:szCs w:val="20"/>
          <w:lang w:eastAsia="en-US"/>
        </w:rPr>
        <w:t xml:space="preserve">G. </w:t>
      </w:r>
      <w:r w:rsidRPr="00A430CC">
        <w:rPr>
          <w:rFonts w:asciiTheme="minorHAnsi" w:hAnsiTheme="minorHAnsi"/>
          <w:color w:val="000000"/>
          <w:sz w:val="20"/>
          <w:szCs w:val="20"/>
          <w:lang w:eastAsia="en-US"/>
        </w:rPr>
        <w:t xml:space="preserve">Ruoppolo, </w:t>
      </w:r>
      <w:r>
        <w:rPr>
          <w:rFonts w:asciiTheme="minorHAnsi" w:hAnsiTheme="minorHAnsi"/>
          <w:color w:val="000000"/>
          <w:sz w:val="20"/>
          <w:szCs w:val="20"/>
          <w:lang w:eastAsia="en-US"/>
        </w:rPr>
        <w:t xml:space="preserve">O. </w:t>
      </w:r>
      <w:r w:rsidRPr="00A430CC">
        <w:rPr>
          <w:rFonts w:asciiTheme="minorHAnsi" w:hAnsiTheme="minorHAnsi"/>
          <w:color w:val="000000"/>
          <w:sz w:val="20"/>
          <w:szCs w:val="20"/>
          <w:lang w:eastAsia="en-US"/>
        </w:rPr>
        <w:t xml:space="preserve">Pepe, </w:t>
      </w:r>
      <w:r>
        <w:rPr>
          <w:rFonts w:asciiTheme="minorHAnsi" w:hAnsiTheme="minorHAnsi"/>
          <w:color w:val="000000"/>
          <w:sz w:val="20"/>
          <w:szCs w:val="20"/>
          <w:lang w:eastAsia="en-US"/>
        </w:rPr>
        <w:t xml:space="preserve">V. </w:t>
      </w:r>
      <w:r w:rsidRPr="00A430CC">
        <w:rPr>
          <w:rFonts w:asciiTheme="minorHAnsi" w:hAnsiTheme="minorHAnsi"/>
          <w:color w:val="000000"/>
          <w:sz w:val="20"/>
          <w:szCs w:val="20"/>
          <w:lang w:eastAsia="en-US"/>
        </w:rPr>
        <w:t xml:space="preserve">Faraco, </w:t>
      </w:r>
      <w:r>
        <w:rPr>
          <w:rFonts w:asciiTheme="minorHAnsi" w:hAnsiTheme="minorHAnsi"/>
          <w:color w:val="000000"/>
          <w:sz w:val="20"/>
          <w:szCs w:val="20"/>
          <w:lang w:eastAsia="en-US"/>
        </w:rPr>
        <w:t>C. Schiraldi.</w:t>
      </w:r>
    </w:p>
    <w:p w14:paraId="2068D3D0" w14:textId="77777777" w:rsidR="00A430CC" w:rsidRPr="00A430CC" w:rsidRDefault="00A430CC" w:rsidP="00650C9F">
      <w:pPr>
        <w:pStyle w:val="details"/>
        <w:shd w:val="clear" w:color="auto" w:fill="FFFFFF"/>
        <w:spacing w:before="0" w:beforeAutospacing="0" w:after="0" w:afterAutospacing="0"/>
        <w:ind w:left="360"/>
        <w:rPr>
          <w:rFonts w:asciiTheme="minorHAnsi" w:hAnsiTheme="minorHAnsi"/>
          <w:color w:val="000000"/>
          <w:sz w:val="20"/>
          <w:szCs w:val="20"/>
          <w:lang w:val="en-US" w:eastAsia="en-US"/>
        </w:rPr>
      </w:pPr>
      <w:r w:rsidRPr="00A430CC">
        <w:rPr>
          <w:rFonts w:asciiTheme="minorHAnsi" w:hAnsiTheme="minorHAnsi"/>
          <w:sz w:val="20"/>
          <w:szCs w:val="20"/>
          <w:lang w:val="en-US" w:eastAsia="en-US"/>
        </w:rPr>
        <w:t>Biotechnol</w:t>
      </w:r>
      <w:r>
        <w:rPr>
          <w:rFonts w:asciiTheme="minorHAnsi" w:hAnsiTheme="minorHAnsi"/>
          <w:sz w:val="20"/>
          <w:szCs w:val="20"/>
          <w:lang w:val="en-US" w:eastAsia="en-US"/>
        </w:rPr>
        <w:t>.</w:t>
      </w:r>
      <w:r w:rsidRPr="00A430CC">
        <w:rPr>
          <w:rFonts w:asciiTheme="minorHAnsi" w:hAnsiTheme="minorHAnsi"/>
          <w:sz w:val="20"/>
          <w:szCs w:val="20"/>
          <w:lang w:val="en-US" w:eastAsia="en-US"/>
        </w:rPr>
        <w:t xml:space="preserve"> Biofuels</w:t>
      </w:r>
      <w:r w:rsidRPr="00A430CC">
        <w:rPr>
          <w:rFonts w:asciiTheme="minorHAnsi" w:hAnsiTheme="minorHAnsi"/>
          <w:color w:val="000000"/>
          <w:sz w:val="20"/>
          <w:szCs w:val="20"/>
          <w:lang w:val="en-US" w:eastAsia="en-US"/>
        </w:rPr>
        <w:t xml:space="preserve">. </w:t>
      </w:r>
      <w:r>
        <w:rPr>
          <w:rFonts w:asciiTheme="minorHAnsi" w:hAnsiTheme="minorHAnsi"/>
          <w:color w:val="000000"/>
          <w:sz w:val="20"/>
          <w:szCs w:val="20"/>
          <w:lang w:val="en-US" w:eastAsia="en-US"/>
        </w:rPr>
        <w:t>(</w:t>
      </w:r>
      <w:r w:rsidRPr="00A430CC">
        <w:rPr>
          <w:rFonts w:asciiTheme="minorHAnsi" w:hAnsiTheme="minorHAnsi"/>
          <w:color w:val="000000"/>
          <w:sz w:val="20"/>
          <w:szCs w:val="20"/>
          <w:lang w:val="en-US" w:eastAsia="en-US"/>
        </w:rPr>
        <w:t>2019</w:t>
      </w:r>
      <w:r>
        <w:rPr>
          <w:rFonts w:asciiTheme="minorHAnsi" w:hAnsiTheme="minorHAnsi"/>
          <w:color w:val="000000"/>
          <w:sz w:val="20"/>
          <w:szCs w:val="20"/>
          <w:lang w:val="en-US" w:eastAsia="en-US"/>
        </w:rPr>
        <w:t>)</w:t>
      </w:r>
      <w:r w:rsidRPr="00A430CC">
        <w:rPr>
          <w:rFonts w:asciiTheme="minorHAnsi" w:hAnsiTheme="minorHAnsi"/>
          <w:color w:val="000000"/>
          <w:sz w:val="20"/>
          <w:szCs w:val="20"/>
          <w:lang w:val="en-US" w:eastAsia="en-US"/>
        </w:rPr>
        <w:t xml:space="preserve"> 12:22</w:t>
      </w:r>
      <w:r>
        <w:rPr>
          <w:rFonts w:asciiTheme="minorHAnsi" w:hAnsiTheme="minorHAnsi"/>
          <w:color w:val="000000"/>
          <w:sz w:val="20"/>
          <w:szCs w:val="20"/>
          <w:lang w:val="en-US" w:eastAsia="en-US"/>
        </w:rPr>
        <w:t>-36</w:t>
      </w:r>
      <w:r w:rsidRPr="00A430CC">
        <w:rPr>
          <w:rFonts w:asciiTheme="minorHAnsi" w:hAnsiTheme="minorHAnsi"/>
          <w:color w:val="000000"/>
          <w:sz w:val="20"/>
          <w:szCs w:val="20"/>
          <w:lang w:val="en-US" w:eastAsia="en-US"/>
        </w:rPr>
        <w:t>.</w:t>
      </w:r>
    </w:p>
    <w:p w14:paraId="7092922D" w14:textId="77777777" w:rsidR="009B6F12" w:rsidRPr="008D0BEB" w:rsidRDefault="009B6F12" w:rsidP="00A430CC">
      <w:pPr>
        <w:pStyle w:val="FirstParagraph"/>
        <w:tabs>
          <w:tab w:val="left" w:pos="426"/>
        </w:tabs>
        <w:spacing w:line="240" w:lineRule="auto"/>
        <w:rPr>
          <w:rFonts w:asciiTheme="minorHAnsi" w:hAnsiTheme="minorHAnsi"/>
          <w:color w:val="000000"/>
        </w:rPr>
      </w:pPr>
    </w:p>
    <w:p w14:paraId="41FEAA5B" w14:textId="77777777"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61DA2F03" w14:textId="77777777"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0A4A6AA6" w14:textId="77777777"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8FE15" w14:textId="77777777" w:rsidR="00732440" w:rsidRDefault="00732440" w:rsidP="004F5E36">
      <w:r>
        <w:separator/>
      </w:r>
    </w:p>
  </w:endnote>
  <w:endnote w:type="continuationSeparator" w:id="0">
    <w:p w14:paraId="2284A12B" w14:textId="77777777" w:rsidR="00732440" w:rsidRDefault="0073244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Times">
    <w:panose1 w:val="00000500000000020000"/>
    <w:charset w:val="4D"/>
    <w:family w:val="roman"/>
    <w:notTrueType/>
    <w:pitch w:val="variable"/>
    <w:sig w:usb0="00000003" w:usb1="00000000" w:usb2="00000000" w:usb3="00000000" w:csb0="00000001" w:csb1="00000000"/>
  </w:font>
  <w:font w:name="Times-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93BC5" w14:textId="77777777" w:rsidR="00732440" w:rsidRDefault="00732440" w:rsidP="004F5E36">
      <w:r>
        <w:separator/>
      </w:r>
    </w:p>
  </w:footnote>
  <w:footnote w:type="continuationSeparator" w:id="0">
    <w:p w14:paraId="22EE598F" w14:textId="77777777" w:rsidR="00732440" w:rsidRDefault="00732440" w:rsidP="004F5E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C52FE" w14:textId="77777777"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468B6880" wp14:editId="6D34D8C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1F6E3CAA" wp14:editId="631A19E7">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FD598" w14:textId="77777777" w:rsidR="00704BDF" w:rsidRPr="004F563B" w:rsidRDefault="00704BDF" w:rsidP="00704BDF">
    <w:pPr>
      <w:ind w:left="-426" w:right="-285"/>
      <w:jc w:val="center"/>
      <w:rPr>
        <w:rFonts w:asciiTheme="minorHAnsi" w:hAnsiTheme="minorHAnsi"/>
        <w:b/>
        <w:i/>
        <w:color w:val="7030A0"/>
        <w:sz w:val="24"/>
        <w:szCs w:val="24"/>
        <w:lang w:val="en-US"/>
      </w:rPr>
    </w:pPr>
    <w:r>
      <w:rPr>
        <w:noProof/>
        <w:lang w:val="it-IT" w:eastAsia="it-IT"/>
      </w:rPr>
      <w:drawing>
        <wp:anchor distT="0" distB="0" distL="114300" distR="114300" simplePos="0" relativeHeight="251659264" behindDoc="0" locked="0" layoutInCell="1" allowOverlap="1" wp14:anchorId="7B608C14" wp14:editId="41EAE150">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14:paraId="11620D26" w14:textId="77777777" w:rsidR="00704BDF" w:rsidRDefault="00704BDF">
    <w:pPr>
      <w:pStyle w:val="Intestazione"/>
    </w:pPr>
  </w:p>
  <w:p w14:paraId="799F37FA" w14:textId="77777777"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14:anchorId="6AD29240" wp14:editId="2B419970">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2F546E"/>
    <w:multiLevelType w:val="hybridMultilevel"/>
    <w:tmpl w:val="9D4CD2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5"/>
  </w:num>
  <w:num w:numId="15">
    <w:abstractNumId w:val="16"/>
  </w:num>
  <w:num w:numId="16">
    <w:abstractNumId w:val="17"/>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47722"/>
    <w:rsid w:val="00062A9A"/>
    <w:rsid w:val="00077FEC"/>
    <w:rsid w:val="000A03B2"/>
    <w:rsid w:val="000D34BE"/>
    <w:rsid w:val="000D6F24"/>
    <w:rsid w:val="000E36F1"/>
    <w:rsid w:val="000E3A73"/>
    <w:rsid w:val="000E414A"/>
    <w:rsid w:val="0013121F"/>
    <w:rsid w:val="00134DE4"/>
    <w:rsid w:val="00150E59"/>
    <w:rsid w:val="00184AD6"/>
    <w:rsid w:val="001B65C1"/>
    <w:rsid w:val="001C684B"/>
    <w:rsid w:val="001C7704"/>
    <w:rsid w:val="001D53FC"/>
    <w:rsid w:val="001F2EC7"/>
    <w:rsid w:val="002065DB"/>
    <w:rsid w:val="00210DC4"/>
    <w:rsid w:val="002447EF"/>
    <w:rsid w:val="00251550"/>
    <w:rsid w:val="0027221A"/>
    <w:rsid w:val="00275B61"/>
    <w:rsid w:val="002A0279"/>
    <w:rsid w:val="002D1F12"/>
    <w:rsid w:val="003009B7"/>
    <w:rsid w:val="0030469C"/>
    <w:rsid w:val="00341856"/>
    <w:rsid w:val="003723D4"/>
    <w:rsid w:val="003858D5"/>
    <w:rsid w:val="003A7D1C"/>
    <w:rsid w:val="003F7F15"/>
    <w:rsid w:val="0046164A"/>
    <w:rsid w:val="00462DCD"/>
    <w:rsid w:val="004D1162"/>
    <w:rsid w:val="004E4DD6"/>
    <w:rsid w:val="004F563B"/>
    <w:rsid w:val="004F5E36"/>
    <w:rsid w:val="005119A5"/>
    <w:rsid w:val="005278B7"/>
    <w:rsid w:val="005346C8"/>
    <w:rsid w:val="00571F87"/>
    <w:rsid w:val="00594E9F"/>
    <w:rsid w:val="005B61E6"/>
    <w:rsid w:val="005C77E1"/>
    <w:rsid w:val="005D6A2F"/>
    <w:rsid w:val="005E1A82"/>
    <w:rsid w:val="005F0A28"/>
    <w:rsid w:val="005F0E5E"/>
    <w:rsid w:val="00620DEE"/>
    <w:rsid w:val="00625639"/>
    <w:rsid w:val="006366F8"/>
    <w:rsid w:val="0064184D"/>
    <w:rsid w:val="00650C9F"/>
    <w:rsid w:val="00660E3E"/>
    <w:rsid w:val="00662E74"/>
    <w:rsid w:val="006B01AC"/>
    <w:rsid w:val="006C5579"/>
    <w:rsid w:val="006E7420"/>
    <w:rsid w:val="00704BDF"/>
    <w:rsid w:val="00732440"/>
    <w:rsid w:val="00736B13"/>
    <w:rsid w:val="007447F3"/>
    <w:rsid w:val="007661C8"/>
    <w:rsid w:val="007D52CD"/>
    <w:rsid w:val="00813288"/>
    <w:rsid w:val="008168FC"/>
    <w:rsid w:val="008479A2"/>
    <w:rsid w:val="0087637F"/>
    <w:rsid w:val="008A1512"/>
    <w:rsid w:val="008D0BEB"/>
    <w:rsid w:val="008E566E"/>
    <w:rsid w:val="00901EB6"/>
    <w:rsid w:val="00944175"/>
    <w:rsid w:val="009450CE"/>
    <w:rsid w:val="0095164B"/>
    <w:rsid w:val="00996483"/>
    <w:rsid w:val="009B6F12"/>
    <w:rsid w:val="009E788A"/>
    <w:rsid w:val="00A1763D"/>
    <w:rsid w:val="00A17CEC"/>
    <w:rsid w:val="00A27EF0"/>
    <w:rsid w:val="00A430CC"/>
    <w:rsid w:val="00A51B54"/>
    <w:rsid w:val="00A76EFC"/>
    <w:rsid w:val="00A97F29"/>
    <w:rsid w:val="00AB0964"/>
    <w:rsid w:val="00AE377D"/>
    <w:rsid w:val="00B61DBF"/>
    <w:rsid w:val="00BC30C9"/>
    <w:rsid w:val="00BE3E58"/>
    <w:rsid w:val="00C01616"/>
    <w:rsid w:val="00C0162B"/>
    <w:rsid w:val="00C345B1"/>
    <w:rsid w:val="00C40142"/>
    <w:rsid w:val="00C57182"/>
    <w:rsid w:val="00C655FD"/>
    <w:rsid w:val="00C6696C"/>
    <w:rsid w:val="00C94434"/>
    <w:rsid w:val="00CA1C95"/>
    <w:rsid w:val="00CA5A9C"/>
    <w:rsid w:val="00CC3F4B"/>
    <w:rsid w:val="00CD5FE2"/>
    <w:rsid w:val="00D02B4C"/>
    <w:rsid w:val="00D5665C"/>
    <w:rsid w:val="00D84576"/>
    <w:rsid w:val="00DC2FCD"/>
    <w:rsid w:val="00DE0019"/>
    <w:rsid w:val="00DE264A"/>
    <w:rsid w:val="00E041E7"/>
    <w:rsid w:val="00E23CA1"/>
    <w:rsid w:val="00E409A8"/>
    <w:rsid w:val="00E47211"/>
    <w:rsid w:val="00E7209D"/>
    <w:rsid w:val="00EA50E1"/>
    <w:rsid w:val="00EC4198"/>
    <w:rsid w:val="00EE0131"/>
    <w:rsid w:val="00F26D5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CB2A6"/>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2">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customStyle="1" w:styleId="Normale1">
    <w:name w:val="Normale1"/>
    <w:rsid w:val="00D5665C"/>
    <w:pPr>
      <w:spacing w:after="0" w:line="240" w:lineRule="auto"/>
    </w:pPr>
    <w:rPr>
      <w:rFonts w:ascii="Calibri" w:eastAsia="Calibri" w:hAnsi="Calibri" w:cs="Calibri"/>
      <w:color w:val="000000"/>
      <w:sz w:val="24"/>
      <w:szCs w:val="24"/>
      <w:lang w:eastAsia="it-IT"/>
    </w:rPr>
  </w:style>
  <w:style w:type="paragraph" w:styleId="Paragrafoelenco">
    <w:name w:val="List Paragraph"/>
    <w:basedOn w:val="Normale"/>
    <w:uiPriority w:val="34"/>
    <w:qFormat/>
    <w:locked/>
    <w:rsid w:val="009B6F12"/>
    <w:pPr>
      <w:tabs>
        <w:tab w:val="clear" w:pos="7100"/>
      </w:tabs>
      <w:spacing w:after="200" w:line="276" w:lineRule="auto"/>
      <w:ind w:left="720"/>
      <w:contextualSpacing/>
      <w:jc w:val="left"/>
    </w:pPr>
    <w:rPr>
      <w:rFonts w:asciiTheme="minorHAnsi" w:eastAsiaTheme="minorHAnsi" w:hAnsiTheme="minorHAnsi" w:cstheme="minorBidi"/>
      <w:sz w:val="22"/>
      <w:szCs w:val="22"/>
      <w:lang w:val="it-IT"/>
    </w:rPr>
  </w:style>
  <w:style w:type="character" w:styleId="Collegamentoipertestuale">
    <w:name w:val="Hyperlink"/>
    <w:basedOn w:val="Carpredefinitoparagrafo"/>
    <w:uiPriority w:val="99"/>
    <w:unhideWhenUsed/>
    <w:locked/>
    <w:rsid w:val="003858D5"/>
    <w:rPr>
      <w:color w:val="0000FF" w:themeColor="hyperlink"/>
      <w:u w:val="single"/>
    </w:rPr>
  </w:style>
  <w:style w:type="paragraph" w:customStyle="1" w:styleId="desc">
    <w:name w:val="desc"/>
    <w:basedOn w:val="Normale"/>
    <w:rsid w:val="00A430CC"/>
    <w:pPr>
      <w:tabs>
        <w:tab w:val="clear" w:pos="7100"/>
      </w:tabs>
      <w:spacing w:before="100" w:beforeAutospacing="1" w:after="100" w:afterAutospacing="1" w:line="240" w:lineRule="auto"/>
      <w:jc w:val="left"/>
    </w:pPr>
    <w:rPr>
      <w:rFonts w:ascii="Times New Roman" w:hAnsi="Times New Roman"/>
      <w:sz w:val="24"/>
      <w:szCs w:val="24"/>
      <w:lang w:val="it-IT" w:eastAsia="it-IT"/>
    </w:rPr>
  </w:style>
  <w:style w:type="paragraph" w:customStyle="1" w:styleId="details">
    <w:name w:val="details"/>
    <w:basedOn w:val="Normale"/>
    <w:rsid w:val="00A430CC"/>
    <w:pPr>
      <w:tabs>
        <w:tab w:val="clear" w:pos="7100"/>
      </w:tabs>
      <w:spacing w:before="100" w:beforeAutospacing="1" w:after="100" w:afterAutospacing="1" w:line="240" w:lineRule="auto"/>
      <w:jc w:val="left"/>
    </w:pPr>
    <w:rPr>
      <w:rFonts w:ascii="Times New Roman" w:hAnsi="Times New Roman"/>
      <w:sz w:val="24"/>
      <w:szCs w:val="24"/>
      <w:lang w:val="it-IT" w:eastAsia="it-IT"/>
    </w:rPr>
  </w:style>
  <w:style w:type="character" w:customStyle="1" w:styleId="jrnl">
    <w:name w:val="jrnl"/>
    <w:basedOn w:val="Carpredefinitoparagrafo"/>
    <w:rsid w:val="00A43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11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researchgate.net/institution/Italian_National_Research_Council/department/Institute_of_Biomolecular_Chemistry_ICB" TargetMode="External"/><Relationship Id="rId12" Type="http://schemas.openxmlformats.org/officeDocument/2006/relationships/hyperlink" Target="mailto:donatella.cimini@unicampania.it"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yperlink" Target="https://www.researchgate.net/institution/Italian_National_Research_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0E0EC-54DA-DD4E-A751-7A9C7E712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808</Words>
  <Characters>4608</Characters>
  <Application>Microsoft Macintosh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Donatella Cimini</cp:lastModifiedBy>
  <cp:revision>12</cp:revision>
  <cp:lastPrinted>2015-05-12T18:31:00Z</cp:lastPrinted>
  <dcterms:created xsi:type="dcterms:W3CDTF">2019-02-28T13:24:00Z</dcterms:created>
  <dcterms:modified xsi:type="dcterms:W3CDTF">2019-02-28T21:15:00Z</dcterms:modified>
</cp:coreProperties>
</file>