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6FCE2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22B01B55" w14:textId="62FC75E2" w:rsidR="00704BDF" w:rsidRPr="00DE0019" w:rsidRDefault="004F4447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bookmarkStart w:id="0" w:name="_GoBack"/>
      <w:r w:rsidRPr="00481497">
        <w:rPr>
          <w:rFonts w:asciiTheme="minorHAnsi" w:eastAsia="MS PGothic" w:hAnsiTheme="minorHAnsi"/>
          <w:b/>
          <w:bCs/>
          <w:sz w:val="28"/>
          <w:szCs w:val="28"/>
          <w:lang w:val="en-US"/>
        </w:rPr>
        <w:t>Ne</w:t>
      </w:r>
      <w:r w:rsidR="009875F5">
        <w:rPr>
          <w:rFonts w:asciiTheme="minorHAnsi" w:eastAsia="MS PGothic" w:hAnsiTheme="minorHAnsi"/>
          <w:b/>
          <w:bCs/>
          <w:sz w:val="28"/>
          <w:szCs w:val="28"/>
          <w:lang w:val="en-US"/>
        </w:rPr>
        <w:t>w persistent organic pollutants:</w:t>
      </w:r>
      <w:r w:rsidRPr="00481497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polybrominated diphenyl ethers</w:t>
      </w:r>
      <w:r w:rsidR="004732C7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bookmarkEnd w:id="0"/>
    </w:p>
    <w:p w14:paraId="59154C51" w14:textId="77777777" w:rsidR="00DE0019" w:rsidRPr="0034127D" w:rsidRDefault="001F3D1D" w:rsidP="00704BDF">
      <w:pPr>
        <w:snapToGrid w:val="0"/>
        <w:spacing w:after="120"/>
        <w:jc w:val="center"/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</w:pPr>
      <w:r w:rsidRPr="00BE0DC2">
        <w:rPr>
          <w:rFonts w:asciiTheme="minorHAnsi" w:eastAsia="SimSun" w:hAnsiTheme="minorHAnsi"/>
          <w:color w:val="000000"/>
          <w:sz w:val="24"/>
          <w:szCs w:val="24"/>
          <w:u w:val="single"/>
          <w:lang w:val="it-IT" w:eastAsia="zh-CN"/>
        </w:rPr>
        <w:t>Elisabetta Bemporad</w:t>
      </w:r>
      <w:r w:rsidR="00736B13" w:rsidRPr="001F3D1D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 xml:space="preserve">, </w:t>
      </w:r>
      <w:r w:rsidRPr="001F3D1D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Simona Berardi, Sabrina Campanari, Alessandro Ledda</w:t>
      </w:r>
      <w:r w:rsidR="0034127D" w:rsidRPr="0034127D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, Paolo Napolitano</w:t>
      </w:r>
      <w:r w:rsidR="0034127D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.</w:t>
      </w:r>
    </w:p>
    <w:p w14:paraId="211DA15C" w14:textId="77777777" w:rsidR="001F3D1D" w:rsidRPr="001F3D1D" w:rsidRDefault="001F3D1D" w:rsidP="001F3D1D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="MS PGothic" w:hAnsiTheme="minorHAnsi"/>
          <w:i/>
          <w:iCs/>
          <w:color w:val="000000"/>
          <w:sz w:val="20"/>
          <w:lang w:val="it-IT"/>
        </w:rPr>
      </w:pPr>
      <w:r w:rsidRPr="001F3D1D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>Inail, Dipartimento Innovazioni Tecnologiche e Sicurezza degli Impianti, Prodotti ed Insediamenti Antropici, via Roberto Ferruzzi 38/40, 00143 Roma, Italia.</w:t>
      </w:r>
    </w:p>
    <w:p w14:paraId="08C40969" w14:textId="77777777"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1F3D1D">
        <w:rPr>
          <w:rFonts w:asciiTheme="minorHAnsi" w:eastAsia="MS PGothic" w:hAnsiTheme="minorHAnsi"/>
          <w:bCs/>
          <w:i/>
          <w:iCs/>
          <w:sz w:val="20"/>
          <w:lang w:val="en-US"/>
        </w:rPr>
        <w:t>e.bemporad@inail.it</w:t>
      </w:r>
    </w:p>
    <w:p w14:paraId="63A9C374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481497">
        <w:rPr>
          <w:rFonts w:asciiTheme="minorHAnsi" w:hAnsiTheme="minorHAnsi"/>
          <w:b/>
        </w:rPr>
        <w:t>Highlights</w:t>
      </w:r>
    </w:p>
    <w:p w14:paraId="02BC2FD5" w14:textId="77777777" w:rsidR="00272993" w:rsidRPr="00092CC4" w:rsidRDefault="00272993" w:rsidP="00383715">
      <w:pPr>
        <w:pStyle w:val="AbstractBody"/>
        <w:numPr>
          <w:ilvl w:val="0"/>
          <w:numId w:val="16"/>
        </w:numPr>
        <w:spacing w:line="264" w:lineRule="auto"/>
        <w:ind w:left="1434" w:hanging="357"/>
        <w:rPr>
          <w:rFonts w:asciiTheme="minorHAnsi" w:hAnsiTheme="minorHAnsi"/>
        </w:rPr>
      </w:pPr>
      <w:r>
        <w:rPr>
          <w:rFonts w:asciiTheme="minorHAnsi" w:hAnsiTheme="minorHAnsi"/>
        </w:rPr>
        <w:t>Persistent organic pollutants</w:t>
      </w:r>
    </w:p>
    <w:p w14:paraId="0883A712" w14:textId="77777777" w:rsidR="00272993" w:rsidRPr="00EC66CC" w:rsidRDefault="00272993" w:rsidP="00383715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Polybrominated diphenyl ethers</w:t>
      </w:r>
    </w:p>
    <w:p w14:paraId="1514CBEA" w14:textId="77777777" w:rsidR="00383715" w:rsidRPr="00EC66CC" w:rsidRDefault="00383715" w:rsidP="00383715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Environmental pollutants</w:t>
      </w:r>
    </w:p>
    <w:p w14:paraId="67B8CBF6" w14:textId="02E8CD17" w:rsidR="00704BDF" w:rsidRDefault="00BE0DC2" w:rsidP="00BE0DC2">
      <w:pPr>
        <w:pStyle w:val="AbstractBody"/>
        <w:numPr>
          <w:ilvl w:val="0"/>
          <w:numId w:val="16"/>
        </w:numPr>
        <w:spacing w:after="120" w:line="264" w:lineRule="auto"/>
        <w:ind w:left="1434" w:hanging="357"/>
        <w:rPr>
          <w:rFonts w:asciiTheme="minorHAnsi" w:hAnsiTheme="minorHAnsi"/>
        </w:rPr>
      </w:pPr>
      <w:r>
        <w:rPr>
          <w:rFonts w:asciiTheme="minorHAnsi" w:hAnsiTheme="minorHAnsi"/>
        </w:rPr>
        <w:t>H</w:t>
      </w:r>
      <w:r w:rsidRPr="00BE0DC2">
        <w:rPr>
          <w:rFonts w:asciiTheme="minorHAnsi" w:hAnsiTheme="minorHAnsi"/>
        </w:rPr>
        <w:t>ealth, safety and wellness</w:t>
      </w:r>
    </w:p>
    <w:p w14:paraId="104E841B" w14:textId="77777777" w:rsidR="00BE0DC2" w:rsidRPr="00BE0DC2" w:rsidRDefault="00BE0DC2" w:rsidP="00BE0DC2">
      <w:pPr>
        <w:pStyle w:val="AbstractBody"/>
        <w:ind w:left="1440"/>
        <w:rPr>
          <w:rFonts w:asciiTheme="minorHAnsi" w:hAnsiTheme="minorHAnsi"/>
        </w:rPr>
      </w:pPr>
    </w:p>
    <w:p w14:paraId="3775959A" w14:textId="77777777" w:rsidR="00704BDF" w:rsidRPr="008D0BEB" w:rsidRDefault="00704BDF" w:rsidP="003B1AEC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731864C4" w14:textId="22639AC7" w:rsidR="00984446" w:rsidRDefault="008B601B" w:rsidP="00984446">
      <w:pPr>
        <w:tabs>
          <w:tab w:val="clear" w:pos="7100"/>
        </w:tabs>
        <w:autoSpaceDE w:val="0"/>
        <w:autoSpaceDN w:val="0"/>
        <w:adjustRightInd w:val="0"/>
        <w:rPr>
          <w:rFonts w:asciiTheme="minorHAnsi" w:eastAsia="MS PGothic" w:hAnsiTheme="minorHAnsi"/>
          <w:sz w:val="22"/>
          <w:szCs w:val="22"/>
        </w:rPr>
      </w:pPr>
      <w:r w:rsidRPr="00315AEF">
        <w:rPr>
          <w:rFonts w:asciiTheme="minorHAnsi" w:eastAsia="MS PGothic" w:hAnsiTheme="minorHAnsi"/>
          <w:color w:val="000000"/>
          <w:sz w:val="22"/>
          <w:szCs w:val="22"/>
        </w:rPr>
        <w:t xml:space="preserve">Persistent </w:t>
      </w:r>
      <w:r>
        <w:rPr>
          <w:rFonts w:asciiTheme="minorHAnsi" w:eastAsia="MS PGothic" w:hAnsiTheme="minorHAnsi"/>
          <w:color w:val="000000"/>
          <w:sz w:val="22"/>
          <w:szCs w:val="22"/>
        </w:rPr>
        <w:t>O</w:t>
      </w:r>
      <w:r w:rsidRPr="00315AEF">
        <w:rPr>
          <w:rFonts w:asciiTheme="minorHAnsi" w:eastAsia="MS PGothic" w:hAnsiTheme="minorHAnsi"/>
          <w:color w:val="000000"/>
          <w:sz w:val="22"/>
          <w:szCs w:val="22"/>
        </w:rPr>
        <w:t xml:space="preserve">rganic </w:t>
      </w:r>
      <w:r>
        <w:rPr>
          <w:rFonts w:asciiTheme="minorHAnsi" w:eastAsia="MS PGothic" w:hAnsiTheme="minorHAnsi"/>
          <w:color w:val="000000"/>
          <w:sz w:val="22"/>
          <w:szCs w:val="22"/>
        </w:rPr>
        <w:t>P</w:t>
      </w:r>
      <w:r w:rsidRPr="00315AEF">
        <w:rPr>
          <w:rFonts w:asciiTheme="minorHAnsi" w:eastAsia="MS PGothic" w:hAnsiTheme="minorHAnsi"/>
          <w:color w:val="000000"/>
          <w:sz w:val="22"/>
          <w:szCs w:val="22"/>
        </w:rPr>
        <w:t xml:space="preserve">ollutants (POPs) are a group of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organic compounds that possess toxic properties, persist in the environment, bio-accumulate through the food web </w:t>
      </w:r>
      <w:r w:rsidRPr="00315AEF">
        <w:rPr>
          <w:rFonts w:asciiTheme="minorHAnsi" w:eastAsia="MS PGothic" w:hAnsiTheme="minorHAnsi"/>
          <w:color w:val="000000"/>
          <w:sz w:val="22"/>
          <w:szCs w:val="22"/>
        </w:rPr>
        <w:t xml:space="preserve">and pose a risk of causing adverse effects </w:t>
      </w:r>
      <w:r w:rsidR="006642A2">
        <w:rPr>
          <w:rFonts w:asciiTheme="minorHAnsi" w:eastAsia="MS PGothic" w:hAnsiTheme="minorHAnsi"/>
          <w:color w:val="000000"/>
          <w:sz w:val="22"/>
          <w:szCs w:val="22"/>
        </w:rPr>
        <w:t>on</w:t>
      </w:r>
      <w:r w:rsidR="006642A2" w:rsidRPr="00315AEF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Pr="00315AEF">
        <w:rPr>
          <w:rFonts w:asciiTheme="minorHAnsi" w:eastAsia="MS PGothic" w:hAnsiTheme="minorHAnsi"/>
          <w:color w:val="000000"/>
          <w:sz w:val="22"/>
          <w:szCs w:val="22"/>
        </w:rPr>
        <w:t>human health and the environment.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The European Union (EU)</w:t>
      </w:r>
      <w:r w:rsidR="008738DF">
        <w:rPr>
          <w:rFonts w:asciiTheme="minorHAnsi" w:eastAsia="MS PGothic" w:hAnsiTheme="minorHAnsi"/>
          <w:color w:val="000000"/>
          <w:sz w:val="22"/>
          <w:szCs w:val="22"/>
        </w:rPr>
        <w:t xml:space="preserve"> coordinates its Member States being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part</w:t>
      </w:r>
      <w:r w:rsidR="008738DF">
        <w:rPr>
          <w:rFonts w:asciiTheme="minorHAnsi" w:eastAsia="MS PGothic" w:hAnsiTheme="minorHAnsi"/>
          <w:color w:val="000000"/>
          <w:sz w:val="22"/>
          <w:szCs w:val="22"/>
        </w:rPr>
        <w:t>s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to the global Stockholm Convention (SC) on POPs. </w:t>
      </w:r>
      <w:r w:rsidRPr="007B7CD9">
        <w:rPr>
          <w:rFonts w:asciiTheme="minorHAnsi" w:eastAsia="MS PGothic" w:hAnsiTheme="minorHAnsi"/>
          <w:color w:val="000000"/>
          <w:sz w:val="22"/>
          <w:szCs w:val="22"/>
        </w:rPr>
        <w:t xml:space="preserve">The Conference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</w:rPr>
        <w:t>O</w:t>
      </w:r>
      <w:r w:rsidRPr="007B7CD9">
        <w:rPr>
          <w:rFonts w:asciiTheme="minorHAnsi" w:eastAsia="MS PGothic" w:hAnsiTheme="minorHAnsi"/>
          <w:color w:val="000000"/>
          <w:sz w:val="22"/>
          <w:szCs w:val="22"/>
        </w:rPr>
        <w:t>f</w:t>
      </w:r>
      <w:proofErr w:type="gramEnd"/>
      <w:r w:rsidRPr="007B7CD9">
        <w:rPr>
          <w:rFonts w:asciiTheme="minorHAnsi" w:eastAsia="MS PGothic" w:hAnsiTheme="minorHAnsi"/>
          <w:color w:val="000000"/>
          <w:sz w:val="22"/>
          <w:szCs w:val="22"/>
        </w:rPr>
        <w:t xml:space="preserve"> the Parties (COP) to the </w:t>
      </w:r>
      <w:r>
        <w:rPr>
          <w:rFonts w:asciiTheme="minorHAnsi" w:eastAsia="MS PGothic" w:hAnsiTheme="minorHAnsi"/>
          <w:color w:val="000000"/>
          <w:sz w:val="22"/>
          <w:szCs w:val="22"/>
        </w:rPr>
        <w:t>SC</w:t>
      </w:r>
      <w:r w:rsidRPr="007B7CD9">
        <w:rPr>
          <w:rFonts w:asciiTheme="minorHAnsi" w:eastAsia="MS PGothic" w:hAnsiTheme="minorHAnsi"/>
          <w:color w:val="000000"/>
          <w:sz w:val="22"/>
          <w:szCs w:val="22"/>
        </w:rPr>
        <w:t xml:space="preserve"> is cooperating closely with the appropriate bodies under the Basel Convention (BC) on POPs waste to develop guidelines for what is considered </w:t>
      </w:r>
      <w:r w:rsidR="008E3F5A">
        <w:rPr>
          <w:rFonts w:asciiTheme="minorHAnsi" w:eastAsia="MS PGothic" w:hAnsiTheme="minorHAnsi"/>
          <w:color w:val="000000"/>
          <w:sz w:val="22"/>
          <w:szCs w:val="22"/>
        </w:rPr>
        <w:t>E</w:t>
      </w:r>
      <w:r w:rsidRPr="007B7CD9">
        <w:rPr>
          <w:rFonts w:asciiTheme="minorHAnsi" w:eastAsia="MS PGothic" w:hAnsiTheme="minorHAnsi"/>
          <w:color w:val="000000"/>
          <w:sz w:val="22"/>
          <w:szCs w:val="22"/>
        </w:rPr>
        <w:t xml:space="preserve">nvironmentally </w:t>
      </w:r>
      <w:r w:rsidR="008E3F5A">
        <w:rPr>
          <w:rFonts w:asciiTheme="minorHAnsi" w:eastAsia="MS PGothic" w:hAnsiTheme="minorHAnsi"/>
          <w:color w:val="000000"/>
          <w:sz w:val="22"/>
          <w:szCs w:val="22"/>
        </w:rPr>
        <w:t>S</w:t>
      </w:r>
      <w:r w:rsidRPr="007B7CD9">
        <w:rPr>
          <w:rFonts w:asciiTheme="minorHAnsi" w:eastAsia="MS PGothic" w:hAnsiTheme="minorHAnsi"/>
          <w:color w:val="000000"/>
          <w:sz w:val="22"/>
          <w:szCs w:val="22"/>
        </w:rPr>
        <w:t xml:space="preserve">ound </w:t>
      </w:r>
      <w:r w:rsidR="008E3F5A">
        <w:rPr>
          <w:rFonts w:asciiTheme="minorHAnsi" w:eastAsia="MS PGothic" w:hAnsiTheme="minorHAnsi"/>
          <w:color w:val="000000"/>
          <w:sz w:val="22"/>
          <w:szCs w:val="22"/>
        </w:rPr>
        <w:t>M</w:t>
      </w:r>
      <w:r w:rsidRPr="007B7CD9">
        <w:rPr>
          <w:rFonts w:asciiTheme="minorHAnsi" w:eastAsia="MS PGothic" w:hAnsiTheme="minorHAnsi"/>
          <w:color w:val="000000"/>
          <w:sz w:val="22"/>
          <w:szCs w:val="22"/>
        </w:rPr>
        <w:t xml:space="preserve">anagement </w:t>
      </w:r>
      <w:r w:rsidR="00115941">
        <w:rPr>
          <w:rFonts w:asciiTheme="minorHAnsi" w:eastAsia="MS PGothic" w:hAnsiTheme="minorHAnsi"/>
          <w:color w:val="000000"/>
          <w:sz w:val="22"/>
          <w:szCs w:val="22"/>
        </w:rPr>
        <w:t xml:space="preserve">(ESM) </w:t>
      </w:r>
      <w:r w:rsidRPr="007B7CD9">
        <w:rPr>
          <w:rFonts w:asciiTheme="minorHAnsi" w:eastAsia="MS PGothic" w:hAnsiTheme="minorHAnsi"/>
          <w:color w:val="000000"/>
          <w:sz w:val="22"/>
          <w:szCs w:val="22"/>
        </w:rPr>
        <w:t>of POP containing waste and to establish destruction limits for such wastes.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9875F5" w:rsidRPr="009875F5">
        <w:rPr>
          <w:rFonts w:asciiTheme="minorHAnsi" w:eastAsia="MS PGothic" w:hAnsiTheme="minorHAnsi"/>
          <w:color w:val="000000"/>
          <w:sz w:val="22"/>
          <w:szCs w:val="22"/>
        </w:rPr>
        <w:t xml:space="preserve">The BC is a global environmental treaty on </w:t>
      </w:r>
      <w:r w:rsidR="008738DF">
        <w:rPr>
          <w:rFonts w:asciiTheme="minorHAnsi" w:eastAsia="MS PGothic" w:hAnsiTheme="minorHAnsi"/>
          <w:color w:val="000000"/>
          <w:sz w:val="22"/>
          <w:szCs w:val="22"/>
        </w:rPr>
        <w:t xml:space="preserve">the control of </w:t>
      </w:r>
      <w:r w:rsidR="009875F5" w:rsidRPr="009875F5">
        <w:rPr>
          <w:rFonts w:asciiTheme="minorHAnsi" w:eastAsia="MS PGothic" w:hAnsiTheme="minorHAnsi"/>
          <w:color w:val="000000"/>
          <w:sz w:val="22"/>
          <w:szCs w:val="22"/>
        </w:rPr>
        <w:t>transboundary movement</w:t>
      </w:r>
      <w:r w:rsidR="008738DF">
        <w:rPr>
          <w:rFonts w:asciiTheme="minorHAnsi" w:eastAsia="MS PGothic" w:hAnsiTheme="minorHAnsi"/>
          <w:color w:val="000000"/>
          <w:sz w:val="22"/>
          <w:szCs w:val="22"/>
        </w:rPr>
        <w:t>s</w:t>
      </w:r>
      <w:r w:rsidR="009875F5" w:rsidRPr="009875F5">
        <w:rPr>
          <w:rFonts w:asciiTheme="minorHAnsi" w:eastAsia="MS PGothic" w:hAnsiTheme="minorHAnsi"/>
          <w:color w:val="000000"/>
          <w:sz w:val="22"/>
          <w:szCs w:val="22"/>
        </w:rPr>
        <w:t xml:space="preserve"> of hazardous waste</w:t>
      </w:r>
      <w:r w:rsidR="008738DF">
        <w:rPr>
          <w:rFonts w:asciiTheme="minorHAnsi" w:eastAsia="MS PGothic" w:hAnsiTheme="minorHAnsi"/>
          <w:color w:val="000000"/>
          <w:sz w:val="22"/>
          <w:szCs w:val="22"/>
        </w:rPr>
        <w:t>s</w:t>
      </w:r>
      <w:r w:rsidR="009875F5" w:rsidRPr="009875F5">
        <w:rPr>
          <w:rFonts w:asciiTheme="minorHAnsi" w:eastAsia="MS PGothic" w:hAnsiTheme="minorHAnsi"/>
          <w:color w:val="000000"/>
          <w:sz w:val="22"/>
          <w:szCs w:val="22"/>
        </w:rPr>
        <w:t xml:space="preserve"> and </w:t>
      </w:r>
      <w:r w:rsidR="008738DF">
        <w:rPr>
          <w:rFonts w:asciiTheme="minorHAnsi" w:eastAsia="MS PGothic" w:hAnsiTheme="minorHAnsi"/>
          <w:color w:val="000000"/>
          <w:sz w:val="22"/>
          <w:szCs w:val="22"/>
        </w:rPr>
        <w:t>their</w:t>
      </w:r>
      <w:r w:rsidR="008738DF" w:rsidRPr="009875F5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9875F5" w:rsidRPr="009875F5">
        <w:rPr>
          <w:rFonts w:asciiTheme="minorHAnsi" w:eastAsia="MS PGothic" w:hAnsiTheme="minorHAnsi"/>
          <w:color w:val="000000"/>
          <w:sz w:val="22"/>
          <w:szCs w:val="22"/>
        </w:rPr>
        <w:t xml:space="preserve">disposal. </w:t>
      </w:r>
      <w:r w:rsidR="007A504C">
        <w:rPr>
          <w:rFonts w:asciiTheme="minorHAnsi" w:eastAsia="MS PGothic" w:hAnsiTheme="minorHAnsi"/>
          <w:color w:val="000000"/>
          <w:sz w:val="22"/>
          <w:szCs w:val="22"/>
        </w:rPr>
        <w:t>The POPs listed in the two Conventions are to date 26</w:t>
      </w:r>
      <w:r w:rsidR="009875F5">
        <w:rPr>
          <w:rFonts w:asciiTheme="minorHAnsi" w:eastAsia="MS PGothic" w:hAnsiTheme="minorHAnsi"/>
          <w:color w:val="000000"/>
          <w:sz w:val="22"/>
          <w:szCs w:val="22"/>
        </w:rPr>
        <w:t>,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9875F5">
        <w:rPr>
          <w:rFonts w:asciiTheme="minorHAnsi" w:eastAsia="MS PGothic" w:hAnsiTheme="minorHAnsi"/>
          <w:color w:val="000000"/>
          <w:sz w:val="22"/>
          <w:szCs w:val="22"/>
        </w:rPr>
        <w:t>including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some of the </w:t>
      </w:r>
      <w:proofErr w:type="spellStart"/>
      <w:r w:rsidR="00502797">
        <w:rPr>
          <w:rFonts w:asciiTheme="minorHAnsi" w:eastAsia="MS PGothic" w:hAnsiTheme="minorHAnsi"/>
          <w:color w:val="000000"/>
          <w:sz w:val="22"/>
          <w:szCs w:val="22"/>
        </w:rPr>
        <w:t>P</w:t>
      </w:r>
      <w:r w:rsidR="00D805EF">
        <w:rPr>
          <w:rFonts w:asciiTheme="minorHAnsi" w:eastAsia="MS PGothic" w:hAnsiTheme="minorHAnsi"/>
          <w:color w:val="000000"/>
          <w:sz w:val="22"/>
          <w:szCs w:val="22"/>
        </w:rPr>
        <w:t>oly</w:t>
      </w:r>
      <w:r w:rsidR="00502797">
        <w:rPr>
          <w:rFonts w:asciiTheme="minorHAnsi" w:eastAsia="MS PGothic" w:hAnsiTheme="minorHAnsi"/>
          <w:color w:val="000000"/>
          <w:sz w:val="22"/>
          <w:szCs w:val="22"/>
        </w:rPr>
        <w:t>B</w:t>
      </w:r>
      <w:r>
        <w:rPr>
          <w:rFonts w:asciiTheme="minorHAnsi" w:eastAsia="MS PGothic" w:hAnsiTheme="minorHAnsi"/>
          <w:color w:val="000000"/>
          <w:sz w:val="22"/>
          <w:szCs w:val="22"/>
        </w:rPr>
        <w:t>rominated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502797">
        <w:rPr>
          <w:rFonts w:asciiTheme="minorHAnsi" w:eastAsia="MS PGothic" w:hAnsiTheme="minorHAnsi"/>
          <w:color w:val="000000"/>
          <w:sz w:val="22"/>
          <w:szCs w:val="22"/>
        </w:rPr>
        <w:t>D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iphenyl </w:t>
      </w:r>
      <w:r w:rsidR="00502797">
        <w:rPr>
          <w:rFonts w:asciiTheme="minorHAnsi" w:eastAsia="MS PGothic" w:hAnsiTheme="minorHAnsi"/>
          <w:color w:val="000000"/>
          <w:sz w:val="22"/>
          <w:szCs w:val="22"/>
        </w:rPr>
        <w:t>E</w:t>
      </w:r>
      <w:r>
        <w:rPr>
          <w:rFonts w:asciiTheme="minorHAnsi" w:eastAsia="MS PGothic" w:hAnsiTheme="minorHAnsi"/>
          <w:color w:val="000000"/>
          <w:sz w:val="22"/>
          <w:szCs w:val="22"/>
        </w:rPr>
        <w:t>thers (</w:t>
      </w:r>
      <w:r w:rsidR="00D805EF">
        <w:rPr>
          <w:rFonts w:asciiTheme="minorHAnsi" w:eastAsia="MS PGothic" w:hAnsiTheme="minorHAnsi"/>
          <w:color w:val="000000"/>
          <w:sz w:val="22"/>
          <w:szCs w:val="22"/>
        </w:rPr>
        <w:t>P</w:t>
      </w:r>
      <w:r>
        <w:rPr>
          <w:rFonts w:asciiTheme="minorHAnsi" w:eastAsia="MS PGothic" w:hAnsiTheme="minorHAnsi"/>
          <w:color w:val="000000"/>
          <w:sz w:val="22"/>
          <w:szCs w:val="22"/>
        </w:rPr>
        <w:t>BDEs)</w:t>
      </w:r>
      <w:r w:rsidRPr="00C53826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984446">
        <w:rPr>
          <w:rFonts w:asciiTheme="minorHAnsi" w:eastAsia="MS PGothic" w:hAnsiTheme="minorHAnsi"/>
          <w:color w:val="000000"/>
          <w:sz w:val="22"/>
          <w:szCs w:val="22"/>
        </w:rPr>
        <w:t>(</w:t>
      </w:r>
      <w:r w:rsidR="00984446" w:rsidRPr="007A504C">
        <w:rPr>
          <w:rFonts w:asciiTheme="minorHAnsi" w:eastAsia="MS PGothic" w:hAnsiTheme="minorHAnsi"/>
          <w:sz w:val="22"/>
          <w:szCs w:val="22"/>
        </w:rPr>
        <w:t>UNEP/POPS/COP.7/INF/27</w:t>
      </w:r>
      <w:r w:rsidR="00984446">
        <w:rPr>
          <w:rFonts w:asciiTheme="minorHAnsi" w:eastAsia="MS PGothic" w:hAnsiTheme="minorHAnsi"/>
          <w:color w:val="000000"/>
          <w:sz w:val="22"/>
          <w:szCs w:val="22"/>
        </w:rPr>
        <w:t>)</w:t>
      </w:r>
      <w:r w:rsidR="00C71E92">
        <w:rPr>
          <w:rFonts w:asciiTheme="minorHAnsi" w:eastAsia="MS PGothic" w:hAnsiTheme="minorHAnsi"/>
          <w:color w:val="000000"/>
          <w:sz w:val="22"/>
          <w:szCs w:val="22"/>
        </w:rPr>
        <w:t xml:space="preserve">, </w:t>
      </w:r>
      <w:r w:rsidR="00C71E92" w:rsidRPr="00C71E92">
        <w:rPr>
          <w:rFonts w:asciiTheme="minorHAnsi" w:eastAsia="MS PGothic" w:hAnsiTheme="minorHAnsi"/>
          <w:color w:val="000000"/>
          <w:sz w:val="22"/>
          <w:szCs w:val="22"/>
        </w:rPr>
        <w:t xml:space="preserve">an important class of </w:t>
      </w:r>
      <w:r w:rsidR="00F60C79">
        <w:rPr>
          <w:rFonts w:asciiTheme="minorHAnsi" w:eastAsia="MS PGothic" w:hAnsiTheme="minorHAnsi"/>
          <w:color w:val="000000"/>
          <w:sz w:val="22"/>
          <w:szCs w:val="22"/>
        </w:rPr>
        <w:t>B</w:t>
      </w:r>
      <w:r w:rsidR="00C71E92" w:rsidRPr="00C71E92">
        <w:rPr>
          <w:rFonts w:asciiTheme="minorHAnsi" w:eastAsia="MS PGothic" w:hAnsiTheme="minorHAnsi"/>
          <w:color w:val="000000"/>
          <w:sz w:val="22"/>
          <w:szCs w:val="22"/>
        </w:rPr>
        <w:t xml:space="preserve">rominated </w:t>
      </w:r>
      <w:r w:rsidR="00F60C79">
        <w:rPr>
          <w:rFonts w:asciiTheme="minorHAnsi" w:eastAsia="MS PGothic" w:hAnsiTheme="minorHAnsi"/>
          <w:color w:val="000000"/>
          <w:sz w:val="22"/>
          <w:szCs w:val="22"/>
        </w:rPr>
        <w:t>F</w:t>
      </w:r>
      <w:r w:rsidR="00C71E92" w:rsidRPr="00C71E92">
        <w:rPr>
          <w:rFonts w:asciiTheme="minorHAnsi" w:eastAsia="MS PGothic" w:hAnsiTheme="minorHAnsi"/>
          <w:color w:val="000000"/>
          <w:sz w:val="22"/>
          <w:szCs w:val="22"/>
        </w:rPr>
        <w:t xml:space="preserve">lame </w:t>
      </w:r>
      <w:r w:rsidR="00F60C79">
        <w:rPr>
          <w:rFonts w:asciiTheme="minorHAnsi" w:eastAsia="MS PGothic" w:hAnsiTheme="minorHAnsi"/>
          <w:color w:val="000000"/>
          <w:sz w:val="22"/>
          <w:szCs w:val="22"/>
        </w:rPr>
        <w:t>R</w:t>
      </w:r>
      <w:r w:rsidR="00C71E92" w:rsidRPr="00C71E92">
        <w:rPr>
          <w:rFonts w:asciiTheme="minorHAnsi" w:eastAsia="MS PGothic" w:hAnsiTheme="minorHAnsi"/>
          <w:color w:val="000000"/>
          <w:sz w:val="22"/>
          <w:szCs w:val="22"/>
        </w:rPr>
        <w:t>etardants (BFRs</w:t>
      </w:r>
      <w:r w:rsidR="008738DF" w:rsidRPr="00C71E92">
        <w:rPr>
          <w:rFonts w:asciiTheme="minorHAnsi" w:eastAsia="MS PGothic" w:hAnsiTheme="minorHAnsi"/>
          <w:color w:val="000000"/>
          <w:sz w:val="22"/>
          <w:szCs w:val="22"/>
        </w:rPr>
        <w:t>)</w:t>
      </w:r>
      <w:r w:rsidR="008738DF">
        <w:rPr>
          <w:rFonts w:asciiTheme="minorHAnsi" w:eastAsia="MS PGothic" w:hAnsiTheme="minorHAnsi"/>
          <w:color w:val="000000"/>
          <w:sz w:val="22"/>
          <w:szCs w:val="22"/>
        </w:rPr>
        <w:t xml:space="preserve">. The last BDE listed </w:t>
      </w:r>
      <w:r w:rsidR="008738DF" w:rsidRPr="003B1AEC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in Annex A, to the </w:t>
      </w:r>
      <w:proofErr w:type="gramStart"/>
      <w:r w:rsidR="008E3F5A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SC</w:t>
      </w:r>
      <w:r w:rsidR="008738DF" w:rsidRPr="00550E2C">
        <w:rPr>
          <w:rFonts w:asciiTheme="minorHAnsi" w:eastAsia="MS PGothic" w:hAnsiTheme="minorHAnsi"/>
          <w:sz w:val="22"/>
          <w:szCs w:val="22"/>
        </w:rPr>
        <w:t xml:space="preserve"> </w:t>
      </w:r>
      <w:r w:rsidR="007A504C" w:rsidRPr="007A504C">
        <w:t xml:space="preserve"> </w:t>
      </w:r>
      <w:r w:rsidR="007A504C">
        <w:rPr>
          <w:rFonts w:asciiTheme="minorHAnsi" w:eastAsia="MS PGothic" w:hAnsiTheme="minorHAnsi"/>
          <w:sz w:val="22"/>
          <w:szCs w:val="22"/>
        </w:rPr>
        <w:t>(</w:t>
      </w:r>
      <w:proofErr w:type="gramEnd"/>
      <w:r w:rsidR="007A504C" w:rsidRPr="007A504C">
        <w:rPr>
          <w:rFonts w:asciiTheme="minorHAnsi" w:eastAsia="MS PGothic" w:hAnsiTheme="minorHAnsi"/>
          <w:sz w:val="22"/>
          <w:szCs w:val="22"/>
        </w:rPr>
        <w:t>UNEP/POPS/COP.7/INF/27</w:t>
      </w:r>
      <w:r w:rsidR="007A504C">
        <w:rPr>
          <w:rFonts w:asciiTheme="minorHAnsi" w:eastAsia="MS PGothic" w:hAnsiTheme="minorHAnsi"/>
          <w:sz w:val="22"/>
          <w:szCs w:val="22"/>
        </w:rPr>
        <w:t>)</w:t>
      </w:r>
      <w:r w:rsidR="007A504C" w:rsidRPr="007A504C">
        <w:rPr>
          <w:rFonts w:asciiTheme="minorHAnsi" w:eastAsia="MS PGothic" w:hAnsiTheme="minorHAnsi"/>
          <w:sz w:val="22"/>
          <w:szCs w:val="22"/>
        </w:rPr>
        <w:t xml:space="preserve"> </w:t>
      </w:r>
      <w:r w:rsidR="008738DF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i</w:t>
      </w:r>
      <w:r w:rsidR="008738DF" w:rsidRPr="003B1AEC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n 2017 was </w:t>
      </w:r>
      <w:proofErr w:type="spellStart"/>
      <w:r w:rsidR="008738DF" w:rsidRPr="003B1AEC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decaBDE</w:t>
      </w:r>
      <w:proofErr w:type="spellEnd"/>
      <w:r w:rsidR="008738DF" w:rsidRPr="003B1AEC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component (BDE-209) of c-</w:t>
      </w:r>
      <w:proofErr w:type="spellStart"/>
      <w:r w:rsidR="008738DF" w:rsidRPr="003B1AEC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decaBDE</w:t>
      </w:r>
      <w:proofErr w:type="spellEnd"/>
      <w:r w:rsidR="008738DF" w:rsidRPr="003B1AEC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</w:t>
      </w:r>
      <w:r w:rsidR="008738DF" w:rsidRPr="00550E2C">
        <w:rPr>
          <w:rFonts w:asciiTheme="minorHAnsi" w:eastAsia="MS PGothic" w:hAnsiTheme="minorHAnsi"/>
          <w:sz w:val="22"/>
          <w:szCs w:val="22"/>
        </w:rPr>
        <w:t xml:space="preserve">with specific exemptions for the production and use. Under the REACH Regulation, </w:t>
      </w:r>
      <w:proofErr w:type="spellStart"/>
      <w:r w:rsidR="008738DF" w:rsidRPr="00550E2C">
        <w:rPr>
          <w:rFonts w:asciiTheme="minorHAnsi" w:eastAsia="MS PGothic" w:hAnsiTheme="minorHAnsi"/>
          <w:sz w:val="22"/>
          <w:szCs w:val="22"/>
        </w:rPr>
        <w:t>decaBDE</w:t>
      </w:r>
      <w:proofErr w:type="spellEnd"/>
      <w:r w:rsidR="008738DF" w:rsidRPr="00550E2C">
        <w:rPr>
          <w:rFonts w:asciiTheme="minorHAnsi" w:eastAsia="MS PGothic" w:hAnsiTheme="minorHAnsi"/>
          <w:sz w:val="22"/>
          <w:szCs w:val="22"/>
        </w:rPr>
        <w:t xml:space="preserve"> was registered in 2011 and identified as a </w:t>
      </w:r>
      <w:r w:rsidR="008E3F5A">
        <w:rPr>
          <w:rFonts w:asciiTheme="minorHAnsi" w:eastAsia="MS PGothic" w:hAnsiTheme="minorHAnsi"/>
          <w:sz w:val="22"/>
          <w:szCs w:val="22"/>
        </w:rPr>
        <w:t>P</w:t>
      </w:r>
      <w:r w:rsidR="008738DF" w:rsidRPr="00550E2C">
        <w:rPr>
          <w:rFonts w:asciiTheme="minorHAnsi" w:eastAsia="MS PGothic" w:hAnsiTheme="minorHAnsi"/>
          <w:sz w:val="22"/>
          <w:szCs w:val="22"/>
        </w:rPr>
        <w:t xml:space="preserve">ersistent, </w:t>
      </w:r>
      <w:proofErr w:type="spellStart"/>
      <w:r w:rsidR="008E3F5A">
        <w:rPr>
          <w:rFonts w:asciiTheme="minorHAnsi" w:eastAsia="MS PGothic" w:hAnsiTheme="minorHAnsi"/>
          <w:sz w:val="22"/>
          <w:szCs w:val="22"/>
        </w:rPr>
        <w:t>B</w:t>
      </w:r>
      <w:r w:rsidR="008738DF" w:rsidRPr="00550E2C">
        <w:rPr>
          <w:rFonts w:asciiTheme="minorHAnsi" w:eastAsia="MS PGothic" w:hAnsiTheme="minorHAnsi"/>
          <w:sz w:val="22"/>
          <w:szCs w:val="22"/>
        </w:rPr>
        <w:t>ioaccumulative</w:t>
      </w:r>
      <w:proofErr w:type="spellEnd"/>
      <w:r w:rsidR="008738DF" w:rsidRPr="00550E2C">
        <w:rPr>
          <w:rFonts w:asciiTheme="minorHAnsi" w:eastAsia="MS PGothic" w:hAnsiTheme="minorHAnsi"/>
          <w:sz w:val="22"/>
          <w:szCs w:val="22"/>
        </w:rPr>
        <w:t xml:space="preserve"> and </w:t>
      </w:r>
      <w:r w:rsidR="008E3F5A">
        <w:rPr>
          <w:rFonts w:asciiTheme="minorHAnsi" w:eastAsia="MS PGothic" w:hAnsiTheme="minorHAnsi"/>
          <w:sz w:val="22"/>
          <w:szCs w:val="22"/>
        </w:rPr>
        <w:t>T</w:t>
      </w:r>
      <w:r w:rsidR="008738DF" w:rsidRPr="00550E2C">
        <w:rPr>
          <w:rFonts w:asciiTheme="minorHAnsi" w:eastAsia="MS PGothic" w:hAnsiTheme="minorHAnsi"/>
          <w:sz w:val="22"/>
          <w:szCs w:val="22"/>
        </w:rPr>
        <w:t xml:space="preserve">oxic (PBT) and very </w:t>
      </w:r>
      <w:r w:rsidR="008E3F5A">
        <w:rPr>
          <w:rFonts w:asciiTheme="minorHAnsi" w:eastAsia="MS PGothic" w:hAnsiTheme="minorHAnsi"/>
          <w:sz w:val="22"/>
          <w:szCs w:val="22"/>
        </w:rPr>
        <w:t>P</w:t>
      </w:r>
      <w:r w:rsidR="008738DF" w:rsidRPr="00550E2C">
        <w:rPr>
          <w:rFonts w:asciiTheme="minorHAnsi" w:eastAsia="MS PGothic" w:hAnsiTheme="minorHAnsi"/>
          <w:sz w:val="22"/>
          <w:szCs w:val="22"/>
        </w:rPr>
        <w:t xml:space="preserve">ersistent and very </w:t>
      </w:r>
      <w:proofErr w:type="spellStart"/>
      <w:r w:rsidR="008E3F5A">
        <w:rPr>
          <w:rFonts w:asciiTheme="minorHAnsi" w:eastAsia="MS PGothic" w:hAnsiTheme="minorHAnsi"/>
          <w:sz w:val="22"/>
          <w:szCs w:val="22"/>
        </w:rPr>
        <w:t>B</w:t>
      </w:r>
      <w:r w:rsidR="008738DF" w:rsidRPr="00550E2C">
        <w:rPr>
          <w:rFonts w:asciiTheme="minorHAnsi" w:eastAsia="MS PGothic" w:hAnsiTheme="minorHAnsi"/>
          <w:sz w:val="22"/>
          <w:szCs w:val="22"/>
        </w:rPr>
        <w:t>ioaccumulative</w:t>
      </w:r>
      <w:proofErr w:type="spellEnd"/>
      <w:r w:rsidR="008738DF" w:rsidRPr="00550E2C">
        <w:rPr>
          <w:rFonts w:asciiTheme="minorHAnsi" w:eastAsia="MS PGothic" w:hAnsiTheme="minorHAnsi"/>
          <w:sz w:val="22"/>
          <w:szCs w:val="22"/>
        </w:rPr>
        <w:t xml:space="preserve"> (</w:t>
      </w:r>
      <w:proofErr w:type="spellStart"/>
      <w:r w:rsidR="008738DF" w:rsidRPr="00550E2C">
        <w:rPr>
          <w:rFonts w:asciiTheme="minorHAnsi" w:eastAsia="MS PGothic" w:hAnsiTheme="minorHAnsi"/>
          <w:sz w:val="22"/>
          <w:szCs w:val="22"/>
        </w:rPr>
        <w:t>vPvB</w:t>
      </w:r>
      <w:proofErr w:type="spellEnd"/>
      <w:r w:rsidR="008738DF" w:rsidRPr="00550E2C">
        <w:rPr>
          <w:rFonts w:asciiTheme="minorHAnsi" w:eastAsia="MS PGothic" w:hAnsiTheme="minorHAnsi"/>
          <w:sz w:val="22"/>
          <w:szCs w:val="22"/>
        </w:rPr>
        <w:t xml:space="preserve">) substance </w:t>
      </w:r>
      <w:r w:rsidR="007A504C" w:rsidRPr="00407788">
        <w:rPr>
          <w:rFonts w:asciiTheme="minorHAnsi" w:eastAsia="MS PGothic" w:hAnsiTheme="minorHAnsi"/>
          <w:sz w:val="22"/>
          <w:szCs w:val="22"/>
        </w:rPr>
        <w:t>(</w:t>
      </w:r>
      <w:r w:rsidR="007A504C" w:rsidRPr="00984446">
        <w:rPr>
          <w:rFonts w:asciiTheme="minorHAnsi" w:hAnsiTheme="minorHAnsi"/>
          <w:color w:val="000000"/>
          <w:sz w:val="22"/>
          <w:szCs w:val="22"/>
        </w:rPr>
        <w:t>UNEP/POPS/COP.7/INF/22)</w:t>
      </w:r>
      <w:r w:rsidR="008738DF" w:rsidRPr="007A504C">
        <w:rPr>
          <w:rFonts w:asciiTheme="minorHAnsi" w:eastAsia="MS PGothic" w:hAnsiTheme="minorHAnsi"/>
          <w:sz w:val="22"/>
          <w:szCs w:val="22"/>
        </w:rPr>
        <w:t>.</w:t>
      </w:r>
      <w:r w:rsidR="008738DF">
        <w:rPr>
          <w:rFonts w:asciiTheme="minorHAnsi" w:eastAsia="MS PGothic" w:hAnsiTheme="minorHAnsi"/>
          <w:sz w:val="22"/>
          <w:szCs w:val="22"/>
        </w:rPr>
        <w:t xml:space="preserve"> </w:t>
      </w:r>
    </w:p>
    <w:p w14:paraId="056A85CF" w14:textId="06B2C517" w:rsidR="00E617B5" w:rsidRDefault="009B5CC5" w:rsidP="00E617B5">
      <w:pPr>
        <w:tabs>
          <w:tab w:val="clear" w:pos="7100"/>
        </w:tabs>
        <w:autoSpaceDE w:val="0"/>
        <w:autoSpaceDN w:val="0"/>
        <w:adjustRightIn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 w:rsidRPr="009B5CC5">
        <w:rPr>
          <w:rFonts w:asciiTheme="minorHAnsi" w:eastAsia="MS PGothic" w:hAnsiTheme="minorHAnsi"/>
          <w:color w:val="000000"/>
          <w:sz w:val="22"/>
          <w:szCs w:val="22"/>
        </w:rPr>
        <w:t xml:space="preserve">The </w:t>
      </w:r>
      <w:r w:rsidR="00BA3665" w:rsidRPr="00723155">
        <w:rPr>
          <w:rFonts w:asciiTheme="minorHAnsi" w:eastAsia="MS PGothic" w:hAnsiTheme="minorHAnsi"/>
          <w:color w:val="000000" w:themeColor="text1"/>
          <w:sz w:val="22"/>
          <w:szCs w:val="22"/>
        </w:rPr>
        <w:t xml:space="preserve">Department </w:t>
      </w:r>
      <w:r w:rsidR="00BA3665">
        <w:rPr>
          <w:rFonts w:asciiTheme="minorHAnsi" w:eastAsia="MS PGothic" w:hAnsiTheme="minorHAnsi"/>
          <w:color w:val="000000" w:themeColor="text1"/>
          <w:sz w:val="22"/>
          <w:szCs w:val="22"/>
        </w:rPr>
        <w:t>o</w:t>
      </w:r>
      <w:r w:rsidR="00BA3665" w:rsidRPr="00723155">
        <w:rPr>
          <w:rFonts w:asciiTheme="minorHAnsi" w:eastAsia="MS PGothic" w:hAnsiTheme="minorHAnsi"/>
          <w:color w:val="000000" w:themeColor="text1"/>
          <w:sz w:val="22"/>
          <w:szCs w:val="22"/>
        </w:rPr>
        <w:t>f Technological Innovations</w:t>
      </w:r>
      <w:r w:rsidR="00BA3665" w:rsidRPr="009B5CC5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Pr="009B5CC5">
        <w:rPr>
          <w:rFonts w:asciiTheme="minorHAnsi" w:eastAsia="MS PGothic" w:hAnsiTheme="minorHAnsi"/>
          <w:color w:val="000000"/>
          <w:sz w:val="22"/>
          <w:szCs w:val="22"/>
        </w:rPr>
        <w:t>(</w:t>
      </w:r>
      <w:r>
        <w:rPr>
          <w:rFonts w:asciiTheme="minorHAnsi" w:eastAsia="MS PGothic" w:hAnsiTheme="minorHAnsi"/>
          <w:color w:val="000000"/>
          <w:sz w:val="22"/>
          <w:szCs w:val="22"/>
        </w:rPr>
        <w:t>DIT</w:t>
      </w:r>
      <w:r w:rsidRPr="009B5CC5">
        <w:rPr>
          <w:rFonts w:asciiTheme="minorHAnsi" w:eastAsia="MS PGothic" w:hAnsiTheme="minorHAnsi"/>
          <w:color w:val="000000"/>
          <w:sz w:val="22"/>
          <w:szCs w:val="22"/>
        </w:rPr>
        <w:t xml:space="preserve">)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of INAIL, for several years, </w:t>
      </w:r>
      <w:r w:rsidRPr="009B5CC5">
        <w:rPr>
          <w:rFonts w:asciiTheme="minorHAnsi" w:eastAsia="MS PGothic" w:hAnsiTheme="minorHAnsi"/>
          <w:color w:val="000000"/>
          <w:sz w:val="22"/>
          <w:szCs w:val="22"/>
        </w:rPr>
        <w:t xml:space="preserve">has been part of the Small </w:t>
      </w:r>
      <w:r>
        <w:rPr>
          <w:rFonts w:asciiTheme="minorHAnsi" w:eastAsia="MS PGothic" w:hAnsiTheme="minorHAnsi"/>
          <w:color w:val="000000"/>
          <w:sz w:val="22"/>
          <w:szCs w:val="22"/>
        </w:rPr>
        <w:t>I</w:t>
      </w:r>
      <w:r w:rsidRPr="009B5CC5">
        <w:rPr>
          <w:rFonts w:asciiTheme="minorHAnsi" w:eastAsia="MS PGothic" w:hAnsiTheme="minorHAnsi"/>
          <w:color w:val="000000"/>
          <w:sz w:val="22"/>
          <w:szCs w:val="22"/>
        </w:rPr>
        <w:t>ntersessiona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l </w:t>
      </w:r>
      <w:r w:rsidR="00502797">
        <w:rPr>
          <w:rFonts w:asciiTheme="minorHAnsi" w:eastAsia="MS PGothic" w:hAnsiTheme="minorHAnsi"/>
          <w:color w:val="000000"/>
          <w:sz w:val="22"/>
          <w:szCs w:val="22"/>
        </w:rPr>
        <w:t xml:space="preserve">Working Group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(SIWG) </w:t>
      </w:r>
      <w:r w:rsidRPr="009B5CC5">
        <w:rPr>
          <w:rFonts w:asciiTheme="minorHAnsi" w:eastAsia="MS PGothic" w:hAnsiTheme="minorHAnsi"/>
          <w:color w:val="000000"/>
          <w:sz w:val="22"/>
          <w:szCs w:val="22"/>
        </w:rPr>
        <w:t xml:space="preserve">for the </w:t>
      </w:r>
      <w:r w:rsidR="00A23AAB">
        <w:rPr>
          <w:rFonts w:asciiTheme="minorHAnsi" w:eastAsia="MS PGothic" w:hAnsiTheme="minorHAnsi"/>
          <w:color w:val="000000"/>
          <w:sz w:val="22"/>
          <w:szCs w:val="22"/>
        </w:rPr>
        <w:t>development</w:t>
      </w:r>
      <w:r w:rsidRPr="009B5CC5">
        <w:rPr>
          <w:rFonts w:asciiTheme="minorHAnsi" w:eastAsia="MS PGothic" w:hAnsiTheme="minorHAnsi"/>
          <w:color w:val="000000"/>
          <w:sz w:val="22"/>
          <w:szCs w:val="22"/>
        </w:rPr>
        <w:t xml:space="preserve"> of </w:t>
      </w:r>
      <w:r w:rsidR="00502797">
        <w:rPr>
          <w:rFonts w:asciiTheme="minorHAnsi" w:eastAsia="MS PGothic" w:hAnsiTheme="minorHAnsi"/>
          <w:color w:val="000000"/>
          <w:sz w:val="22"/>
          <w:szCs w:val="22"/>
        </w:rPr>
        <w:t>Technical Guidelines</w:t>
      </w:r>
      <w:r w:rsidR="00502797" w:rsidRPr="009B5CC5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Pr="009B5CC5">
        <w:rPr>
          <w:rFonts w:asciiTheme="minorHAnsi" w:eastAsia="MS PGothic" w:hAnsiTheme="minorHAnsi"/>
          <w:color w:val="000000"/>
          <w:sz w:val="22"/>
          <w:szCs w:val="22"/>
        </w:rPr>
        <w:t xml:space="preserve">(TG) </w:t>
      </w:r>
      <w:r w:rsidR="001D0B63">
        <w:rPr>
          <w:rFonts w:asciiTheme="minorHAnsi" w:eastAsia="MS PGothic" w:hAnsiTheme="minorHAnsi"/>
          <w:color w:val="000000"/>
          <w:sz w:val="22"/>
          <w:szCs w:val="22"/>
        </w:rPr>
        <w:t xml:space="preserve">on the </w:t>
      </w:r>
      <w:r w:rsidR="00502797">
        <w:rPr>
          <w:rFonts w:asciiTheme="minorHAnsi" w:eastAsia="MS PGothic" w:hAnsiTheme="minorHAnsi"/>
          <w:color w:val="000000"/>
          <w:sz w:val="22"/>
          <w:szCs w:val="22"/>
        </w:rPr>
        <w:t>ESM</w:t>
      </w:r>
      <w:r w:rsidR="001D0B63">
        <w:rPr>
          <w:rFonts w:asciiTheme="minorHAnsi" w:eastAsia="MS PGothic" w:hAnsiTheme="minorHAnsi"/>
          <w:color w:val="000000"/>
          <w:sz w:val="22"/>
          <w:szCs w:val="22"/>
        </w:rPr>
        <w:t xml:space="preserve"> of wastes consisting of, containing or contaminated with POPs.</w:t>
      </w:r>
      <w:r w:rsidR="00542F0B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896FAA">
        <w:rPr>
          <w:rFonts w:asciiTheme="minorHAnsi" w:eastAsia="MS PGothic" w:hAnsiTheme="minorHAnsi"/>
          <w:color w:val="000000"/>
          <w:sz w:val="22"/>
          <w:szCs w:val="22"/>
        </w:rPr>
        <w:t xml:space="preserve">Considering this background, the present </w:t>
      </w:r>
      <w:r w:rsidR="00097D3D">
        <w:rPr>
          <w:rFonts w:asciiTheme="minorHAnsi" w:eastAsia="MS PGothic" w:hAnsiTheme="minorHAnsi"/>
          <w:color w:val="000000"/>
          <w:sz w:val="22"/>
          <w:szCs w:val="22"/>
        </w:rPr>
        <w:t xml:space="preserve">work </w:t>
      </w:r>
      <w:r w:rsidR="00896FAA">
        <w:rPr>
          <w:rFonts w:asciiTheme="minorHAnsi" w:eastAsia="MS PGothic" w:hAnsiTheme="minorHAnsi"/>
          <w:color w:val="000000"/>
          <w:sz w:val="22"/>
          <w:szCs w:val="22"/>
        </w:rPr>
        <w:t>summari</w:t>
      </w:r>
      <w:r w:rsidR="00BA3665">
        <w:rPr>
          <w:rFonts w:asciiTheme="minorHAnsi" w:eastAsia="MS PGothic" w:hAnsiTheme="minorHAnsi"/>
          <w:color w:val="000000"/>
          <w:sz w:val="22"/>
          <w:szCs w:val="22"/>
        </w:rPr>
        <w:t>z</w:t>
      </w:r>
      <w:r w:rsidR="00896FAA">
        <w:rPr>
          <w:rFonts w:asciiTheme="minorHAnsi" w:eastAsia="MS PGothic" w:hAnsiTheme="minorHAnsi"/>
          <w:color w:val="000000"/>
          <w:sz w:val="22"/>
          <w:szCs w:val="22"/>
        </w:rPr>
        <w:t xml:space="preserve">es and </w:t>
      </w:r>
      <w:r w:rsidR="00896FAA" w:rsidRPr="001D6D0B">
        <w:rPr>
          <w:rFonts w:asciiTheme="minorHAnsi" w:eastAsia="MS PGothic" w:hAnsiTheme="minorHAnsi"/>
          <w:color w:val="000000"/>
          <w:sz w:val="22"/>
          <w:szCs w:val="22"/>
        </w:rPr>
        <w:t xml:space="preserve">gives an overview </w:t>
      </w:r>
      <w:r w:rsidR="0044175E" w:rsidRPr="001D6D0B">
        <w:rPr>
          <w:rFonts w:asciiTheme="minorHAnsi" w:eastAsia="MS PGothic" w:hAnsiTheme="minorHAnsi"/>
          <w:color w:val="000000"/>
          <w:sz w:val="22"/>
          <w:szCs w:val="22"/>
        </w:rPr>
        <w:t xml:space="preserve">on </w:t>
      </w:r>
      <w:r w:rsidR="008738DF">
        <w:rPr>
          <w:rFonts w:asciiTheme="minorHAnsi" w:eastAsia="MS PGothic" w:hAnsiTheme="minorHAnsi"/>
          <w:color w:val="000000"/>
          <w:sz w:val="22"/>
          <w:szCs w:val="22"/>
        </w:rPr>
        <w:t xml:space="preserve">the </w:t>
      </w:r>
      <w:r w:rsidR="00FD0651" w:rsidRPr="001D6D0B">
        <w:rPr>
          <w:rFonts w:asciiTheme="minorHAnsi" w:eastAsia="MS PGothic" w:hAnsiTheme="minorHAnsi"/>
          <w:color w:val="000000"/>
          <w:sz w:val="22"/>
          <w:szCs w:val="22"/>
        </w:rPr>
        <w:t>commercial identity, production and use</w:t>
      </w:r>
      <w:r w:rsidR="008738DF">
        <w:rPr>
          <w:rFonts w:asciiTheme="minorHAnsi" w:eastAsia="MS PGothic" w:hAnsiTheme="minorHAnsi"/>
          <w:color w:val="000000"/>
          <w:sz w:val="22"/>
          <w:szCs w:val="22"/>
        </w:rPr>
        <w:t xml:space="preserve"> of </w:t>
      </w:r>
      <w:r w:rsidR="008738DF" w:rsidRPr="00436CB5">
        <w:rPr>
          <w:rFonts w:asciiTheme="minorHAnsi" w:eastAsia="MS PGothic" w:hAnsiTheme="minorHAnsi"/>
          <w:sz w:val="22"/>
          <w:szCs w:val="22"/>
        </w:rPr>
        <w:t>POP-BDE</w:t>
      </w:r>
      <w:r w:rsidR="00FD0651" w:rsidRPr="001D6D0B">
        <w:rPr>
          <w:rFonts w:asciiTheme="minorHAnsi" w:eastAsia="MS PGothic" w:hAnsiTheme="minorHAnsi"/>
          <w:color w:val="000000"/>
          <w:sz w:val="22"/>
          <w:szCs w:val="22"/>
        </w:rPr>
        <w:t xml:space="preserve"> potential exposure</w:t>
      </w:r>
      <w:r w:rsidR="008738DF">
        <w:rPr>
          <w:rFonts w:asciiTheme="minorHAnsi" w:eastAsia="MS PGothic" w:hAnsiTheme="minorHAnsi"/>
          <w:color w:val="000000"/>
          <w:sz w:val="22"/>
          <w:szCs w:val="22"/>
        </w:rPr>
        <w:t xml:space="preserve"> to them</w:t>
      </w:r>
      <w:r w:rsidR="00FD0651" w:rsidRPr="001D6D0B">
        <w:rPr>
          <w:rFonts w:asciiTheme="minorHAnsi" w:eastAsia="MS PGothic" w:hAnsiTheme="minorHAnsi"/>
          <w:color w:val="000000"/>
          <w:sz w:val="22"/>
          <w:szCs w:val="22"/>
        </w:rPr>
        <w:t xml:space="preserve"> thro</w:t>
      </w:r>
      <w:r w:rsidR="00A23AAB" w:rsidRPr="001D6D0B">
        <w:rPr>
          <w:rFonts w:asciiTheme="minorHAnsi" w:eastAsia="MS PGothic" w:hAnsiTheme="minorHAnsi"/>
          <w:color w:val="000000"/>
          <w:sz w:val="22"/>
          <w:szCs w:val="22"/>
        </w:rPr>
        <w:t>ugh environmental contamination and</w:t>
      </w:r>
      <w:r w:rsidR="000E0E49" w:rsidRPr="001D6D0B">
        <w:rPr>
          <w:rFonts w:asciiTheme="minorHAnsi" w:eastAsia="MS PGothic" w:hAnsiTheme="minorHAnsi"/>
          <w:color w:val="000000"/>
          <w:sz w:val="22"/>
          <w:szCs w:val="22"/>
        </w:rPr>
        <w:t>, in particular,</w:t>
      </w:r>
      <w:r w:rsidR="00FD0651" w:rsidRPr="001D6D0B">
        <w:rPr>
          <w:rFonts w:asciiTheme="minorHAnsi" w:eastAsia="MS PGothic" w:hAnsiTheme="minorHAnsi"/>
          <w:color w:val="000000"/>
          <w:sz w:val="22"/>
          <w:szCs w:val="22"/>
        </w:rPr>
        <w:t xml:space="preserve"> management </w:t>
      </w:r>
      <w:r w:rsidR="00BA3665" w:rsidRPr="001D6D0B">
        <w:rPr>
          <w:rFonts w:asciiTheme="minorHAnsi" w:eastAsia="MS PGothic" w:hAnsiTheme="minorHAnsi"/>
          <w:color w:val="000000"/>
          <w:sz w:val="22"/>
          <w:szCs w:val="22"/>
        </w:rPr>
        <w:t xml:space="preserve">of waste </w:t>
      </w:r>
      <w:r w:rsidR="00FD0651" w:rsidRPr="001D6D0B">
        <w:rPr>
          <w:rFonts w:asciiTheme="minorHAnsi" w:eastAsia="MS PGothic" w:hAnsiTheme="minorHAnsi"/>
          <w:color w:val="000000"/>
          <w:sz w:val="22"/>
          <w:szCs w:val="22"/>
        </w:rPr>
        <w:t>contaminated by</w:t>
      </w:r>
      <w:r w:rsidR="008738DF">
        <w:rPr>
          <w:rFonts w:asciiTheme="minorHAnsi" w:eastAsia="MS PGothic" w:hAnsiTheme="minorHAnsi"/>
          <w:color w:val="000000"/>
          <w:sz w:val="22"/>
          <w:szCs w:val="22"/>
        </w:rPr>
        <w:t xml:space="preserve"> them</w:t>
      </w:r>
      <w:r w:rsidR="008A7504">
        <w:rPr>
          <w:rFonts w:asciiTheme="minorHAnsi" w:eastAsia="MS PGothic" w:hAnsiTheme="minorHAnsi"/>
          <w:color w:val="000000"/>
          <w:sz w:val="22"/>
          <w:szCs w:val="22"/>
        </w:rPr>
        <w:t xml:space="preserve">, with particular reference to </w:t>
      </w:r>
      <w:proofErr w:type="spellStart"/>
      <w:r w:rsidR="008A7504">
        <w:rPr>
          <w:rFonts w:asciiTheme="minorHAnsi" w:eastAsia="MS PGothic" w:hAnsiTheme="minorHAnsi"/>
          <w:color w:val="000000"/>
          <w:sz w:val="22"/>
          <w:szCs w:val="22"/>
        </w:rPr>
        <w:t>decaBDE</w:t>
      </w:r>
      <w:proofErr w:type="spellEnd"/>
      <w:r w:rsidR="00FD0651" w:rsidRPr="00FD0651">
        <w:rPr>
          <w:rFonts w:asciiTheme="minorHAnsi" w:eastAsia="MS PGothic" w:hAnsiTheme="minorHAnsi"/>
          <w:color w:val="000000"/>
          <w:sz w:val="22"/>
          <w:szCs w:val="22"/>
        </w:rPr>
        <w:t>.</w:t>
      </w:r>
      <w:r w:rsidR="00097D3D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E617B5">
        <w:rPr>
          <w:rFonts w:asciiTheme="minorHAnsi" w:eastAsia="MS PGothic" w:hAnsiTheme="minorHAnsi"/>
          <w:color w:val="000000"/>
          <w:sz w:val="22"/>
          <w:szCs w:val="22"/>
        </w:rPr>
        <w:t xml:space="preserve">The main purpose of the present </w:t>
      </w:r>
      <w:r w:rsidR="0093424E">
        <w:rPr>
          <w:rFonts w:asciiTheme="minorHAnsi" w:eastAsia="MS PGothic" w:hAnsiTheme="minorHAnsi"/>
          <w:color w:val="000000"/>
          <w:sz w:val="22"/>
          <w:szCs w:val="22"/>
        </w:rPr>
        <w:t>work</w:t>
      </w:r>
      <w:r w:rsidR="00E617B5">
        <w:rPr>
          <w:rFonts w:asciiTheme="minorHAnsi" w:eastAsia="MS PGothic" w:hAnsiTheme="minorHAnsi"/>
          <w:color w:val="000000"/>
          <w:sz w:val="22"/>
          <w:szCs w:val="22"/>
        </w:rPr>
        <w:t xml:space="preserve"> is to make available, in aggregate and immediately usable form, information and useful data for identifying risks to health and the environment </w:t>
      </w:r>
      <w:r w:rsidR="00E617B5" w:rsidRPr="0064772A">
        <w:rPr>
          <w:rFonts w:asciiTheme="minorHAnsi" w:eastAsia="MS PGothic" w:hAnsiTheme="minorHAnsi"/>
          <w:color w:val="000000"/>
          <w:sz w:val="22"/>
          <w:szCs w:val="22"/>
        </w:rPr>
        <w:t xml:space="preserve">and </w:t>
      </w:r>
      <w:r w:rsidR="00E617B5">
        <w:rPr>
          <w:rFonts w:asciiTheme="minorHAnsi" w:eastAsia="MS PGothic" w:hAnsiTheme="minorHAnsi"/>
          <w:color w:val="000000"/>
          <w:sz w:val="22"/>
          <w:szCs w:val="22"/>
        </w:rPr>
        <w:t>for</w:t>
      </w:r>
      <w:r w:rsidR="00E617B5" w:rsidRPr="0064772A">
        <w:rPr>
          <w:rFonts w:asciiTheme="minorHAnsi" w:eastAsia="MS PGothic" w:hAnsiTheme="minorHAnsi"/>
          <w:color w:val="000000"/>
          <w:sz w:val="22"/>
          <w:szCs w:val="22"/>
        </w:rPr>
        <w:t xml:space="preserve"> the adoption of suitable prevention </w:t>
      </w:r>
      <w:r w:rsidR="00E617B5">
        <w:rPr>
          <w:rFonts w:asciiTheme="minorHAnsi" w:eastAsia="MS PGothic" w:hAnsiTheme="minorHAnsi"/>
          <w:color w:val="000000"/>
          <w:sz w:val="22"/>
          <w:szCs w:val="22"/>
        </w:rPr>
        <w:t>interventions</w:t>
      </w:r>
      <w:r w:rsidR="00E617B5" w:rsidRPr="0064772A">
        <w:rPr>
          <w:rFonts w:asciiTheme="minorHAnsi" w:eastAsia="MS PGothic" w:hAnsiTheme="minorHAnsi"/>
          <w:color w:val="000000"/>
          <w:sz w:val="22"/>
          <w:szCs w:val="22"/>
        </w:rPr>
        <w:t xml:space="preserve"> t</w:t>
      </w:r>
      <w:r w:rsidR="00E617B5">
        <w:rPr>
          <w:rFonts w:asciiTheme="minorHAnsi" w:eastAsia="MS PGothic" w:hAnsiTheme="minorHAnsi"/>
          <w:color w:val="000000"/>
          <w:sz w:val="22"/>
          <w:szCs w:val="22"/>
        </w:rPr>
        <w:t>o protect the exposed receptors</w:t>
      </w:r>
      <w:r w:rsidR="00E617B5" w:rsidRPr="0064772A">
        <w:rPr>
          <w:rFonts w:asciiTheme="minorHAnsi" w:eastAsia="MS PGothic" w:hAnsiTheme="minorHAnsi"/>
          <w:color w:val="000000"/>
          <w:sz w:val="22"/>
          <w:szCs w:val="22"/>
        </w:rPr>
        <w:t>.</w:t>
      </w:r>
    </w:p>
    <w:p w14:paraId="5C29A293" w14:textId="7D89213B" w:rsidR="003D70B4" w:rsidRDefault="00704BDF" w:rsidP="003B1AEC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A04773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 xml:space="preserve">2. </w:t>
      </w:r>
      <w:r w:rsidR="0044175E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Methods</w:t>
      </w:r>
    </w:p>
    <w:p w14:paraId="1A8DDF6A" w14:textId="461C71C2" w:rsidR="005728C4" w:rsidRDefault="005728C4" w:rsidP="005728C4">
      <w:pPr>
        <w:pStyle w:val="Default"/>
        <w:spacing w:after="120" w:line="264" w:lineRule="auto"/>
        <w:jc w:val="both"/>
        <w:rPr>
          <w:rFonts w:asciiTheme="minorHAnsi" w:eastAsia="MS PGothic" w:hAnsiTheme="minorHAnsi" w:cs="Times New Roman"/>
          <w:color w:val="auto"/>
          <w:sz w:val="22"/>
          <w:szCs w:val="22"/>
          <w:lang w:val="en-GB"/>
        </w:rPr>
      </w:pPr>
      <w:r w:rsidRPr="008477C4">
        <w:rPr>
          <w:rFonts w:asciiTheme="minorHAnsi" w:eastAsia="MS PGothic" w:hAnsiTheme="minorHAnsi" w:cs="Times New Roman"/>
          <w:color w:val="auto"/>
          <w:sz w:val="22"/>
          <w:szCs w:val="22"/>
          <w:lang w:val="en-GB"/>
        </w:rPr>
        <w:lastRenderedPageBreak/>
        <w:t xml:space="preserve">Starting from the regulatory framework with which the European Union implement the provisions of the Convention </w:t>
      </w:r>
      <w:r w:rsidR="00C6202C">
        <w:rPr>
          <w:rFonts w:asciiTheme="minorHAnsi" w:eastAsia="MS PGothic" w:hAnsiTheme="minorHAnsi" w:cs="Times New Roman"/>
          <w:color w:val="auto"/>
          <w:sz w:val="22"/>
          <w:szCs w:val="22"/>
          <w:lang w:val="en-GB"/>
        </w:rPr>
        <w:t>about</w:t>
      </w:r>
      <w:r w:rsidRPr="008477C4">
        <w:rPr>
          <w:rFonts w:asciiTheme="minorHAnsi" w:eastAsia="MS PGothic" w:hAnsiTheme="minorHAnsi" w:cs="Times New Roman"/>
          <w:color w:val="auto"/>
          <w:sz w:val="22"/>
          <w:szCs w:val="22"/>
          <w:lang w:val="en-GB"/>
        </w:rPr>
        <w:t xml:space="preserve"> substances</w:t>
      </w:r>
      <w:r w:rsidR="00C6202C">
        <w:rPr>
          <w:rFonts w:asciiTheme="minorHAnsi" w:eastAsia="MS PGothic" w:hAnsiTheme="minorHAnsi" w:cs="Times New Roman"/>
          <w:color w:val="auto"/>
          <w:sz w:val="22"/>
          <w:szCs w:val="22"/>
          <w:lang w:val="en-GB"/>
        </w:rPr>
        <w:t>,</w:t>
      </w:r>
      <w:r w:rsidRPr="008477C4">
        <w:rPr>
          <w:rFonts w:asciiTheme="minorHAnsi" w:eastAsia="MS PGothic" w:hAnsiTheme="minorHAnsi" w:cs="Times New Roman"/>
          <w:color w:val="auto"/>
          <w:sz w:val="22"/>
          <w:szCs w:val="22"/>
          <w:lang w:val="en-GB"/>
        </w:rPr>
        <w:t xml:space="preserve"> mixtures, </w:t>
      </w:r>
      <w:r>
        <w:rPr>
          <w:rFonts w:asciiTheme="minorHAnsi" w:eastAsia="MS PGothic" w:hAnsiTheme="minorHAnsi" w:cs="Times New Roman"/>
          <w:color w:val="auto"/>
          <w:sz w:val="22"/>
          <w:szCs w:val="22"/>
          <w:lang w:val="en-GB"/>
        </w:rPr>
        <w:t>and</w:t>
      </w:r>
      <w:r w:rsidRPr="008477C4">
        <w:rPr>
          <w:rFonts w:asciiTheme="minorHAnsi" w:eastAsia="MS PGothic" w:hAnsiTheme="minorHAnsi" w:cs="Times New Roman"/>
          <w:color w:val="auto"/>
          <w:sz w:val="22"/>
          <w:szCs w:val="22"/>
          <w:lang w:val="en-GB"/>
        </w:rPr>
        <w:t xml:space="preserve"> wastes, </w:t>
      </w:r>
      <w:r>
        <w:rPr>
          <w:rFonts w:asciiTheme="minorHAnsi" w:eastAsia="MS PGothic" w:hAnsiTheme="minorHAnsi" w:cs="Times New Roman"/>
          <w:color w:val="auto"/>
          <w:sz w:val="22"/>
          <w:szCs w:val="22"/>
          <w:lang w:val="en-GB"/>
        </w:rPr>
        <w:t xml:space="preserve">the </w:t>
      </w:r>
      <w:r w:rsidRPr="008477C4">
        <w:rPr>
          <w:rFonts w:asciiTheme="minorHAnsi" w:eastAsia="MS PGothic" w:hAnsiTheme="minorHAnsi" w:cs="Times New Roman"/>
          <w:color w:val="auto"/>
          <w:sz w:val="22"/>
          <w:szCs w:val="22"/>
          <w:lang w:val="en-GB"/>
        </w:rPr>
        <w:t>sound management of the POP</w:t>
      </w:r>
      <w:r w:rsidR="00020C4B">
        <w:rPr>
          <w:rFonts w:asciiTheme="minorHAnsi" w:eastAsia="MS PGothic" w:hAnsiTheme="minorHAnsi" w:cs="Times New Roman"/>
          <w:color w:val="auto"/>
          <w:sz w:val="22"/>
          <w:szCs w:val="22"/>
          <w:lang w:val="en-GB"/>
        </w:rPr>
        <w:t xml:space="preserve"> </w:t>
      </w:r>
      <w:r w:rsidRPr="008477C4">
        <w:rPr>
          <w:rFonts w:asciiTheme="minorHAnsi" w:eastAsia="MS PGothic" w:hAnsiTheme="minorHAnsi" w:cs="Times New Roman"/>
          <w:color w:val="auto"/>
          <w:sz w:val="22"/>
          <w:szCs w:val="22"/>
          <w:lang w:val="en-GB"/>
        </w:rPr>
        <w:t>waste</w:t>
      </w:r>
      <w:r>
        <w:rPr>
          <w:rFonts w:asciiTheme="minorHAnsi" w:eastAsia="MS PGothic" w:hAnsiTheme="minorHAnsi" w:cs="Times New Roman"/>
          <w:color w:val="auto"/>
          <w:sz w:val="22"/>
          <w:szCs w:val="22"/>
          <w:lang w:val="en-GB"/>
        </w:rPr>
        <w:t xml:space="preserve"> will be illustrated</w:t>
      </w:r>
      <w:r w:rsidR="00E80F81">
        <w:rPr>
          <w:rFonts w:asciiTheme="minorHAnsi" w:eastAsia="MS PGothic" w:hAnsiTheme="minorHAnsi" w:cs="Times New Roman"/>
          <w:color w:val="auto"/>
          <w:sz w:val="22"/>
          <w:szCs w:val="22"/>
          <w:lang w:val="en-GB"/>
        </w:rPr>
        <w:t xml:space="preserve">, </w:t>
      </w:r>
      <w:r>
        <w:rPr>
          <w:rFonts w:asciiTheme="minorHAnsi" w:eastAsia="MS PGothic" w:hAnsiTheme="minorHAnsi" w:cs="Times New Roman"/>
          <w:color w:val="auto"/>
          <w:sz w:val="22"/>
          <w:szCs w:val="22"/>
          <w:lang w:val="en-GB"/>
        </w:rPr>
        <w:t>includ</w:t>
      </w:r>
      <w:r w:rsidR="00020C4B">
        <w:rPr>
          <w:rFonts w:asciiTheme="minorHAnsi" w:eastAsia="MS PGothic" w:hAnsiTheme="minorHAnsi" w:cs="Times New Roman"/>
          <w:color w:val="auto"/>
          <w:sz w:val="22"/>
          <w:szCs w:val="22"/>
          <w:lang w:val="en-GB"/>
        </w:rPr>
        <w:t>ing information and data for</w:t>
      </w:r>
      <w:r>
        <w:rPr>
          <w:rFonts w:asciiTheme="minorHAnsi" w:eastAsia="MS PGothic" w:hAnsiTheme="minorHAnsi" w:cs="Times New Roman"/>
          <w:color w:val="auto"/>
          <w:sz w:val="22"/>
          <w:szCs w:val="22"/>
          <w:lang w:val="en-GB"/>
        </w:rPr>
        <w:t xml:space="preserve"> 1)</w:t>
      </w:r>
      <w:r w:rsidRPr="00AF03C7">
        <w:rPr>
          <w:lang w:val="en-GB"/>
        </w:rPr>
        <w:t xml:space="preserve"> </w:t>
      </w:r>
      <w:r>
        <w:rPr>
          <w:rFonts w:asciiTheme="minorHAnsi" w:eastAsia="MS PGothic" w:hAnsiTheme="minorHAnsi" w:cs="Times New Roman"/>
          <w:color w:val="auto"/>
          <w:sz w:val="22"/>
          <w:szCs w:val="22"/>
          <w:lang w:val="en-GB"/>
        </w:rPr>
        <w:t>A</w:t>
      </w:r>
      <w:r w:rsidRPr="00AF03C7">
        <w:rPr>
          <w:rFonts w:asciiTheme="minorHAnsi" w:eastAsia="MS PGothic" w:hAnsiTheme="minorHAnsi" w:cs="Times New Roman"/>
          <w:color w:val="auto"/>
          <w:sz w:val="22"/>
          <w:szCs w:val="22"/>
          <w:lang w:val="en-GB"/>
        </w:rPr>
        <w:t xml:space="preserve">rticles, waste and recycled materials containing </w:t>
      </w:r>
      <w:r>
        <w:rPr>
          <w:rFonts w:asciiTheme="minorHAnsi" w:eastAsia="MS PGothic" w:hAnsiTheme="minorHAnsi" w:cs="Times New Roman"/>
          <w:color w:val="auto"/>
          <w:sz w:val="22"/>
          <w:szCs w:val="22"/>
          <w:lang w:val="en-GB"/>
        </w:rPr>
        <w:t>P</w:t>
      </w:r>
      <w:r w:rsidRPr="00AF03C7">
        <w:rPr>
          <w:rFonts w:asciiTheme="minorHAnsi" w:eastAsia="MS PGothic" w:hAnsiTheme="minorHAnsi" w:cs="Times New Roman"/>
          <w:color w:val="auto"/>
          <w:sz w:val="22"/>
          <w:szCs w:val="22"/>
          <w:lang w:val="en-GB"/>
        </w:rPr>
        <w:t>BDE</w:t>
      </w:r>
      <w:r>
        <w:rPr>
          <w:rFonts w:asciiTheme="minorHAnsi" w:eastAsia="MS PGothic" w:hAnsiTheme="minorHAnsi" w:cs="Times New Roman"/>
          <w:color w:val="auto"/>
          <w:sz w:val="22"/>
          <w:szCs w:val="22"/>
          <w:lang w:val="en-GB"/>
        </w:rPr>
        <w:t xml:space="preserve">s; 2) Uses and industrial productions; 3) Life-cycle; 4) PBDEs levels in the waste. </w:t>
      </w:r>
      <w:r w:rsidRPr="008477C4">
        <w:rPr>
          <w:rFonts w:asciiTheme="minorHAnsi" w:eastAsia="MS PGothic" w:hAnsiTheme="minorHAnsi" w:cs="Times New Roman"/>
          <w:color w:val="auto"/>
          <w:sz w:val="22"/>
          <w:szCs w:val="22"/>
          <w:lang w:val="en-GB"/>
        </w:rPr>
        <w:t xml:space="preserve">Moreover, </w:t>
      </w:r>
      <w:r>
        <w:rPr>
          <w:rFonts w:asciiTheme="minorHAnsi" w:eastAsia="MS PGothic" w:hAnsiTheme="minorHAnsi" w:cs="Times New Roman"/>
          <w:color w:val="auto"/>
          <w:sz w:val="22"/>
          <w:szCs w:val="22"/>
          <w:lang w:val="en-GB"/>
        </w:rPr>
        <w:t>information</w:t>
      </w:r>
      <w:r w:rsidRPr="008477C4">
        <w:rPr>
          <w:rFonts w:asciiTheme="minorHAnsi" w:eastAsia="MS PGothic" w:hAnsiTheme="minorHAnsi" w:cs="Times New Roman"/>
          <w:color w:val="auto"/>
          <w:sz w:val="22"/>
          <w:szCs w:val="22"/>
          <w:lang w:val="en-GB"/>
        </w:rPr>
        <w:t xml:space="preserve"> about the latest activities on the TG</w:t>
      </w:r>
      <w:r>
        <w:rPr>
          <w:rFonts w:asciiTheme="minorHAnsi" w:eastAsia="MS PGothic" w:hAnsiTheme="minorHAnsi" w:cs="Times New Roman"/>
          <w:color w:val="auto"/>
          <w:sz w:val="22"/>
          <w:szCs w:val="22"/>
          <w:lang w:val="en-GB"/>
        </w:rPr>
        <w:t>s for the ESM of POP wastes as</w:t>
      </w:r>
      <w:r w:rsidRPr="008477C4">
        <w:rPr>
          <w:rFonts w:asciiTheme="minorHAnsi" w:eastAsia="MS PGothic" w:hAnsiTheme="minorHAnsi" w:cs="Times New Roman"/>
          <w:color w:val="auto"/>
          <w:sz w:val="22"/>
          <w:szCs w:val="22"/>
          <w:lang w:val="en-GB"/>
        </w:rPr>
        <w:t xml:space="preserve"> result of the most recent amendments to the Annexes of the Stockholm Convention</w:t>
      </w:r>
      <w:r>
        <w:rPr>
          <w:rFonts w:asciiTheme="minorHAnsi" w:eastAsia="MS PGothic" w:hAnsiTheme="minorHAnsi" w:cs="Times New Roman"/>
          <w:color w:val="auto"/>
          <w:sz w:val="22"/>
          <w:szCs w:val="22"/>
          <w:lang w:val="en-GB"/>
        </w:rPr>
        <w:t xml:space="preserve"> will be </w:t>
      </w:r>
      <w:r w:rsidR="00020C4B">
        <w:rPr>
          <w:rFonts w:asciiTheme="minorHAnsi" w:eastAsia="MS PGothic" w:hAnsiTheme="minorHAnsi" w:cs="Times New Roman"/>
          <w:color w:val="auto"/>
          <w:sz w:val="22"/>
          <w:szCs w:val="22"/>
          <w:lang w:val="en-GB"/>
        </w:rPr>
        <w:t>given</w:t>
      </w:r>
      <w:r w:rsidRPr="008477C4">
        <w:rPr>
          <w:rFonts w:asciiTheme="minorHAnsi" w:eastAsia="MS PGothic" w:hAnsiTheme="minorHAnsi" w:cs="Times New Roman"/>
          <w:color w:val="auto"/>
          <w:sz w:val="22"/>
          <w:szCs w:val="22"/>
          <w:lang w:val="en-GB"/>
        </w:rPr>
        <w:t>.</w:t>
      </w:r>
      <w:r>
        <w:rPr>
          <w:rFonts w:asciiTheme="minorHAnsi" w:eastAsia="MS PGothic" w:hAnsiTheme="minorHAnsi" w:cs="Times New Roman"/>
          <w:color w:val="auto"/>
          <w:sz w:val="22"/>
          <w:szCs w:val="22"/>
          <w:lang w:val="en-GB"/>
        </w:rPr>
        <w:t xml:space="preserve"> Finally, advices about </w:t>
      </w:r>
      <w:r w:rsidRPr="00F0393F">
        <w:rPr>
          <w:rFonts w:asciiTheme="minorHAnsi" w:eastAsia="MS PGothic" w:hAnsiTheme="minorHAnsi" w:cs="Times New Roman"/>
          <w:color w:val="auto"/>
          <w:sz w:val="22"/>
          <w:szCs w:val="22"/>
          <w:lang w:val="en-GB"/>
        </w:rPr>
        <w:t>human health and the environment from the adverse effects of ha</w:t>
      </w:r>
      <w:r>
        <w:rPr>
          <w:rFonts w:asciiTheme="minorHAnsi" w:eastAsia="MS PGothic" w:hAnsiTheme="minorHAnsi" w:cs="Times New Roman"/>
          <w:color w:val="auto"/>
          <w:sz w:val="22"/>
          <w:szCs w:val="22"/>
          <w:lang w:val="en-GB"/>
        </w:rPr>
        <w:t xml:space="preserve">zardous wastes will be provided. </w:t>
      </w:r>
    </w:p>
    <w:p w14:paraId="277FE042" w14:textId="77777777" w:rsidR="00050BED" w:rsidRPr="003B1AEC" w:rsidRDefault="00050BED" w:rsidP="003B1AEC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3151D8">
        <w:rPr>
          <w:rFonts w:asciiTheme="minorHAnsi" w:eastAsia="MS PGothic" w:hAnsiTheme="minorHAnsi"/>
          <w:b/>
          <w:bCs/>
          <w:color w:val="000000"/>
          <w:sz w:val="22"/>
          <w:szCs w:val="22"/>
        </w:rPr>
        <w:t xml:space="preserve">3. </w:t>
      </w:r>
      <w:r w:rsidRPr="003B1AEC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Results and discussion</w:t>
      </w:r>
    </w:p>
    <w:p w14:paraId="7F803D19" w14:textId="461F1B04" w:rsidR="001712F1" w:rsidRPr="001712F1" w:rsidRDefault="00D3289A" w:rsidP="001712F1">
      <w:pPr>
        <w:snapToGrid w:val="0"/>
        <w:rPr>
          <w:rFonts w:asciiTheme="minorHAnsi" w:eastAsia="MS PGothic" w:hAnsiTheme="minorHAnsi"/>
          <w:sz w:val="22"/>
          <w:szCs w:val="22"/>
        </w:rPr>
      </w:pPr>
      <w:r w:rsidRPr="00550E2C">
        <w:rPr>
          <w:rFonts w:asciiTheme="minorHAnsi" w:eastAsia="MS PGothic" w:hAnsiTheme="minorHAnsi"/>
          <w:sz w:val="22"/>
          <w:szCs w:val="22"/>
        </w:rPr>
        <w:t xml:space="preserve">The production, </w:t>
      </w:r>
      <w:r w:rsidR="00407788">
        <w:rPr>
          <w:rFonts w:asciiTheme="minorHAnsi" w:eastAsia="MS PGothic" w:hAnsiTheme="minorHAnsi"/>
          <w:sz w:val="22"/>
          <w:szCs w:val="22"/>
        </w:rPr>
        <w:t>marketing</w:t>
      </w:r>
      <w:r w:rsidRPr="00550E2C">
        <w:rPr>
          <w:rFonts w:asciiTheme="minorHAnsi" w:eastAsia="MS PGothic" w:hAnsiTheme="minorHAnsi"/>
          <w:sz w:val="22"/>
          <w:szCs w:val="22"/>
        </w:rPr>
        <w:t xml:space="preserve"> or use of </w:t>
      </w:r>
      <w:proofErr w:type="spellStart"/>
      <w:r w:rsidRPr="00550E2C">
        <w:rPr>
          <w:rFonts w:asciiTheme="minorHAnsi" w:eastAsia="MS PGothic" w:hAnsiTheme="minorHAnsi"/>
          <w:sz w:val="22"/>
          <w:szCs w:val="22"/>
        </w:rPr>
        <w:t>decaBDE</w:t>
      </w:r>
      <w:proofErr w:type="spellEnd"/>
      <w:r w:rsidRPr="00550E2C">
        <w:rPr>
          <w:rFonts w:asciiTheme="minorHAnsi" w:eastAsia="MS PGothic" w:hAnsiTheme="minorHAnsi"/>
          <w:sz w:val="22"/>
          <w:szCs w:val="22"/>
        </w:rPr>
        <w:t xml:space="preserve"> as a substance or as an </w:t>
      </w:r>
      <w:r w:rsidR="00407788">
        <w:rPr>
          <w:rFonts w:asciiTheme="minorHAnsi" w:eastAsia="MS PGothic" w:hAnsiTheme="minorHAnsi"/>
          <w:sz w:val="22"/>
          <w:szCs w:val="22"/>
        </w:rPr>
        <w:t>element</w:t>
      </w:r>
      <w:r w:rsidR="00407788" w:rsidRPr="00550E2C">
        <w:rPr>
          <w:rFonts w:asciiTheme="minorHAnsi" w:eastAsia="MS PGothic" w:hAnsiTheme="minorHAnsi"/>
          <w:sz w:val="22"/>
          <w:szCs w:val="22"/>
        </w:rPr>
        <w:t xml:space="preserve"> </w:t>
      </w:r>
      <w:r w:rsidRPr="00550E2C">
        <w:rPr>
          <w:rFonts w:asciiTheme="minorHAnsi" w:eastAsia="MS PGothic" w:hAnsiTheme="minorHAnsi"/>
          <w:sz w:val="22"/>
          <w:szCs w:val="22"/>
        </w:rPr>
        <w:t>of other substances, in mixtures and in products, is set out in Annex XVII (</w:t>
      </w:r>
      <w:r w:rsidR="00407788">
        <w:rPr>
          <w:rFonts w:asciiTheme="minorHAnsi" w:eastAsia="MS PGothic" w:hAnsiTheme="minorHAnsi"/>
          <w:sz w:val="22"/>
          <w:szCs w:val="22"/>
        </w:rPr>
        <w:t>l</w:t>
      </w:r>
      <w:r w:rsidRPr="00550E2C">
        <w:rPr>
          <w:rFonts w:asciiTheme="minorHAnsi" w:eastAsia="MS PGothic" w:hAnsiTheme="minorHAnsi"/>
          <w:sz w:val="22"/>
          <w:szCs w:val="22"/>
        </w:rPr>
        <w:t xml:space="preserve">ist of </w:t>
      </w:r>
      <w:r w:rsidR="00407788">
        <w:rPr>
          <w:rFonts w:asciiTheme="minorHAnsi" w:eastAsia="MS PGothic" w:hAnsiTheme="minorHAnsi"/>
          <w:sz w:val="22"/>
          <w:szCs w:val="22"/>
        </w:rPr>
        <w:t>l</w:t>
      </w:r>
      <w:r w:rsidRPr="00550E2C">
        <w:rPr>
          <w:rFonts w:asciiTheme="minorHAnsi" w:eastAsia="MS PGothic" w:hAnsiTheme="minorHAnsi"/>
          <w:sz w:val="22"/>
          <w:szCs w:val="22"/>
        </w:rPr>
        <w:t xml:space="preserve">imitations), of the </w:t>
      </w:r>
      <w:r>
        <w:rPr>
          <w:rFonts w:asciiTheme="minorHAnsi" w:eastAsia="MS PGothic" w:hAnsiTheme="minorHAnsi"/>
          <w:sz w:val="22"/>
          <w:szCs w:val="22"/>
        </w:rPr>
        <w:t>REACH Regulation</w:t>
      </w:r>
      <w:r w:rsidRPr="00550E2C">
        <w:rPr>
          <w:rFonts w:asciiTheme="minorHAnsi" w:eastAsia="MS PGothic" w:hAnsiTheme="minorHAnsi"/>
          <w:sz w:val="22"/>
          <w:szCs w:val="22"/>
        </w:rPr>
        <w:t xml:space="preserve">, which prohibits the production and placing on the market of </w:t>
      </w:r>
      <w:proofErr w:type="spellStart"/>
      <w:r w:rsidRPr="00550E2C">
        <w:rPr>
          <w:rFonts w:asciiTheme="minorHAnsi" w:eastAsia="MS PGothic" w:hAnsiTheme="minorHAnsi"/>
          <w:sz w:val="22"/>
          <w:szCs w:val="22"/>
        </w:rPr>
        <w:t>decaBDE</w:t>
      </w:r>
      <w:proofErr w:type="spellEnd"/>
      <w:r w:rsidRPr="00550E2C">
        <w:rPr>
          <w:rFonts w:asciiTheme="minorHAnsi" w:eastAsia="MS PGothic" w:hAnsiTheme="minorHAnsi"/>
          <w:sz w:val="22"/>
          <w:szCs w:val="22"/>
        </w:rPr>
        <w:t xml:space="preserve"> as a pure substance from March</w:t>
      </w:r>
      <w:r w:rsidR="00407788">
        <w:rPr>
          <w:rFonts w:asciiTheme="minorHAnsi" w:eastAsia="MS PGothic" w:hAnsiTheme="minorHAnsi"/>
          <w:sz w:val="22"/>
          <w:szCs w:val="22"/>
        </w:rPr>
        <w:t xml:space="preserve"> 2nd</w:t>
      </w:r>
      <w:proofErr w:type="gramStart"/>
      <w:r w:rsidRPr="00550E2C">
        <w:rPr>
          <w:rFonts w:asciiTheme="minorHAnsi" w:eastAsia="MS PGothic" w:hAnsiTheme="minorHAnsi"/>
          <w:sz w:val="22"/>
          <w:szCs w:val="22"/>
        </w:rPr>
        <w:t xml:space="preserve"> 2019</w:t>
      </w:r>
      <w:proofErr w:type="gramEnd"/>
      <w:r w:rsidRPr="00550E2C">
        <w:rPr>
          <w:rFonts w:asciiTheme="minorHAnsi" w:eastAsia="MS PGothic" w:hAnsiTheme="minorHAnsi"/>
          <w:sz w:val="22"/>
          <w:szCs w:val="22"/>
        </w:rPr>
        <w:t>.</w:t>
      </w:r>
      <w:r>
        <w:rPr>
          <w:rFonts w:asciiTheme="minorHAnsi" w:eastAsia="MS PGothic" w:hAnsiTheme="minorHAnsi"/>
          <w:sz w:val="22"/>
          <w:szCs w:val="22"/>
        </w:rPr>
        <w:t xml:space="preserve"> </w:t>
      </w:r>
      <w:r w:rsidR="006968A2" w:rsidRPr="006968A2">
        <w:rPr>
          <w:rFonts w:asciiTheme="minorHAnsi" w:eastAsia="MS PGothic" w:hAnsiTheme="minorHAnsi"/>
          <w:sz w:val="22"/>
          <w:szCs w:val="22"/>
        </w:rPr>
        <w:t xml:space="preserve">Directive 2011/65/EU (RoHS Directive) restricts the use of </w:t>
      </w:r>
      <w:r w:rsidR="006968A2">
        <w:rPr>
          <w:rFonts w:asciiTheme="minorHAnsi" w:eastAsia="MS PGothic" w:hAnsiTheme="minorHAnsi"/>
          <w:sz w:val="22"/>
          <w:szCs w:val="22"/>
        </w:rPr>
        <w:t>PBDEs, as a substance group,</w:t>
      </w:r>
      <w:r w:rsidR="006968A2" w:rsidRPr="006968A2">
        <w:rPr>
          <w:rFonts w:asciiTheme="minorHAnsi" w:eastAsia="MS PGothic" w:hAnsiTheme="minorHAnsi"/>
          <w:sz w:val="22"/>
          <w:szCs w:val="22"/>
        </w:rPr>
        <w:t xml:space="preserve"> in </w:t>
      </w:r>
      <w:r w:rsidR="006968A2">
        <w:rPr>
          <w:rFonts w:asciiTheme="minorHAnsi" w:eastAsia="MS PGothic" w:hAnsiTheme="minorHAnsi"/>
          <w:sz w:val="22"/>
          <w:szCs w:val="22"/>
        </w:rPr>
        <w:t>Electrical and Electronic Equipment</w:t>
      </w:r>
      <w:r w:rsidR="006968A2" w:rsidRPr="006968A2">
        <w:rPr>
          <w:rFonts w:asciiTheme="minorHAnsi" w:eastAsia="MS PGothic" w:hAnsiTheme="minorHAnsi"/>
          <w:sz w:val="22"/>
          <w:szCs w:val="22"/>
        </w:rPr>
        <w:t xml:space="preserve"> </w:t>
      </w:r>
      <w:r w:rsidR="006968A2">
        <w:rPr>
          <w:rFonts w:asciiTheme="minorHAnsi" w:eastAsia="MS PGothic" w:hAnsiTheme="minorHAnsi"/>
          <w:sz w:val="22"/>
          <w:szCs w:val="22"/>
        </w:rPr>
        <w:t>(</w:t>
      </w:r>
      <w:r w:rsidR="006968A2" w:rsidRPr="006968A2">
        <w:rPr>
          <w:rFonts w:asciiTheme="minorHAnsi" w:eastAsia="MS PGothic" w:hAnsiTheme="minorHAnsi"/>
          <w:sz w:val="22"/>
          <w:szCs w:val="22"/>
        </w:rPr>
        <w:t>EEE</w:t>
      </w:r>
      <w:r w:rsidR="006968A2">
        <w:rPr>
          <w:rFonts w:asciiTheme="minorHAnsi" w:eastAsia="MS PGothic" w:hAnsiTheme="minorHAnsi"/>
          <w:sz w:val="22"/>
          <w:szCs w:val="22"/>
        </w:rPr>
        <w:t>)</w:t>
      </w:r>
      <w:r w:rsidR="006968A2" w:rsidRPr="006968A2">
        <w:rPr>
          <w:rFonts w:asciiTheme="minorHAnsi" w:eastAsia="MS PGothic" w:hAnsiTheme="minorHAnsi"/>
          <w:sz w:val="22"/>
          <w:szCs w:val="22"/>
        </w:rPr>
        <w:t>.</w:t>
      </w:r>
      <w:r w:rsidR="006968A2">
        <w:rPr>
          <w:rFonts w:asciiTheme="minorHAnsi" w:eastAsia="MS PGothic" w:hAnsiTheme="minorHAnsi"/>
          <w:sz w:val="22"/>
          <w:szCs w:val="22"/>
        </w:rPr>
        <w:t xml:space="preserve"> </w:t>
      </w:r>
      <w:r w:rsidR="0065114D" w:rsidRPr="0065114D">
        <w:rPr>
          <w:rFonts w:asciiTheme="minorHAnsi" w:eastAsia="MS PGothic" w:hAnsiTheme="minorHAnsi"/>
          <w:sz w:val="22"/>
          <w:szCs w:val="22"/>
        </w:rPr>
        <w:t>As this directive restricts PBDEs as a substance gr</w:t>
      </w:r>
      <w:r w:rsidR="0065114D">
        <w:rPr>
          <w:rFonts w:asciiTheme="minorHAnsi" w:eastAsia="MS PGothic" w:hAnsiTheme="minorHAnsi"/>
          <w:sz w:val="22"/>
          <w:szCs w:val="22"/>
        </w:rPr>
        <w:t xml:space="preserve">oup, it also applies to </w:t>
      </w:r>
      <w:proofErr w:type="spellStart"/>
      <w:r w:rsidR="0065114D">
        <w:rPr>
          <w:rFonts w:asciiTheme="minorHAnsi" w:eastAsia="MS PGothic" w:hAnsiTheme="minorHAnsi"/>
          <w:sz w:val="22"/>
          <w:szCs w:val="22"/>
        </w:rPr>
        <w:t>decaBDE</w:t>
      </w:r>
      <w:proofErr w:type="spellEnd"/>
      <w:r w:rsidR="0065114D">
        <w:rPr>
          <w:rFonts w:asciiTheme="minorHAnsi" w:eastAsia="MS PGothic" w:hAnsiTheme="minorHAnsi"/>
          <w:sz w:val="22"/>
          <w:szCs w:val="22"/>
        </w:rPr>
        <w:t xml:space="preserve">. </w:t>
      </w:r>
      <w:r w:rsidR="006968A2" w:rsidRPr="006968A2">
        <w:rPr>
          <w:rFonts w:asciiTheme="minorHAnsi" w:eastAsia="MS PGothic" w:hAnsiTheme="minorHAnsi"/>
          <w:sz w:val="22"/>
          <w:szCs w:val="22"/>
        </w:rPr>
        <w:t xml:space="preserve">The maximum concentration value for PBDEs is 0.1 % </w:t>
      </w:r>
      <w:r w:rsidR="00407788" w:rsidRPr="006968A2">
        <w:rPr>
          <w:rFonts w:asciiTheme="minorHAnsi" w:eastAsia="MS PGothic" w:hAnsiTheme="minorHAnsi"/>
          <w:sz w:val="22"/>
          <w:szCs w:val="22"/>
        </w:rPr>
        <w:t xml:space="preserve">by </w:t>
      </w:r>
      <w:r w:rsidR="00407788">
        <w:rPr>
          <w:rFonts w:asciiTheme="minorHAnsi" w:eastAsia="MS PGothic" w:hAnsiTheme="minorHAnsi"/>
          <w:sz w:val="22"/>
          <w:szCs w:val="22"/>
        </w:rPr>
        <w:t xml:space="preserve">weight </w:t>
      </w:r>
      <w:r w:rsidR="006968A2" w:rsidRPr="006968A2">
        <w:rPr>
          <w:rFonts w:asciiTheme="minorHAnsi" w:eastAsia="MS PGothic" w:hAnsiTheme="minorHAnsi"/>
          <w:sz w:val="22"/>
          <w:szCs w:val="22"/>
        </w:rPr>
        <w:t xml:space="preserve">(1,000 mg/kg) </w:t>
      </w:r>
      <w:r w:rsidR="006968A2">
        <w:rPr>
          <w:rFonts w:asciiTheme="minorHAnsi" w:eastAsia="MS PGothic" w:hAnsiTheme="minorHAnsi"/>
          <w:sz w:val="22"/>
          <w:szCs w:val="22"/>
        </w:rPr>
        <w:t>in homogeneous materials</w:t>
      </w:r>
      <w:r w:rsidR="006968A2" w:rsidRPr="006968A2">
        <w:rPr>
          <w:rFonts w:asciiTheme="minorHAnsi" w:eastAsia="MS PGothic" w:hAnsiTheme="minorHAnsi"/>
          <w:sz w:val="22"/>
          <w:szCs w:val="22"/>
        </w:rPr>
        <w:t>.</w:t>
      </w:r>
      <w:r w:rsidR="00BE07B2">
        <w:rPr>
          <w:rFonts w:asciiTheme="minorHAnsi" w:eastAsia="MS PGothic" w:hAnsiTheme="minorHAnsi"/>
          <w:sz w:val="22"/>
          <w:szCs w:val="22"/>
        </w:rPr>
        <w:t xml:space="preserve"> </w:t>
      </w:r>
      <w:r w:rsidR="00BE07B2" w:rsidRPr="00BE07B2">
        <w:rPr>
          <w:rFonts w:asciiTheme="minorHAnsi" w:eastAsia="MS PGothic" w:hAnsiTheme="minorHAnsi"/>
          <w:sz w:val="22"/>
          <w:szCs w:val="22"/>
        </w:rPr>
        <w:t xml:space="preserve">According to Annex VII of Directive 2012/19/EU on </w:t>
      </w:r>
      <w:r w:rsidR="007A537D">
        <w:rPr>
          <w:rFonts w:asciiTheme="minorHAnsi" w:eastAsia="MS PGothic" w:hAnsiTheme="minorHAnsi"/>
          <w:sz w:val="22"/>
          <w:szCs w:val="22"/>
        </w:rPr>
        <w:t>W</w:t>
      </w:r>
      <w:r w:rsidR="00BE07B2" w:rsidRPr="00BE07B2">
        <w:rPr>
          <w:rFonts w:asciiTheme="minorHAnsi" w:eastAsia="MS PGothic" w:hAnsiTheme="minorHAnsi"/>
          <w:sz w:val="22"/>
          <w:szCs w:val="22"/>
        </w:rPr>
        <w:t xml:space="preserve">aste </w:t>
      </w:r>
      <w:r w:rsidR="007A537D">
        <w:rPr>
          <w:rFonts w:asciiTheme="minorHAnsi" w:eastAsia="MS PGothic" w:hAnsiTheme="minorHAnsi"/>
          <w:sz w:val="22"/>
          <w:szCs w:val="22"/>
        </w:rPr>
        <w:t>E</w:t>
      </w:r>
      <w:r w:rsidR="00BE07B2" w:rsidRPr="00BE07B2">
        <w:rPr>
          <w:rFonts w:asciiTheme="minorHAnsi" w:eastAsia="MS PGothic" w:hAnsiTheme="minorHAnsi"/>
          <w:sz w:val="22"/>
          <w:szCs w:val="22"/>
        </w:rPr>
        <w:t xml:space="preserve">lectrical and </w:t>
      </w:r>
      <w:r w:rsidR="007A537D">
        <w:rPr>
          <w:rFonts w:asciiTheme="minorHAnsi" w:eastAsia="MS PGothic" w:hAnsiTheme="minorHAnsi"/>
          <w:sz w:val="22"/>
          <w:szCs w:val="22"/>
        </w:rPr>
        <w:t>E</w:t>
      </w:r>
      <w:r w:rsidR="00BE07B2" w:rsidRPr="00BE07B2">
        <w:rPr>
          <w:rFonts w:asciiTheme="minorHAnsi" w:eastAsia="MS PGothic" w:hAnsiTheme="minorHAnsi"/>
          <w:sz w:val="22"/>
          <w:szCs w:val="22"/>
        </w:rPr>
        <w:t xml:space="preserve">lectronic </w:t>
      </w:r>
      <w:r w:rsidR="007A537D">
        <w:rPr>
          <w:rFonts w:asciiTheme="minorHAnsi" w:eastAsia="MS PGothic" w:hAnsiTheme="minorHAnsi"/>
          <w:sz w:val="22"/>
          <w:szCs w:val="22"/>
        </w:rPr>
        <w:t>E</w:t>
      </w:r>
      <w:r w:rsidR="00BE07B2" w:rsidRPr="00BE07B2">
        <w:rPr>
          <w:rFonts w:asciiTheme="minorHAnsi" w:eastAsia="MS PGothic" w:hAnsiTheme="minorHAnsi"/>
          <w:sz w:val="22"/>
          <w:szCs w:val="22"/>
        </w:rPr>
        <w:t>quipment (WEEE)</w:t>
      </w:r>
      <w:r w:rsidR="00407788">
        <w:rPr>
          <w:rFonts w:asciiTheme="minorHAnsi" w:eastAsia="MS PGothic" w:hAnsiTheme="minorHAnsi"/>
          <w:sz w:val="22"/>
          <w:szCs w:val="22"/>
        </w:rPr>
        <w:t>,</w:t>
      </w:r>
      <w:r w:rsidR="007A537D">
        <w:rPr>
          <w:rFonts w:asciiTheme="minorHAnsi" w:eastAsia="MS PGothic" w:hAnsiTheme="minorHAnsi"/>
          <w:sz w:val="22"/>
          <w:szCs w:val="22"/>
        </w:rPr>
        <w:t xml:space="preserve"> </w:t>
      </w:r>
      <w:r w:rsidR="007A537D" w:rsidRPr="007A537D">
        <w:rPr>
          <w:rFonts w:asciiTheme="minorHAnsi" w:eastAsia="MS PGothic" w:hAnsiTheme="minorHAnsi"/>
          <w:sz w:val="22"/>
          <w:szCs w:val="22"/>
        </w:rPr>
        <w:t>on the selective treatment of mat</w:t>
      </w:r>
      <w:r w:rsidR="00C71E92">
        <w:rPr>
          <w:rFonts w:asciiTheme="minorHAnsi" w:eastAsia="MS PGothic" w:hAnsiTheme="minorHAnsi"/>
          <w:sz w:val="22"/>
          <w:szCs w:val="22"/>
        </w:rPr>
        <w:t>erials and components of EEE</w:t>
      </w:r>
      <w:r w:rsidR="007A537D" w:rsidRPr="007A537D">
        <w:rPr>
          <w:rFonts w:asciiTheme="minorHAnsi" w:eastAsia="MS PGothic" w:hAnsiTheme="minorHAnsi"/>
          <w:sz w:val="22"/>
          <w:szCs w:val="22"/>
        </w:rPr>
        <w:t>, plastics containing BFR have to be removed from any separately collected WEEE.</w:t>
      </w:r>
      <w:r w:rsidR="00C71E92">
        <w:rPr>
          <w:rFonts w:asciiTheme="minorHAnsi" w:eastAsia="MS PGothic" w:hAnsiTheme="minorHAnsi"/>
          <w:sz w:val="22"/>
          <w:szCs w:val="22"/>
        </w:rPr>
        <w:t xml:space="preserve"> </w:t>
      </w:r>
      <w:r w:rsidR="00C71E92" w:rsidRPr="00C71E92">
        <w:rPr>
          <w:rFonts w:asciiTheme="minorHAnsi" w:eastAsia="MS PGothic" w:hAnsiTheme="minorHAnsi"/>
          <w:sz w:val="22"/>
          <w:szCs w:val="22"/>
        </w:rPr>
        <w:t>If the total bromine concentration is below 2,000 mg/kg, it is considered that the treatment operator complies with the de-pollution requirements for BFR according to the WEEE Directive.</w:t>
      </w:r>
      <w:r w:rsidR="00C71E92">
        <w:rPr>
          <w:rFonts w:asciiTheme="minorHAnsi" w:eastAsia="MS PGothic" w:hAnsiTheme="minorHAnsi"/>
          <w:sz w:val="22"/>
          <w:szCs w:val="22"/>
        </w:rPr>
        <w:t xml:space="preserve"> </w:t>
      </w:r>
      <w:r w:rsidR="007A537D" w:rsidRPr="007A537D">
        <w:rPr>
          <w:rFonts w:asciiTheme="minorHAnsi" w:eastAsia="MS PGothic" w:hAnsiTheme="minorHAnsi"/>
          <w:sz w:val="22"/>
          <w:szCs w:val="22"/>
        </w:rPr>
        <w:t>Regarding ESM for WEEE plastics, there is a risk that contaminat</w:t>
      </w:r>
      <w:r w:rsidR="006A206C">
        <w:rPr>
          <w:rFonts w:asciiTheme="minorHAnsi" w:eastAsia="MS PGothic" w:hAnsiTheme="minorHAnsi"/>
          <w:sz w:val="22"/>
          <w:szCs w:val="22"/>
        </w:rPr>
        <w:t>ed recycle</w:t>
      </w:r>
      <w:r w:rsidR="00407788">
        <w:rPr>
          <w:rFonts w:asciiTheme="minorHAnsi" w:eastAsia="MS PGothic" w:hAnsiTheme="minorHAnsi"/>
          <w:sz w:val="22"/>
          <w:szCs w:val="22"/>
        </w:rPr>
        <w:t>s</w:t>
      </w:r>
      <w:r w:rsidR="006A206C">
        <w:rPr>
          <w:rFonts w:asciiTheme="minorHAnsi" w:eastAsia="MS PGothic" w:hAnsiTheme="minorHAnsi"/>
          <w:sz w:val="22"/>
          <w:szCs w:val="22"/>
        </w:rPr>
        <w:t xml:space="preserve"> enter </w:t>
      </w:r>
      <w:r w:rsidR="00407788">
        <w:rPr>
          <w:rFonts w:asciiTheme="minorHAnsi" w:eastAsia="MS PGothic" w:hAnsiTheme="minorHAnsi"/>
          <w:sz w:val="22"/>
          <w:szCs w:val="22"/>
        </w:rPr>
        <w:t xml:space="preserve">in </w:t>
      </w:r>
      <w:r w:rsidR="006A206C">
        <w:rPr>
          <w:rFonts w:asciiTheme="minorHAnsi" w:eastAsia="MS PGothic" w:hAnsiTheme="minorHAnsi"/>
          <w:sz w:val="22"/>
          <w:szCs w:val="22"/>
        </w:rPr>
        <w:t>the product</w:t>
      </w:r>
      <w:r w:rsidR="007A537D" w:rsidRPr="007A537D">
        <w:rPr>
          <w:rFonts w:asciiTheme="minorHAnsi" w:eastAsia="MS PGothic" w:hAnsiTheme="minorHAnsi"/>
          <w:sz w:val="22"/>
          <w:szCs w:val="22"/>
        </w:rPr>
        <w:t xml:space="preserve"> cycle. The risk can be minimi</w:t>
      </w:r>
      <w:r w:rsidR="00407788">
        <w:rPr>
          <w:rFonts w:asciiTheme="minorHAnsi" w:eastAsia="MS PGothic" w:hAnsiTheme="minorHAnsi"/>
          <w:sz w:val="22"/>
          <w:szCs w:val="22"/>
        </w:rPr>
        <w:t>z</w:t>
      </w:r>
      <w:r w:rsidR="007A537D" w:rsidRPr="007A537D">
        <w:rPr>
          <w:rFonts w:asciiTheme="minorHAnsi" w:eastAsia="MS PGothic" w:hAnsiTheme="minorHAnsi"/>
          <w:sz w:val="22"/>
          <w:szCs w:val="22"/>
        </w:rPr>
        <w:t xml:space="preserve">ed as far as possible through a higher </w:t>
      </w:r>
      <w:r w:rsidR="002A773E">
        <w:rPr>
          <w:rFonts w:asciiTheme="minorHAnsi" w:eastAsia="MS PGothic" w:hAnsiTheme="minorHAnsi"/>
          <w:sz w:val="22"/>
          <w:szCs w:val="22"/>
        </w:rPr>
        <w:t>degree</w:t>
      </w:r>
      <w:r w:rsidR="002A773E" w:rsidRPr="007A537D">
        <w:rPr>
          <w:rFonts w:asciiTheme="minorHAnsi" w:eastAsia="MS PGothic" w:hAnsiTheme="minorHAnsi"/>
          <w:sz w:val="22"/>
          <w:szCs w:val="22"/>
        </w:rPr>
        <w:t xml:space="preserve"> </w:t>
      </w:r>
      <w:r w:rsidR="007A537D" w:rsidRPr="007A537D">
        <w:rPr>
          <w:rFonts w:asciiTheme="minorHAnsi" w:eastAsia="MS PGothic" w:hAnsiTheme="minorHAnsi"/>
          <w:sz w:val="22"/>
          <w:szCs w:val="22"/>
        </w:rPr>
        <w:t xml:space="preserve">of separation of </w:t>
      </w:r>
      <w:r w:rsidR="002A773E">
        <w:rPr>
          <w:rFonts w:asciiTheme="minorHAnsi" w:eastAsia="MS PGothic" w:hAnsiTheme="minorHAnsi"/>
          <w:sz w:val="22"/>
          <w:szCs w:val="22"/>
        </w:rPr>
        <w:t xml:space="preserve">plastic </w:t>
      </w:r>
      <w:r w:rsidR="007A537D" w:rsidRPr="007A537D">
        <w:rPr>
          <w:rFonts w:asciiTheme="minorHAnsi" w:eastAsia="MS PGothic" w:hAnsiTheme="minorHAnsi"/>
          <w:sz w:val="22"/>
          <w:szCs w:val="22"/>
        </w:rPr>
        <w:t xml:space="preserve">WEEE containing </w:t>
      </w:r>
      <w:proofErr w:type="spellStart"/>
      <w:r w:rsidR="007A537D" w:rsidRPr="007A537D">
        <w:rPr>
          <w:rFonts w:asciiTheme="minorHAnsi" w:eastAsia="MS PGothic" w:hAnsiTheme="minorHAnsi"/>
          <w:sz w:val="22"/>
          <w:szCs w:val="22"/>
        </w:rPr>
        <w:t>decaBDE</w:t>
      </w:r>
      <w:proofErr w:type="spellEnd"/>
      <w:r w:rsidR="007A537D" w:rsidRPr="007A537D">
        <w:rPr>
          <w:rFonts w:asciiTheme="minorHAnsi" w:eastAsia="MS PGothic" w:hAnsiTheme="minorHAnsi"/>
          <w:sz w:val="22"/>
          <w:szCs w:val="22"/>
        </w:rPr>
        <w:t>.</w:t>
      </w:r>
      <w:r w:rsidR="00D805EF">
        <w:rPr>
          <w:rFonts w:asciiTheme="minorHAnsi" w:eastAsia="MS PGothic" w:hAnsiTheme="minorHAnsi"/>
          <w:sz w:val="22"/>
          <w:szCs w:val="22"/>
        </w:rPr>
        <w:t xml:space="preserve"> </w:t>
      </w:r>
      <w:r w:rsidR="001712F1" w:rsidRPr="001712F1">
        <w:rPr>
          <w:rFonts w:asciiTheme="minorHAnsi" w:eastAsia="MS PGothic" w:hAnsiTheme="minorHAnsi"/>
          <w:sz w:val="22"/>
          <w:szCs w:val="22"/>
        </w:rPr>
        <w:t xml:space="preserve">The current POP Regulation does not yet </w:t>
      </w:r>
      <w:r w:rsidR="00722826">
        <w:rPr>
          <w:rFonts w:asciiTheme="minorHAnsi" w:eastAsia="MS PGothic" w:hAnsiTheme="minorHAnsi"/>
          <w:sz w:val="22"/>
          <w:szCs w:val="22"/>
        </w:rPr>
        <w:t>include</w:t>
      </w:r>
      <w:r w:rsidR="001712F1" w:rsidRPr="001712F1">
        <w:rPr>
          <w:rFonts w:asciiTheme="minorHAnsi" w:eastAsia="MS PGothic" w:hAnsiTheme="minorHAnsi"/>
          <w:sz w:val="22"/>
          <w:szCs w:val="22"/>
        </w:rPr>
        <w:t xml:space="preserve"> </w:t>
      </w:r>
      <w:proofErr w:type="spellStart"/>
      <w:r w:rsidR="001712F1" w:rsidRPr="001712F1">
        <w:rPr>
          <w:rFonts w:asciiTheme="minorHAnsi" w:eastAsia="MS PGothic" w:hAnsiTheme="minorHAnsi"/>
          <w:sz w:val="22"/>
          <w:szCs w:val="22"/>
        </w:rPr>
        <w:t>decaBDE</w:t>
      </w:r>
      <w:proofErr w:type="spellEnd"/>
      <w:r w:rsidR="0088435F">
        <w:rPr>
          <w:rFonts w:asciiTheme="minorHAnsi" w:eastAsia="MS PGothic" w:hAnsiTheme="minorHAnsi"/>
          <w:sz w:val="22"/>
          <w:szCs w:val="22"/>
        </w:rPr>
        <w:t>,</w:t>
      </w:r>
      <w:r w:rsidR="00722826">
        <w:rPr>
          <w:rFonts w:asciiTheme="minorHAnsi" w:eastAsia="MS PGothic" w:hAnsiTheme="minorHAnsi"/>
          <w:sz w:val="22"/>
          <w:szCs w:val="22"/>
        </w:rPr>
        <w:t xml:space="preserve"> but in the specific TGs developed under the Basel Convention it was proposed to include </w:t>
      </w:r>
      <w:proofErr w:type="spellStart"/>
      <w:r w:rsidR="00722826">
        <w:rPr>
          <w:rFonts w:asciiTheme="minorHAnsi" w:eastAsia="MS PGothic" w:hAnsiTheme="minorHAnsi"/>
          <w:sz w:val="22"/>
          <w:szCs w:val="22"/>
        </w:rPr>
        <w:t>deca</w:t>
      </w:r>
      <w:proofErr w:type="spellEnd"/>
      <w:r w:rsidR="00722826">
        <w:rPr>
          <w:rFonts w:asciiTheme="minorHAnsi" w:eastAsia="MS PGothic" w:hAnsiTheme="minorHAnsi"/>
          <w:sz w:val="22"/>
          <w:szCs w:val="22"/>
        </w:rPr>
        <w:t xml:space="preserve">-BDE </w:t>
      </w:r>
      <w:r w:rsidR="00984446">
        <w:rPr>
          <w:rFonts w:asciiTheme="minorHAnsi" w:eastAsia="MS PGothic" w:hAnsiTheme="minorHAnsi"/>
          <w:sz w:val="22"/>
          <w:szCs w:val="22"/>
        </w:rPr>
        <w:t>for the sum of POP-BDEs</w:t>
      </w:r>
      <w:r w:rsidR="00722826">
        <w:rPr>
          <w:rFonts w:asciiTheme="minorHAnsi" w:eastAsia="MS PGothic" w:hAnsiTheme="minorHAnsi"/>
          <w:sz w:val="22"/>
          <w:szCs w:val="22"/>
        </w:rPr>
        <w:t>, already</w:t>
      </w:r>
      <w:r w:rsidR="00984446">
        <w:rPr>
          <w:rFonts w:asciiTheme="minorHAnsi" w:eastAsia="MS PGothic" w:hAnsiTheme="minorHAnsi"/>
          <w:sz w:val="22"/>
          <w:szCs w:val="22"/>
        </w:rPr>
        <w:t xml:space="preserve"> </w:t>
      </w:r>
      <w:r w:rsidR="00722826">
        <w:rPr>
          <w:rFonts w:asciiTheme="minorHAnsi" w:eastAsia="MS PGothic" w:hAnsiTheme="minorHAnsi"/>
          <w:sz w:val="22"/>
          <w:szCs w:val="22"/>
        </w:rPr>
        <w:t xml:space="preserve">limited to 1000 mg/kg </w:t>
      </w:r>
    </w:p>
    <w:p w14:paraId="658C97A6" w14:textId="2EB84E6A" w:rsidR="00704BDF" w:rsidRDefault="001F4A39" w:rsidP="00704BDF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</w:t>
      </w:r>
      <w:r w:rsidR="00704BDF"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. Conclusion</w:t>
      </w:r>
      <w:r w:rsidR="00704BDF"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4F4FAD4F" w14:textId="6006738D" w:rsidR="0088435F" w:rsidRPr="0088435F" w:rsidRDefault="002A773E" w:rsidP="00984446">
      <w:pPr>
        <w:snapToGrid w:val="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 xml:space="preserve">In waste streams are still introducing goods </w:t>
      </w:r>
      <w:r w:rsidRPr="00AD5E87">
        <w:rPr>
          <w:rFonts w:asciiTheme="minorHAnsi" w:eastAsia="MS PGothic" w:hAnsiTheme="minorHAnsi"/>
          <w:color w:val="000000"/>
          <w:sz w:val="22"/>
          <w:szCs w:val="22"/>
        </w:rPr>
        <w:t xml:space="preserve">containing </w:t>
      </w:r>
      <w:r w:rsidR="00D474A6">
        <w:rPr>
          <w:rFonts w:asciiTheme="minorHAnsi" w:eastAsia="MS PGothic" w:hAnsiTheme="minorHAnsi"/>
          <w:color w:val="000000"/>
          <w:sz w:val="22"/>
          <w:szCs w:val="22"/>
        </w:rPr>
        <w:t>C</w:t>
      </w:r>
      <w:r w:rsidR="00D474A6" w:rsidRPr="00AD5E87">
        <w:rPr>
          <w:rFonts w:asciiTheme="minorHAnsi" w:eastAsia="MS PGothic" w:hAnsiTheme="minorHAnsi"/>
          <w:color w:val="000000"/>
          <w:sz w:val="22"/>
          <w:szCs w:val="22"/>
        </w:rPr>
        <w:t>-</w:t>
      </w:r>
      <w:proofErr w:type="spellStart"/>
      <w:r w:rsidR="00D474A6" w:rsidRPr="00AD5E87">
        <w:rPr>
          <w:rFonts w:asciiTheme="minorHAnsi" w:eastAsia="MS PGothic" w:hAnsiTheme="minorHAnsi"/>
          <w:color w:val="000000"/>
          <w:sz w:val="22"/>
          <w:szCs w:val="22"/>
        </w:rPr>
        <w:t>decaBDE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</w:rPr>
        <w:t>.</w:t>
      </w:r>
      <w:r w:rsidR="00722826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D474A6" w:rsidRPr="00AD5E87">
        <w:rPr>
          <w:rFonts w:asciiTheme="minorHAnsi" w:eastAsia="MS PGothic" w:hAnsiTheme="minorHAnsi"/>
          <w:color w:val="000000"/>
          <w:sz w:val="22"/>
          <w:szCs w:val="22"/>
        </w:rPr>
        <w:t>Emissions of c-</w:t>
      </w:r>
      <w:proofErr w:type="spellStart"/>
      <w:r w:rsidR="00D474A6" w:rsidRPr="00AD5E87">
        <w:rPr>
          <w:rFonts w:asciiTheme="minorHAnsi" w:eastAsia="MS PGothic" w:hAnsiTheme="minorHAnsi"/>
          <w:color w:val="000000"/>
          <w:sz w:val="22"/>
          <w:szCs w:val="22"/>
        </w:rPr>
        <w:t>decaBDE</w:t>
      </w:r>
      <w:proofErr w:type="spellEnd"/>
      <w:r w:rsidR="00D474A6" w:rsidRPr="00AD5E87">
        <w:rPr>
          <w:rFonts w:asciiTheme="minorHAnsi" w:eastAsia="MS PGothic" w:hAnsiTheme="minorHAnsi"/>
          <w:color w:val="000000"/>
          <w:sz w:val="22"/>
          <w:szCs w:val="22"/>
        </w:rPr>
        <w:t xml:space="preserve"> to the environment occur at all its life</w:t>
      </w:r>
      <w:r w:rsidR="008D2DE5">
        <w:rPr>
          <w:rFonts w:asciiTheme="minorHAnsi" w:eastAsia="MS PGothic" w:hAnsiTheme="minorHAnsi"/>
          <w:color w:val="000000"/>
          <w:sz w:val="22"/>
          <w:szCs w:val="22"/>
        </w:rPr>
        <w:t>-</w:t>
      </w:r>
      <w:r w:rsidR="00D474A6" w:rsidRPr="00AD5E87">
        <w:rPr>
          <w:rFonts w:asciiTheme="minorHAnsi" w:eastAsia="MS PGothic" w:hAnsiTheme="minorHAnsi"/>
          <w:color w:val="000000"/>
          <w:sz w:val="22"/>
          <w:szCs w:val="22"/>
        </w:rPr>
        <w:t xml:space="preserve">cycle stages, but </w:t>
      </w:r>
      <w:r w:rsidR="008D2DE5">
        <w:rPr>
          <w:rFonts w:asciiTheme="minorHAnsi" w:eastAsia="MS PGothic" w:hAnsiTheme="minorHAnsi"/>
          <w:color w:val="000000"/>
          <w:sz w:val="22"/>
          <w:szCs w:val="22"/>
        </w:rPr>
        <w:t xml:space="preserve">they </w:t>
      </w:r>
      <w:r w:rsidR="00D474A6" w:rsidRPr="00AD5E87">
        <w:rPr>
          <w:rFonts w:asciiTheme="minorHAnsi" w:eastAsia="MS PGothic" w:hAnsiTheme="minorHAnsi"/>
          <w:color w:val="000000"/>
          <w:sz w:val="22"/>
          <w:szCs w:val="22"/>
        </w:rPr>
        <w:t>are assumed to be the highest during service-life and during the waste phase.</w:t>
      </w:r>
      <w:r w:rsidR="00D474A6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AD5E87" w:rsidRPr="00AD5E87">
        <w:rPr>
          <w:rFonts w:asciiTheme="minorHAnsi" w:eastAsia="MS PGothic" w:hAnsiTheme="minorHAnsi"/>
          <w:color w:val="000000"/>
          <w:sz w:val="22"/>
          <w:szCs w:val="22"/>
        </w:rPr>
        <w:t>Production and use of c-</w:t>
      </w:r>
      <w:proofErr w:type="spellStart"/>
      <w:r w:rsidR="00AD5E87" w:rsidRPr="00AD5E87">
        <w:rPr>
          <w:rFonts w:asciiTheme="minorHAnsi" w:eastAsia="MS PGothic" w:hAnsiTheme="minorHAnsi"/>
          <w:color w:val="000000"/>
          <w:sz w:val="22"/>
          <w:szCs w:val="22"/>
        </w:rPr>
        <w:t>decaBDE</w:t>
      </w:r>
      <w:proofErr w:type="spellEnd"/>
      <w:r w:rsidR="00AD5E87" w:rsidRPr="00AD5E87">
        <w:rPr>
          <w:rFonts w:asciiTheme="minorHAnsi" w:eastAsia="MS PGothic" w:hAnsiTheme="minorHAnsi"/>
          <w:color w:val="000000"/>
          <w:sz w:val="22"/>
          <w:szCs w:val="22"/>
        </w:rPr>
        <w:t xml:space="preserve"> is decreasing but still ong</w:t>
      </w:r>
      <w:r w:rsidR="00383715">
        <w:rPr>
          <w:rFonts w:asciiTheme="minorHAnsi" w:eastAsia="MS PGothic" w:hAnsiTheme="minorHAnsi"/>
          <w:color w:val="000000"/>
          <w:sz w:val="22"/>
          <w:szCs w:val="22"/>
        </w:rPr>
        <w:t>oing in significant quantities</w:t>
      </w:r>
      <w:r w:rsidR="008D2DE5">
        <w:rPr>
          <w:rFonts w:asciiTheme="minorHAnsi" w:eastAsia="MS PGothic" w:hAnsiTheme="minorHAnsi"/>
          <w:color w:val="000000"/>
          <w:sz w:val="22"/>
          <w:szCs w:val="22"/>
        </w:rPr>
        <w:t>. The</w:t>
      </w:r>
      <w:r w:rsidR="00383715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8D2DE5">
        <w:rPr>
          <w:rFonts w:asciiTheme="minorHAnsi" w:eastAsia="MS PGothic" w:hAnsiTheme="minorHAnsi"/>
          <w:color w:val="000000"/>
          <w:sz w:val="22"/>
          <w:szCs w:val="22"/>
        </w:rPr>
        <w:t xml:space="preserve">production </w:t>
      </w:r>
      <w:r w:rsidR="00E617B5">
        <w:rPr>
          <w:rFonts w:asciiTheme="minorHAnsi" w:eastAsia="MS PGothic" w:hAnsiTheme="minorHAnsi"/>
          <w:color w:val="000000"/>
          <w:sz w:val="22"/>
          <w:szCs w:val="22"/>
        </w:rPr>
        <w:t xml:space="preserve">and use </w:t>
      </w:r>
      <w:r w:rsidR="008D2DE5">
        <w:rPr>
          <w:rFonts w:asciiTheme="minorHAnsi" w:eastAsia="MS PGothic" w:hAnsiTheme="minorHAnsi"/>
          <w:color w:val="000000"/>
          <w:sz w:val="22"/>
          <w:szCs w:val="22"/>
        </w:rPr>
        <w:t xml:space="preserve">of the </w:t>
      </w:r>
      <w:r w:rsidR="00AD5E87" w:rsidRPr="00AD5E87">
        <w:rPr>
          <w:rFonts w:asciiTheme="minorHAnsi" w:eastAsia="MS PGothic" w:hAnsiTheme="minorHAnsi"/>
          <w:color w:val="000000"/>
          <w:sz w:val="22"/>
          <w:szCs w:val="22"/>
        </w:rPr>
        <w:t xml:space="preserve">other commercial PBDEs </w:t>
      </w:r>
      <w:r w:rsidR="008D2DE5">
        <w:rPr>
          <w:rFonts w:asciiTheme="minorHAnsi" w:eastAsia="MS PGothic" w:hAnsiTheme="minorHAnsi"/>
          <w:color w:val="000000"/>
          <w:sz w:val="22"/>
          <w:szCs w:val="22"/>
        </w:rPr>
        <w:t>has been</w:t>
      </w:r>
      <w:r w:rsidR="008D2DE5" w:rsidRPr="00AD5E87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8D2DE5">
        <w:rPr>
          <w:rFonts w:asciiTheme="minorHAnsi" w:eastAsia="MS PGothic" w:hAnsiTheme="minorHAnsi"/>
          <w:color w:val="000000"/>
          <w:sz w:val="22"/>
          <w:szCs w:val="22"/>
        </w:rPr>
        <w:t>stopped</w:t>
      </w:r>
      <w:r w:rsidR="008D2DE5" w:rsidRPr="00AD5E87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AD5E87" w:rsidRPr="00AD5E87">
        <w:rPr>
          <w:rFonts w:asciiTheme="minorHAnsi" w:eastAsia="MS PGothic" w:hAnsiTheme="minorHAnsi"/>
          <w:color w:val="000000"/>
          <w:sz w:val="22"/>
          <w:szCs w:val="22"/>
        </w:rPr>
        <w:t xml:space="preserve">in the first decade of the 2000s at </w:t>
      </w:r>
      <w:r w:rsidR="008D2DE5">
        <w:rPr>
          <w:rFonts w:asciiTheme="minorHAnsi" w:eastAsia="MS PGothic" w:hAnsiTheme="minorHAnsi"/>
          <w:color w:val="000000"/>
          <w:sz w:val="22"/>
          <w:szCs w:val="22"/>
        </w:rPr>
        <w:t>a</w:t>
      </w:r>
      <w:r w:rsidR="008D2DE5" w:rsidRPr="00AD5E87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AD5E87" w:rsidRPr="00AD5E87">
        <w:rPr>
          <w:rFonts w:asciiTheme="minorHAnsi" w:eastAsia="MS PGothic" w:hAnsiTheme="minorHAnsi"/>
          <w:color w:val="000000"/>
          <w:sz w:val="22"/>
          <w:szCs w:val="22"/>
        </w:rPr>
        <w:t>global level. As a consequence, levels in products and wastes</w:t>
      </w:r>
      <w:r w:rsidR="008D2DE5">
        <w:rPr>
          <w:rFonts w:asciiTheme="minorHAnsi" w:eastAsia="MS PGothic" w:hAnsiTheme="minorHAnsi"/>
          <w:color w:val="000000"/>
          <w:sz w:val="22"/>
          <w:szCs w:val="22"/>
        </w:rPr>
        <w:t>,</w:t>
      </w:r>
      <w:r w:rsidR="00AD5E87" w:rsidRPr="00AD5E87">
        <w:rPr>
          <w:rFonts w:asciiTheme="minorHAnsi" w:eastAsia="MS PGothic" w:hAnsiTheme="minorHAnsi"/>
          <w:color w:val="000000"/>
          <w:sz w:val="22"/>
          <w:szCs w:val="22"/>
        </w:rPr>
        <w:t xml:space="preserve"> as well as recycled (secondary) materials</w:t>
      </w:r>
      <w:r w:rsidR="008D2DE5">
        <w:rPr>
          <w:rFonts w:asciiTheme="minorHAnsi" w:eastAsia="MS PGothic" w:hAnsiTheme="minorHAnsi"/>
          <w:color w:val="000000"/>
          <w:sz w:val="22"/>
          <w:szCs w:val="22"/>
        </w:rPr>
        <w:t>,</w:t>
      </w:r>
      <w:r w:rsidR="00AD5E87" w:rsidRPr="00AD5E87">
        <w:rPr>
          <w:rFonts w:asciiTheme="minorHAnsi" w:eastAsia="MS PGothic" w:hAnsiTheme="minorHAnsi"/>
          <w:color w:val="000000"/>
          <w:sz w:val="22"/>
          <w:szCs w:val="22"/>
        </w:rPr>
        <w:t xml:space="preserve"> are expected to </w:t>
      </w:r>
      <w:r w:rsidR="008D2DE5" w:rsidRPr="00AD5E87">
        <w:rPr>
          <w:rFonts w:asciiTheme="minorHAnsi" w:eastAsia="MS PGothic" w:hAnsiTheme="minorHAnsi"/>
          <w:color w:val="000000"/>
          <w:sz w:val="22"/>
          <w:szCs w:val="22"/>
        </w:rPr>
        <w:t xml:space="preserve">decrease </w:t>
      </w:r>
      <w:r w:rsidR="00AD5E87" w:rsidRPr="00AD5E87">
        <w:rPr>
          <w:rFonts w:asciiTheme="minorHAnsi" w:eastAsia="MS PGothic" w:hAnsiTheme="minorHAnsi"/>
          <w:color w:val="000000"/>
          <w:sz w:val="22"/>
          <w:szCs w:val="22"/>
        </w:rPr>
        <w:t>continuously in the coming years.</w:t>
      </w:r>
      <w:r w:rsidR="00AD5E87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</w:p>
    <w:p w14:paraId="312E0BE3" w14:textId="2A1A1833" w:rsidR="00984446" w:rsidRDefault="00C16C2B" w:rsidP="0088435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 w:rsidRPr="00C16C2B">
        <w:rPr>
          <w:rFonts w:asciiTheme="minorHAnsi" w:eastAsia="MS PGothic" w:hAnsiTheme="minorHAnsi"/>
          <w:color w:val="000000"/>
          <w:sz w:val="22"/>
          <w:szCs w:val="22"/>
        </w:rPr>
        <w:t xml:space="preserve">In addition, </w:t>
      </w:r>
      <w:r w:rsidR="00984273">
        <w:rPr>
          <w:rFonts w:asciiTheme="minorHAnsi" w:eastAsia="MS PGothic" w:hAnsiTheme="minorHAnsi"/>
          <w:color w:val="000000"/>
          <w:sz w:val="22"/>
          <w:szCs w:val="22"/>
        </w:rPr>
        <w:t xml:space="preserve">an </w:t>
      </w:r>
      <w:r w:rsidRPr="00C16C2B">
        <w:rPr>
          <w:rFonts w:asciiTheme="minorHAnsi" w:eastAsia="MS PGothic" w:hAnsiTheme="minorHAnsi"/>
          <w:color w:val="000000"/>
          <w:sz w:val="22"/>
          <w:szCs w:val="22"/>
        </w:rPr>
        <w:t xml:space="preserve">extensive </w:t>
      </w:r>
      <w:r w:rsidR="00984273">
        <w:rPr>
          <w:rFonts w:asciiTheme="minorHAnsi" w:eastAsia="MS PGothic" w:hAnsiTheme="minorHAnsi"/>
          <w:color w:val="000000"/>
          <w:sz w:val="22"/>
          <w:szCs w:val="22"/>
        </w:rPr>
        <w:t>POPs contamination of sites in C</w:t>
      </w:r>
      <w:r w:rsidRPr="00C16C2B">
        <w:rPr>
          <w:rFonts w:asciiTheme="minorHAnsi" w:eastAsia="MS PGothic" w:hAnsiTheme="minorHAnsi"/>
          <w:color w:val="000000"/>
          <w:sz w:val="22"/>
          <w:szCs w:val="22"/>
        </w:rPr>
        <w:t>ountries with tran</w:t>
      </w:r>
      <w:r w:rsidR="00984273">
        <w:rPr>
          <w:rFonts w:asciiTheme="minorHAnsi" w:eastAsia="MS PGothic" w:hAnsiTheme="minorHAnsi"/>
          <w:color w:val="000000"/>
          <w:sz w:val="22"/>
          <w:szCs w:val="22"/>
        </w:rPr>
        <w:t>sition or development economies</w:t>
      </w:r>
      <w:r w:rsidR="00722826" w:rsidRPr="00722826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722826" w:rsidRPr="00C16C2B">
        <w:rPr>
          <w:rFonts w:asciiTheme="minorHAnsi" w:eastAsia="MS PGothic" w:hAnsiTheme="minorHAnsi"/>
          <w:color w:val="000000"/>
          <w:sz w:val="22"/>
          <w:szCs w:val="22"/>
        </w:rPr>
        <w:t>has recently emerged</w:t>
      </w:r>
      <w:r w:rsidR="00984273">
        <w:rPr>
          <w:rFonts w:asciiTheme="minorHAnsi" w:eastAsia="MS PGothic" w:hAnsiTheme="minorHAnsi"/>
          <w:color w:val="000000"/>
          <w:sz w:val="22"/>
          <w:szCs w:val="22"/>
        </w:rPr>
        <w:t>. In these Countries</w:t>
      </w:r>
      <w:r w:rsidRPr="00C16C2B">
        <w:rPr>
          <w:rFonts w:asciiTheme="minorHAnsi" w:eastAsia="MS PGothic" w:hAnsiTheme="minorHAnsi"/>
          <w:color w:val="000000"/>
          <w:sz w:val="22"/>
          <w:szCs w:val="22"/>
        </w:rPr>
        <w:t xml:space="preserve"> PO</w:t>
      </w:r>
      <w:r w:rsidR="00984273">
        <w:rPr>
          <w:rFonts w:asciiTheme="minorHAnsi" w:eastAsia="MS PGothic" w:hAnsiTheme="minorHAnsi"/>
          <w:color w:val="000000"/>
          <w:sz w:val="22"/>
          <w:szCs w:val="22"/>
        </w:rPr>
        <w:t>Ps wastes are frequently exported,</w:t>
      </w:r>
      <w:r w:rsidRPr="00C16C2B">
        <w:rPr>
          <w:rFonts w:asciiTheme="minorHAnsi" w:eastAsia="MS PGothic" w:hAnsiTheme="minorHAnsi"/>
          <w:color w:val="000000"/>
          <w:sz w:val="22"/>
          <w:szCs w:val="22"/>
        </w:rPr>
        <w:t xml:space="preserve"> without </w:t>
      </w:r>
      <w:r w:rsidR="00984273">
        <w:rPr>
          <w:rFonts w:asciiTheme="minorHAnsi" w:eastAsia="MS PGothic" w:hAnsiTheme="minorHAnsi"/>
          <w:color w:val="000000"/>
          <w:sz w:val="22"/>
          <w:szCs w:val="22"/>
        </w:rPr>
        <w:t>being</w:t>
      </w:r>
      <w:r w:rsidRPr="00C16C2B">
        <w:rPr>
          <w:rFonts w:asciiTheme="minorHAnsi" w:eastAsia="MS PGothic" w:hAnsiTheme="minorHAnsi"/>
          <w:color w:val="000000"/>
          <w:sz w:val="22"/>
          <w:szCs w:val="22"/>
        </w:rPr>
        <w:t xml:space="preserve"> adequate capacity to manage</w:t>
      </w:r>
      <w:r w:rsidR="00984273">
        <w:rPr>
          <w:rFonts w:asciiTheme="minorHAnsi" w:eastAsia="MS PGothic" w:hAnsiTheme="minorHAnsi"/>
          <w:color w:val="000000"/>
          <w:sz w:val="22"/>
          <w:szCs w:val="22"/>
        </w:rPr>
        <w:t xml:space="preserve"> them</w:t>
      </w:r>
      <w:r w:rsidRPr="00C16C2B">
        <w:rPr>
          <w:rFonts w:asciiTheme="minorHAnsi" w:eastAsia="MS PGothic" w:hAnsiTheme="minorHAnsi"/>
          <w:color w:val="000000"/>
          <w:sz w:val="22"/>
          <w:szCs w:val="22"/>
        </w:rPr>
        <w:t xml:space="preserve"> in safety, also due to the </w:t>
      </w:r>
      <w:r w:rsidR="00C4109D">
        <w:rPr>
          <w:rFonts w:asciiTheme="minorHAnsi" w:eastAsia="MS PGothic" w:hAnsiTheme="minorHAnsi"/>
          <w:color w:val="000000"/>
          <w:sz w:val="22"/>
          <w:szCs w:val="22"/>
        </w:rPr>
        <w:t xml:space="preserve">scarcity </w:t>
      </w:r>
      <w:r w:rsidRPr="00C16C2B">
        <w:rPr>
          <w:rFonts w:asciiTheme="minorHAnsi" w:eastAsia="MS PGothic" w:hAnsiTheme="minorHAnsi"/>
          <w:color w:val="000000"/>
          <w:sz w:val="22"/>
          <w:szCs w:val="22"/>
        </w:rPr>
        <w:t xml:space="preserve">of the controls and </w:t>
      </w:r>
      <w:r w:rsidR="00984273">
        <w:rPr>
          <w:rFonts w:asciiTheme="minorHAnsi" w:eastAsia="MS PGothic" w:hAnsiTheme="minorHAnsi"/>
          <w:color w:val="000000"/>
          <w:sz w:val="22"/>
          <w:szCs w:val="22"/>
        </w:rPr>
        <w:t xml:space="preserve">to </w:t>
      </w:r>
      <w:r w:rsidRPr="00C16C2B">
        <w:rPr>
          <w:rFonts w:asciiTheme="minorHAnsi" w:eastAsia="MS PGothic" w:hAnsiTheme="minorHAnsi"/>
          <w:color w:val="000000"/>
          <w:sz w:val="22"/>
          <w:szCs w:val="22"/>
        </w:rPr>
        <w:t>the inadequate implementation of the Conventions</w:t>
      </w:r>
      <w:r w:rsidR="00984446">
        <w:rPr>
          <w:rFonts w:asciiTheme="minorHAnsi" w:eastAsia="MS PGothic" w:hAnsiTheme="minorHAnsi"/>
          <w:color w:val="000000"/>
          <w:sz w:val="22"/>
          <w:szCs w:val="22"/>
        </w:rPr>
        <w:t xml:space="preserve"> [1, 2].</w:t>
      </w:r>
      <w:r w:rsidRPr="00C16C2B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</w:p>
    <w:p w14:paraId="5DA2B6C9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  <w:r w:rsid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</w:t>
      </w:r>
    </w:p>
    <w:p w14:paraId="4A698E6A" w14:textId="77777777" w:rsidR="00984446" w:rsidRPr="00984446" w:rsidRDefault="00984446" w:rsidP="00984446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984446">
        <w:rPr>
          <w:rFonts w:asciiTheme="minorHAnsi" w:hAnsiTheme="minorHAnsi"/>
          <w:color w:val="000000"/>
        </w:rPr>
        <w:t xml:space="preserve">Weber R., </w:t>
      </w:r>
      <w:proofErr w:type="spellStart"/>
      <w:r w:rsidRPr="00984446">
        <w:rPr>
          <w:rFonts w:asciiTheme="minorHAnsi" w:hAnsiTheme="minorHAnsi"/>
          <w:color w:val="000000"/>
        </w:rPr>
        <w:t>Aliyeva</w:t>
      </w:r>
      <w:proofErr w:type="spellEnd"/>
      <w:r w:rsidRPr="00984446">
        <w:rPr>
          <w:rFonts w:asciiTheme="minorHAnsi" w:hAnsiTheme="minorHAnsi"/>
          <w:color w:val="000000"/>
        </w:rPr>
        <w:t xml:space="preserve"> G., </w:t>
      </w:r>
      <w:proofErr w:type="spellStart"/>
      <w:r w:rsidRPr="00984446">
        <w:rPr>
          <w:rFonts w:asciiTheme="minorHAnsi" w:hAnsiTheme="minorHAnsi"/>
          <w:color w:val="000000"/>
        </w:rPr>
        <w:t>Vijgen</w:t>
      </w:r>
      <w:proofErr w:type="spellEnd"/>
      <w:r w:rsidRPr="00984446">
        <w:rPr>
          <w:rFonts w:asciiTheme="minorHAnsi" w:hAnsiTheme="minorHAnsi"/>
          <w:color w:val="000000"/>
        </w:rPr>
        <w:t xml:space="preserve"> J., 2013. The need for an integrated approach to the global challenge of POPs management. Environmental Science and Pollution Research 20(4), 1901-1906.</w:t>
      </w:r>
    </w:p>
    <w:p w14:paraId="15C0E25B" w14:textId="4F6D2B11" w:rsidR="003A6A79" w:rsidRDefault="00984446" w:rsidP="00E80F81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984446">
        <w:rPr>
          <w:rFonts w:asciiTheme="minorHAnsi" w:hAnsiTheme="minorHAnsi"/>
          <w:color w:val="000000"/>
        </w:rPr>
        <w:t xml:space="preserve">Bell L., Weber R., De Borst B., </w:t>
      </w:r>
      <w:proofErr w:type="spellStart"/>
      <w:r w:rsidRPr="00984446">
        <w:rPr>
          <w:rFonts w:asciiTheme="minorHAnsi" w:hAnsiTheme="minorHAnsi"/>
          <w:color w:val="000000"/>
        </w:rPr>
        <w:t>Paun</w:t>
      </w:r>
      <w:proofErr w:type="spellEnd"/>
      <w:r w:rsidRPr="00984446">
        <w:rPr>
          <w:rFonts w:asciiTheme="minorHAnsi" w:hAnsiTheme="minorHAnsi"/>
          <w:color w:val="000000"/>
        </w:rPr>
        <w:t xml:space="preserve"> M.C., </w:t>
      </w:r>
      <w:proofErr w:type="spellStart"/>
      <w:r w:rsidRPr="00984446">
        <w:rPr>
          <w:rFonts w:asciiTheme="minorHAnsi" w:hAnsiTheme="minorHAnsi"/>
          <w:color w:val="000000"/>
        </w:rPr>
        <w:t>Holoubek</w:t>
      </w:r>
      <w:proofErr w:type="spellEnd"/>
      <w:r w:rsidRPr="00984446">
        <w:rPr>
          <w:rFonts w:asciiTheme="minorHAnsi" w:hAnsiTheme="minorHAnsi"/>
          <w:color w:val="000000"/>
        </w:rPr>
        <w:t xml:space="preserve"> I., </w:t>
      </w:r>
      <w:proofErr w:type="spellStart"/>
      <w:r w:rsidRPr="00984446">
        <w:rPr>
          <w:rFonts w:asciiTheme="minorHAnsi" w:hAnsiTheme="minorHAnsi"/>
          <w:color w:val="000000"/>
        </w:rPr>
        <w:t>Kakareka</w:t>
      </w:r>
      <w:proofErr w:type="spellEnd"/>
      <w:r w:rsidRPr="00984446">
        <w:rPr>
          <w:rFonts w:asciiTheme="minorHAnsi" w:hAnsiTheme="minorHAnsi"/>
          <w:color w:val="000000"/>
        </w:rPr>
        <w:t xml:space="preserve"> S., </w:t>
      </w:r>
      <w:proofErr w:type="spellStart"/>
      <w:r w:rsidRPr="00984446">
        <w:rPr>
          <w:rFonts w:asciiTheme="minorHAnsi" w:hAnsiTheme="minorHAnsi"/>
          <w:color w:val="000000"/>
        </w:rPr>
        <w:t>Petrlík</w:t>
      </w:r>
      <w:proofErr w:type="spellEnd"/>
      <w:r w:rsidRPr="00984446">
        <w:rPr>
          <w:rFonts w:asciiTheme="minorHAnsi" w:hAnsiTheme="minorHAnsi"/>
          <w:color w:val="000000"/>
        </w:rPr>
        <w:t xml:space="preserve"> J., Watson A., </w:t>
      </w:r>
      <w:proofErr w:type="spellStart"/>
      <w:r w:rsidRPr="00984446">
        <w:rPr>
          <w:rFonts w:asciiTheme="minorHAnsi" w:hAnsiTheme="minorHAnsi"/>
          <w:color w:val="000000"/>
        </w:rPr>
        <w:t>Vijgen</w:t>
      </w:r>
      <w:proofErr w:type="spellEnd"/>
      <w:r w:rsidRPr="00984446">
        <w:rPr>
          <w:rFonts w:asciiTheme="minorHAnsi" w:hAnsiTheme="minorHAnsi"/>
          <w:color w:val="000000"/>
        </w:rPr>
        <w:t xml:space="preserve"> J., 2016. Assessment of POPs contaminated sites and the need for stringent soil standards for food and feed safety. Working document for UNEP Dioxin Toolkit and BAT/BEP group. Bratislava (</w:t>
      </w:r>
      <w:proofErr w:type="spellStart"/>
      <w:r w:rsidRPr="00984446">
        <w:rPr>
          <w:rFonts w:asciiTheme="minorHAnsi" w:hAnsiTheme="minorHAnsi"/>
          <w:color w:val="000000"/>
        </w:rPr>
        <w:t>Slo</w:t>
      </w:r>
      <w:proofErr w:type="spellEnd"/>
      <w:r w:rsidRPr="00984446">
        <w:rPr>
          <w:rFonts w:asciiTheme="minorHAnsi" w:hAnsiTheme="minorHAnsi"/>
          <w:color w:val="000000"/>
        </w:rPr>
        <w:t>).</w:t>
      </w:r>
    </w:p>
    <w:sectPr w:rsidR="003A6A79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64B05" w14:textId="77777777" w:rsidR="00B53668" w:rsidRDefault="00B53668" w:rsidP="004F5E36">
      <w:r>
        <w:separator/>
      </w:r>
    </w:p>
  </w:endnote>
  <w:endnote w:type="continuationSeparator" w:id="0">
    <w:p w14:paraId="4CA842CE" w14:textId="77777777" w:rsidR="00B53668" w:rsidRDefault="00B53668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44A05" w14:textId="77777777" w:rsidR="00B53668" w:rsidRDefault="00B53668" w:rsidP="004F5E36">
      <w:r>
        <w:separator/>
      </w:r>
    </w:p>
  </w:footnote>
  <w:footnote w:type="continuationSeparator" w:id="0">
    <w:p w14:paraId="469A3395" w14:textId="77777777" w:rsidR="00B53668" w:rsidRDefault="00B53668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0C18F" w14:textId="77777777" w:rsidR="004D1162" w:rsidRDefault="00594E9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7C2706D" wp14:editId="295FE894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03AC83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it-IT" w:eastAsia="it-IT"/>
      </w:rPr>
      <w:drawing>
        <wp:anchor distT="0" distB="0" distL="114300" distR="114300" simplePos="0" relativeHeight="251662336" behindDoc="0" locked="0" layoutInCell="1" allowOverlap="1" wp14:anchorId="5F6A4D94" wp14:editId="0C2F227A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50DA8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074A5187" wp14:editId="49266C27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4209CBC9" w14:textId="77777777" w:rsidR="00704BDF" w:rsidRDefault="00704BDF">
    <w:pPr>
      <w:pStyle w:val="Intestazione"/>
    </w:pPr>
  </w:p>
  <w:p w14:paraId="0CDBAB20" w14:textId="77777777" w:rsidR="00704BDF" w:rsidRDefault="00704BD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0FF247" wp14:editId="18CE6D08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A2A331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2203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89F22E6"/>
    <w:multiLevelType w:val="hybridMultilevel"/>
    <w:tmpl w:val="1068B0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3"/>
  </w:num>
  <w:num w:numId="14">
    <w:abstractNumId w:val="15"/>
  </w:num>
  <w:num w:numId="15">
    <w:abstractNumId w:val="16"/>
  </w:num>
  <w:num w:numId="16">
    <w:abstractNumId w:val="17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02B32"/>
    <w:rsid w:val="00002DDF"/>
    <w:rsid w:val="000117CB"/>
    <w:rsid w:val="00020C4B"/>
    <w:rsid w:val="00026E4E"/>
    <w:rsid w:val="0003148D"/>
    <w:rsid w:val="00050BED"/>
    <w:rsid w:val="00062A9A"/>
    <w:rsid w:val="00063727"/>
    <w:rsid w:val="00063D55"/>
    <w:rsid w:val="00073F13"/>
    <w:rsid w:val="00084744"/>
    <w:rsid w:val="00092CC4"/>
    <w:rsid w:val="00097D3D"/>
    <w:rsid w:val="000A03B2"/>
    <w:rsid w:val="000C198A"/>
    <w:rsid w:val="000D34BE"/>
    <w:rsid w:val="000E0E49"/>
    <w:rsid w:val="000E36F1"/>
    <w:rsid w:val="000E3A73"/>
    <w:rsid w:val="000E414A"/>
    <w:rsid w:val="000E6EF6"/>
    <w:rsid w:val="000F05A6"/>
    <w:rsid w:val="00115941"/>
    <w:rsid w:val="00117BC5"/>
    <w:rsid w:val="00120189"/>
    <w:rsid w:val="0013121F"/>
    <w:rsid w:val="00134DE4"/>
    <w:rsid w:val="00150E59"/>
    <w:rsid w:val="00155E88"/>
    <w:rsid w:val="001712F1"/>
    <w:rsid w:val="0017202F"/>
    <w:rsid w:val="00184AD6"/>
    <w:rsid w:val="001940DA"/>
    <w:rsid w:val="001A008C"/>
    <w:rsid w:val="001B524F"/>
    <w:rsid w:val="001B65C1"/>
    <w:rsid w:val="001C684B"/>
    <w:rsid w:val="001C7171"/>
    <w:rsid w:val="001D0B63"/>
    <w:rsid w:val="001D53FC"/>
    <w:rsid w:val="001D6D0B"/>
    <w:rsid w:val="001F2EC7"/>
    <w:rsid w:val="001F3D1D"/>
    <w:rsid w:val="001F4A39"/>
    <w:rsid w:val="002065DB"/>
    <w:rsid w:val="00213D4F"/>
    <w:rsid w:val="002367EC"/>
    <w:rsid w:val="002378EA"/>
    <w:rsid w:val="002447EF"/>
    <w:rsid w:val="002461F7"/>
    <w:rsid w:val="00247D61"/>
    <w:rsid w:val="00251550"/>
    <w:rsid w:val="0027221A"/>
    <w:rsid w:val="00272993"/>
    <w:rsid w:val="00275B61"/>
    <w:rsid w:val="00287D84"/>
    <w:rsid w:val="002A773E"/>
    <w:rsid w:val="002B3A56"/>
    <w:rsid w:val="002D1F12"/>
    <w:rsid w:val="002D5C5B"/>
    <w:rsid w:val="002D7B7F"/>
    <w:rsid w:val="003009B7"/>
    <w:rsid w:val="00301DD1"/>
    <w:rsid w:val="0030469C"/>
    <w:rsid w:val="003047CE"/>
    <w:rsid w:val="0030589B"/>
    <w:rsid w:val="003074A9"/>
    <w:rsid w:val="003151D8"/>
    <w:rsid w:val="00315AEF"/>
    <w:rsid w:val="0032561D"/>
    <w:rsid w:val="0034127D"/>
    <w:rsid w:val="003653E3"/>
    <w:rsid w:val="00366DC9"/>
    <w:rsid w:val="003723D4"/>
    <w:rsid w:val="00383715"/>
    <w:rsid w:val="00385DE5"/>
    <w:rsid w:val="003A1292"/>
    <w:rsid w:val="003A511F"/>
    <w:rsid w:val="003A6A79"/>
    <w:rsid w:val="003A7D1C"/>
    <w:rsid w:val="003B1AEC"/>
    <w:rsid w:val="003C2C8B"/>
    <w:rsid w:val="003D70B4"/>
    <w:rsid w:val="003E1BE2"/>
    <w:rsid w:val="003F0BCD"/>
    <w:rsid w:val="004013F5"/>
    <w:rsid w:val="004055B8"/>
    <w:rsid w:val="00407788"/>
    <w:rsid w:val="00431C07"/>
    <w:rsid w:val="00436CB5"/>
    <w:rsid w:val="0044084B"/>
    <w:rsid w:val="0044175E"/>
    <w:rsid w:val="0046164A"/>
    <w:rsid w:val="004621ED"/>
    <w:rsid w:val="00462249"/>
    <w:rsid w:val="00462DCD"/>
    <w:rsid w:val="004701BC"/>
    <w:rsid w:val="004732C7"/>
    <w:rsid w:val="00481497"/>
    <w:rsid w:val="004815F6"/>
    <w:rsid w:val="004B244E"/>
    <w:rsid w:val="004D1162"/>
    <w:rsid w:val="004D1630"/>
    <w:rsid w:val="004E1261"/>
    <w:rsid w:val="004E3902"/>
    <w:rsid w:val="004E4DD6"/>
    <w:rsid w:val="004F4447"/>
    <w:rsid w:val="004F5E36"/>
    <w:rsid w:val="00501714"/>
    <w:rsid w:val="00502797"/>
    <w:rsid w:val="005119A5"/>
    <w:rsid w:val="00527787"/>
    <w:rsid w:val="005278B7"/>
    <w:rsid w:val="00533FCB"/>
    <w:rsid w:val="005346C8"/>
    <w:rsid w:val="00542F0B"/>
    <w:rsid w:val="00550E2C"/>
    <w:rsid w:val="005630F5"/>
    <w:rsid w:val="005728C4"/>
    <w:rsid w:val="005738F0"/>
    <w:rsid w:val="00574001"/>
    <w:rsid w:val="0058564F"/>
    <w:rsid w:val="0059179C"/>
    <w:rsid w:val="00594E9F"/>
    <w:rsid w:val="005A2319"/>
    <w:rsid w:val="005B0C83"/>
    <w:rsid w:val="005B61E6"/>
    <w:rsid w:val="005B7BD7"/>
    <w:rsid w:val="005C77E1"/>
    <w:rsid w:val="005D04CB"/>
    <w:rsid w:val="005D0D7E"/>
    <w:rsid w:val="005D6A2F"/>
    <w:rsid w:val="005E1A82"/>
    <w:rsid w:val="005F0A28"/>
    <w:rsid w:val="005F0E5E"/>
    <w:rsid w:val="00620DEE"/>
    <w:rsid w:val="00625639"/>
    <w:rsid w:val="00632078"/>
    <w:rsid w:val="00640EB7"/>
    <w:rsid w:val="0064184D"/>
    <w:rsid w:val="0065114D"/>
    <w:rsid w:val="00660E3E"/>
    <w:rsid w:val="00662E74"/>
    <w:rsid w:val="006642A2"/>
    <w:rsid w:val="00672C8F"/>
    <w:rsid w:val="0067796E"/>
    <w:rsid w:val="006968A2"/>
    <w:rsid w:val="006A206C"/>
    <w:rsid w:val="006A58D2"/>
    <w:rsid w:val="006B44B5"/>
    <w:rsid w:val="006C060E"/>
    <w:rsid w:val="006C5579"/>
    <w:rsid w:val="006C7E40"/>
    <w:rsid w:val="006E11FF"/>
    <w:rsid w:val="006E654C"/>
    <w:rsid w:val="006F05EC"/>
    <w:rsid w:val="00700200"/>
    <w:rsid w:val="00701850"/>
    <w:rsid w:val="00703453"/>
    <w:rsid w:val="00704BDF"/>
    <w:rsid w:val="00722826"/>
    <w:rsid w:val="00731A28"/>
    <w:rsid w:val="00736B13"/>
    <w:rsid w:val="007447F3"/>
    <w:rsid w:val="00751843"/>
    <w:rsid w:val="007661C8"/>
    <w:rsid w:val="00792D76"/>
    <w:rsid w:val="007A504C"/>
    <w:rsid w:val="007A537D"/>
    <w:rsid w:val="007B1778"/>
    <w:rsid w:val="007B25C9"/>
    <w:rsid w:val="007B7CD9"/>
    <w:rsid w:val="007D033F"/>
    <w:rsid w:val="007D52CD"/>
    <w:rsid w:val="007E0127"/>
    <w:rsid w:val="007F3B25"/>
    <w:rsid w:val="00802A39"/>
    <w:rsid w:val="00803AC9"/>
    <w:rsid w:val="0080552D"/>
    <w:rsid w:val="00813288"/>
    <w:rsid w:val="008168FC"/>
    <w:rsid w:val="00817BB1"/>
    <w:rsid w:val="00820C68"/>
    <w:rsid w:val="00822BD2"/>
    <w:rsid w:val="00846A96"/>
    <w:rsid w:val="008477C4"/>
    <w:rsid w:val="008479A2"/>
    <w:rsid w:val="00850D67"/>
    <w:rsid w:val="008512D0"/>
    <w:rsid w:val="008608B9"/>
    <w:rsid w:val="008617FE"/>
    <w:rsid w:val="00861803"/>
    <w:rsid w:val="008621B2"/>
    <w:rsid w:val="008623F5"/>
    <w:rsid w:val="00864907"/>
    <w:rsid w:val="008738DF"/>
    <w:rsid w:val="0087637F"/>
    <w:rsid w:val="0088435F"/>
    <w:rsid w:val="00892BC8"/>
    <w:rsid w:val="00896FAA"/>
    <w:rsid w:val="008A09A0"/>
    <w:rsid w:val="008A0B69"/>
    <w:rsid w:val="008A1512"/>
    <w:rsid w:val="008A7504"/>
    <w:rsid w:val="008B601B"/>
    <w:rsid w:val="008D0BEB"/>
    <w:rsid w:val="008D2DE5"/>
    <w:rsid w:val="008E014B"/>
    <w:rsid w:val="008E3F5A"/>
    <w:rsid w:val="008E566E"/>
    <w:rsid w:val="008E5B77"/>
    <w:rsid w:val="00901EB6"/>
    <w:rsid w:val="00920CA7"/>
    <w:rsid w:val="0093424E"/>
    <w:rsid w:val="00935B23"/>
    <w:rsid w:val="009450CE"/>
    <w:rsid w:val="0094634E"/>
    <w:rsid w:val="0095164B"/>
    <w:rsid w:val="00956572"/>
    <w:rsid w:val="0096544D"/>
    <w:rsid w:val="009669D7"/>
    <w:rsid w:val="00984273"/>
    <w:rsid w:val="00984446"/>
    <w:rsid w:val="009875F5"/>
    <w:rsid w:val="00996483"/>
    <w:rsid w:val="009B5CC5"/>
    <w:rsid w:val="009B74D3"/>
    <w:rsid w:val="009D2B14"/>
    <w:rsid w:val="009E788A"/>
    <w:rsid w:val="00A0224D"/>
    <w:rsid w:val="00A03A94"/>
    <w:rsid w:val="00A04773"/>
    <w:rsid w:val="00A13807"/>
    <w:rsid w:val="00A1763D"/>
    <w:rsid w:val="00A17CEC"/>
    <w:rsid w:val="00A23AAB"/>
    <w:rsid w:val="00A27EF0"/>
    <w:rsid w:val="00A42FEB"/>
    <w:rsid w:val="00A45E1D"/>
    <w:rsid w:val="00A47886"/>
    <w:rsid w:val="00A47F3E"/>
    <w:rsid w:val="00A55237"/>
    <w:rsid w:val="00A64424"/>
    <w:rsid w:val="00A76982"/>
    <w:rsid w:val="00A76EFC"/>
    <w:rsid w:val="00A8516B"/>
    <w:rsid w:val="00A9626B"/>
    <w:rsid w:val="00A97F29"/>
    <w:rsid w:val="00AB0964"/>
    <w:rsid w:val="00AC24E9"/>
    <w:rsid w:val="00AC3615"/>
    <w:rsid w:val="00AC41EA"/>
    <w:rsid w:val="00AD5E87"/>
    <w:rsid w:val="00AE377D"/>
    <w:rsid w:val="00AF03C7"/>
    <w:rsid w:val="00B14817"/>
    <w:rsid w:val="00B27E97"/>
    <w:rsid w:val="00B53668"/>
    <w:rsid w:val="00B61DBF"/>
    <w:rsid w:val="00B676F8"/>
    <w:rsid w:val="00B70805"/>
    <w:rsid w:val="00BA361B"/>
    <w:rsid w:val="00BA3665"/>
    <w:rsid w:val="00BA3B82"/>
    <w:rsid w:val="00BC30C9"/>
    <w:rsid w:val="00BC6E35"/>
    <w:rsid w:val="00BE07B2"/>
    <w:rsid w:val="00BE0DC2"/>
    <w:rsid w:val="00BE3640"/>
    <w:rsid w:val="00BE3E58"/>
    <w:rsid w:val="00BF11C3"/>
    <w:rsid w:val="00BF38AD"/>
    <w:rsid w:val="00C01616"/>
    <w:rsid w:val="00C0162B"/>
    <w:rsid w:val="00C0298F"/>
    <w:rsid w:val="00C05E01"/>
    <w:rsid w:val="00C14D9B"/>
    <w:rsid w:val="00C16C2B"/>
    <w:rsid w:val="00C345B1"/>
    <w:rsid w:val="00C40142"/>
    <w:rsid w:val="00C4109D"/>
    <w:rsid w:val="00C42704"/>
    <w:rsid w:val="00C50CE2"/>
    <w:rsid w:val="00C533D0"/>
    <w:rsid w:val="00C537E2"/>
    <w:rsid w:val="00C53826"/>
    <w:rsid w:val="00C57182"/>
    <w:rsid w:val="00C6202C"/>
    <w:rsid w:val="00C655FD"/>
    <w:rsid w:val="00C701C2"/>
    <w:rsid w:val="00C70474"/>
    <w:rsid w:val="00C70758"/>
    <w:rsid w:val="00C71E92"/>
    <w:rsid w:val="00C7767B"/>
    <w:rsid w:val="00C845E3"/>
    <w:rsid w:val="00C867B1"/>
    <w:rsid w:val="00C94434"/>
    <w:rsid w:val="00CA1C95"/>
    <w:rsid w:val="00CA3A0F"/>
    <w:rsid w:val="00CA5A9C"/>
    <w:rsid w:val="00CD5FE2"/>
    <w:rsid w:val="00CF071E"/>
    <w:rsid w:val="00D02B4C"/>
    <w:rsid w:val="00D0526A"/>
    <w:rsid w:val="00D22163"/>
    <w:rsid w:val="00D2516A"/>
    <w:rsid w:val="00D3289A"/>
    <w:rsid w:val="00D43FEF"/>
    <w:rsid w:val="00D45B50"/>
    <w:rsid w:val="00D474A6"/>
    <w:rsid w:val="00D67C25"/>
    <w:rsid w:val="00D80137"/>
    <w:rsid w:val="00D805EF"/>
    <w:rsid w:val="00D84576"/>
    <w:rsid w:val="00DA3FDF"/>
    <w:rsid w:val="00DB1254"/>
    <w:rsid w:val="00DB4DF5"/>
    <w:rsid w:val="00DB650A"/>
    <w:rsid w:val="00DD0C6D"/>
    <w:rsid w:val="00DD1685"/>
    <w:rsid w:val="00DE0019"/>
    <w:rsid w:val="00DE003C"/>
    <w:rsid w:val="00DE02ED"/>
    <w:rsid w:val="00DE0530"/>
    <w:rsid w:val="00DE264A"/>
    <w:rsid w:val="00DF1091"/>
    <w:rsid w:val="00E0108C"/>
    <w:rsid w:val="00E02F0D"/>
    <w:rsid w:val="00E041E7"/>
    <w:rsid w:val="00E2162F"/>
    <w:rsid w:val="00E23CA1"/>
    <w:rsid w:val="00E409A8"/>
    <w:rsid w:val="00E617B5"/>
    <w:rsid w:val="00E71FF9"/>
    <w:rsid w:val="00E7209D"/>
    <w:rsid w:val="00E7775D"/>
    <w:rsid w:val="00E80F81"/>
    <w:rsid w:val="00E851DE"/>
    <w:rsid w:val="00E92A5D"/>
    <w:rsid w:val="00E941E7"/>
    <w:rsid w:val="00EA50E1"/>
    <w:rsid w:val="00EC43B4"/>
    <w:rsid w:val="00EE0131"/>
    <w:rsid w:val="00EF5C00"/>
    <w:rsid w:val="00EF7F46"/>
    <w:rsid w:val="00F00DA7"/>
    <w:rsid w:val="00F02436"/>
    <w:rsid w:val="00F0393F"/>
    <w:rsid w:val="00F1058A"/>
    <w:rsid w:val="00F10FEC"/>
    <w:rsid w:val="00F17F56"/>
    <w:rsid w:val="00F30C64"/>
    <w:rsid w:val="00F33954"/>
    <w:rsid w:val="00F34FE9"/>
    <w:rsid w:val="00F378EC"/>
    <w:rsid w:val="00F60C79"/>
    <w:rsid w:val="00F661A2"/>
    <w:rsid w:val="00F73565"/>
    <w:rsid w:val="00F845B1"/>
    <w:rsid w:val="00FB175C"/>
    <w:rsid w:val="00FB730C"/>
    <w:rsid w:val="00FC2695"/>
    <w:rsid w:val="00FC3E03"/>
    <w:rsid w:val="00FD0651"/>
    <w:rsid w:val="00FD4D35"/>
    <w:rsid w:val="00FD784B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05AA86"/>
  <w15:docId w15:val="{849D5A6C-08E2-46DB-A63E-258999E1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semiHidden="1" w:unhideWhenUsed="1"/>
    <w:lsdException w:name="Table Grid" w:locked="1" w:uiPriority="3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3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Paragrafoelenco">
    <w:name w:val="List Paragraph"/>
    <w:basedOn w:val="Normale"/>
    <w:uiPriority w:val="34"/>
    <w:qFormat/>
    <w:locked/>
    <w:rsid w:val="00C533D0"/>
    <w:pPr>
      <w:ind w:left="720"/>
      <w:contextualSpacing/>
    </w:pPr>
  </w:style>
  <w:style w:type="character" w:customStyle="1" w:styleId="st">
    <w:name w:val="st"/>
    <w:basedOn w:val="Carpredefinitoparagrafo"/>
    <w:rsid w:val="003C2C8B"/>
  </w:style>
  <w:style w:type="character" w:styleId="Enfasicorsivo">
    <w:name w:val="Emphasis"/>
    <w:basedOn w:val="Carpredefinitoparagrafo"/>
    <w:uiPriority w:val="20"/>
    <w:qFormat/>
    <w:locked/>
    <w:rsid w:val="003C2C8B"/>
    <w:rPr>
      <w:i/>
      <w:iCs/>
    </w:rPr>
  </w:style>
  <w:style w:type="character" w:customStyle="1" w:styleId="tlid-translation">
    <w:name w:val="tlid-translation"/>
    <w:basedOn w:val="Carpredefinitoparagrafo"/>
    <w:rsid w:val="005A2319"/>
  </w:style>
  <w:style w:type="paragraph" w:customStyle="1" w:styleId="Default">
    <w:name w:val="Default"/>
    <w:rsid w:val="002367E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Rimandonotaapidipagina">
    <w:name w:val="footnote reference"/>
    <w:basedOn w:val="Carpredefinitoparagrafo"/>
    <w:uiPriority w:val="99"/>
    <w:semiHidden/>
    <w:unhideWhenUsed/>
    <w:locked/>
    <w:rsid w:val="009B74D3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locked/>
    <w:rsid w:val="00E941E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4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0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3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8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02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1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9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7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5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8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2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3E8C4-03C3-E449-89B9-B1D7D32AE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CMIC - Politecnico di Milano</Company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raffaella</dc:creator>
  <cp:lastModifiedBy>Microsoft Office User</cp:lastModifiedBy>
  <cp:revision>15</cp:revision>
  <cp:lastPrinted>2015-05-12T18:31:00Z</cp:lastPrinted>
  <dcterms:created xsi:type="dcterms:W3CDTF">2019-02-27T12:03:00Z</dcterms:created>
  <dcterms:modified xsi:type="dcterms:W3CDTF">2019-02-28T20:34:00Z</dcterms:modified>
</cp:coreProperties>
</file>