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DE4F3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4452647" w14:textId="77777777" w:rsidR="00704BDF" w:rsidRPr="007B1030" w:rsidRDefault="007B1030" w:rsidP="007B1030">
      <w:pPr>
        <w:tabs>
          <w:tab w:val="clear" w:pos="71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HAnsi" w:eastAsiaTheme="minorHAnsi" w:hAnsiTheme="minorHAnsi" w:cs="Courier"/>
          <w:b/>
          <w:color w:val="212121"/>
          <w:sz w:val="28"/>
          <w:szCs w:val="28"/>
          <w:lang w:val="en-US"/>
        </w:rPr>
      </w:pPr>
      <w:r w:rsidRPr="007B1030">
        <w:rPr>
          <w:rFonts w:asciiTheme="minorHAnsi" w:eastAsiaTheme="minorHAnsi" w:hAnsiTheme="minorHAnsi" w:cs="Courier"/>
          <w:b/>
          <w:color w:val="212121"/>
          <w:sz w:val="28"/>
          <w:szCs w:val="28"/>
          <w:lang w:val="en"/>
        </w:rPr>
        <w:lastRenderedPageBreak/>
        <w:t>U</w:t>
      </w:r>
      <w:r>
        <w:rPr>
          <w:rFonts w:asciiTheme="minorHAnsi" w:eastAsiaTheme="minorHAnsi" w:hAnsiTheme="minorHAnsi" w:cs="Courier"/>
          <w:b/>
          <w:color w:val="212121"/>
          <w:sz w:val="28"/>
          <w:szCs w:val="28"/>
          <w:lang w:val="en"/>
        </w:rPr>
        <w:t xml:space="preserve">se of a filamentous fungus for </w:t>
      </w:r>
      <w:r w:rsidRPr="007B1030">
        <w:rPr>
          <w:rFonts w:asciiTheme="minorHAnsi" w:eastAsiaTheme="minorHAnsi" w:hAnsiTheme="minorHAnsi" w:cs="Courier"/>
          <w:b/>
          <w:color w:val="212121"/>
          <w:sz w:val="28"/>
          <w:szCs w:val="28"/>
          <w:lang w:val="en"/>
        </w:rPr>
        <w:t>phosphorus solubilization in iron ore tailings</w:t>
      </w:r>
      <w:r w:rsidR="00704BDF" w:rsidRPr="007B103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. </w:t>
      </w:r>
    </w:p>
    <w:p w14:paraId="636A5F60" w14:textId="095AAC6E" w:rsidR="004F2F97" w:rsidRPr="004F2F97" w:rsidRDefault="004F2F97" w:rsidP="004F2F97">
      <w:pPr>
        <w:snapToGrid w:val="0"/>
        <w:spacing w:after="120" w:line="240" w:lineRule="auto"/>
        <w:rPr>
          <w:rFonts w:eastAsia="SimSun"/>
          <w:lang w:val="en-US" w:eastAsia="zh-CN"/>
        </w:rPr>
      </w:pPr>
      <w:r w:rsidRPr="004F2F97">
        <w:rPr>
          <w:rFonts w:asciiTheme="minorHAnsi" w:hAnsiTheme="minorHAnsi"/>
          <w:b/>
          <w:sz w:val="24"/>
          <w:szCs w:val="24"/>
        </w:rPr>
        <w:t>José Daniel Gonçalves Vieira*</w:t>
      </w:r>
      <w:r w:rsidRPr="004F2F97">
        <w:rPr>
          <w:rFonts w:asciiTheme="minorHAnsi" w:hAnsiTheme="minorHAnsi"/>
          <w:b/>
          <w:sz w:val="24"/>
          <w:szCs w:val="24"/>
          <w:vertAlign w:val="superscript"/>
        </w:rPr>
        <w:t>1</w:t>
      </w:r>
      <w:r w:rsidRPr="004F2F97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Pr="004F2F97">
        <w:rPr>
          <w:rFonts w:asciiTheme="minorHAnsi" w:hAnsiTheme="minorHAnsi"/>
          <w:b/>
          <w:sz w:val="24"/>
          <w:szCs w:val="24"/>
        </w:rPr>
        <w:t>Glalber</w:t>
      </w:r>
      <w:proofErr w:type="spellEnd"/>
      <w:r w:rsidRPr="004F2F9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4F2F97">
        <w:rPr>
          <w:rFonts w:asciiTheme="minorHAnsi" w:hAnsiTheme="minorHAnsi"/>
          <w:b/>
          <w:sz w:val="24"/>
          <w:szCs w:val="24"/>
        </w:rPr>
        <w:t>Luiz</w:t>
      </w:r>
      <w:proofErr w:type="spellEnd"/>
      <w:r w:rsidRPr="004F2F97">
        <w:rPr>
          <w:rFonts w:asciiTheme="minorHAnsi" w:hAnsiTheme="minorHAnsi"/>
          <w:b/>
          <w:sz w:val="24"/>
          <w:szCs w:val="24"/>
        </w:rPr>
        <w:t xml:space="preserve"> da Rocha Ferreira</w:t>
      </w:r>
      <w:r w:rsidRPr="004F2F97">
        <w:rPr>
          <w:rFonts w:asciiTheme="minorHAnsi" w:hAnsiTheme="minorHAnsi"/>
          <w:b/>
          <w:sz w:val="24"/>
          <w:szCs w:val="24"/>
          <w:vertAlign w:val="superscript"/>
        </w:rPr>
        <w:t>1</w:t>
      </w:r>
      <w:r w:rsidRPr="004F2F97">
        <w:rPr>
          <w:rFonts w:asciiTheme="minorHAnsi" w:hAnsiTheme="minorHAnsi"/>
          <w:b/>
          <w:sz w:val="24"/>
          <w:szCs w:val="24"/>
        </w:rPr>
        <w:t>, Geraldo Sadoyama</w:t>
      </w:r>
      <w:r w:rsidRPr="004F2F97">
        <w:rPr>
          <w:rFonts w:asciiTheme="minorHAnsi" w:hAnsiTheme="minorHAnsi"/>
          <w:b/>
          <w:sz w:val="24"/>
          <w:szCs w:val="24"/>
          <w:vertAlign w:val="superscript"/>
        </w:rPr>
        <w:t>2</w:t>
      </w:r>
      <w:r w:rsidRPr="004F2F97">
        <w:rPr>
          <w:rFonts w:asciiTheme="minorHAnsi" w:hAnsiTheme="minorHAnsi"/>
          <w:b/>
          <w:sz w:val="24"/>
          <w:szCs w:val="24"/>
        </w:rPr>
        <w:t xml:space="preserve">, Nelson Roberto </w:t>
      </w:r>
      <w:proofErr w:type="spellStart"/>
      <w:r w:rsidRPr="004F2F97">
        <w:rPr>
          <w:rFonts w:asciiTheme="minorHAnsi" w:hAnsiTheme="minorHAnsi"/>
          <w:b/>
          <w:sz w:val="24"/>
          <w:szCs w:val="24"/>
        </w:rPr>
        <w:t>Antoniosi</w:t>
      </w:r>
      <w:proofErr w:type="spellEnd"/>
      <w:r w:rsidRPr="004F2F9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4F2F97">
        <w:rPr>
          <w:rFonts w:asciiTheme="minorHAnsi" w:hAnsiTheme="minorHAnsi"/>
          <w:b/>
          <w:sz w:val="24"/>
          <w:szCs w:val="24"/>
        </w:rPr>
        <w:t>Filho</w:t>
      </w:r>
      <w:proofErr w:type="spellEnd"/>
      <w:r w:rsidRPr="004F2F97">
        <w:rPr>
          <w:rFonts w:asciiTheme="minorHAnsi" w:hAnsiTheme="minorHAnsi"/>
          <w:b/>
          <w:sz w:val="24"/>
          <w:szCs w:val="24"/>
          <w:vertAlign w:val="superscript"/>
        </w:rPr>
        <w:t xml:space="preserve"> 3</w:t>
      </w:r>
    </w:p>
    <w:p w14:paraId="02D9BE98" w14:textId="77777777" w:rsidR="004F2F97" w:rsidRPr="004F2F97" w:rsidRDefault="004F2F97" w:rsidP="004F2F97">
      <w:pPr>
        <w:snapToGrid w:val="0"/>
        <w:spacing w:after="120" w:line="240" w:lineRule="auto"/>
        <w:rPr>
          <w:rFonts w:eastAsia="SimSun"/>
          <w:lang w:val="en-US" w:eastAsia="zh-CN"/>
        </w:rPr>
      </w:pPr>
      <w:r w:rsidRPr="004F2F97">
        <w:rPr>
          <w:rFonts w:asciiTheme="minorHAnsi" w:hAnsiTheme="minorHAnsi"/>
          <w:b/>
          <w:i/>
          <w:sz w:val="20"/>
          <w:vertAlign w:val="superscript"/>
        </w:rPr>
        <w:t>1</w:t>
      </w:r>
      <w:r w:rsidRPr="004F2F97">
        <w:rPr>
          <w:rFonts w:asciiTheme="minorHAnsi" w:hAnsiTheme="minorHAnsi"/>
          <w:i/>
          <w:iCs/>
          <w:sz w:val="20"/>
        </w:rPr>
        <w:t xml:space="preserve"> Environmental and Biotechnology Laboratory. </w:t>
      </w:r>
      <w:proofErr w:type="spellStart"/>
      <w:r w:rsidRPr="004F2F97">
        <w:rPr>
          <w:rFonts w:asciiTheme="minorHAnsi" w:hAnsiTheme="minorHAnsi"/>
          <w:i/>
          <w:iCs/>
          <w:sz w:val="20"/>
        </w:rPr>
        <w:t>Instituto</w:t>
      </w:r>
      <w:proofErr w:type="spellEnd"/>
      <w:r w:rsidRPr="004F2F97">
        <w:rPr>
          <w:rFonts w:asciiTheme="minorHAnsi" w:hAnsiTheme="minorHAnsi"/>
          <w:i/>
          <w:iCs/>
          <w:sz w:val="20"/>
        </w:rPr>
        <w:t xml:space="preserve"> de </w:t>
      </w:r>
      <w:proofErr w:type="spellStart"/>
      <w:r w:rsidRPr="004F2F97">
        <w:rPr>
          <w:rFonts w:asciiTheme="minorHAnsi" w:hAnsiTheme="minorHAnsi"/>
          <w:i/>
          <w:iCs/>
          <w:sz w:val="20"/>
        </w:rPr>
        <w:t>Patologia</w:t>
      </w:r>
      <w:proofErr w:type="spellEnd"/>
      <w:r w:rsidRPr="004F2F97">
        <w:rPr>
          <w:rFonts w:asciiTheme="minorHAnsi" w:hAnsiTheme="minorHAnsi"/>
          <w:i/>
          <w:iCs/>
          <w:sz w:val="20"/>
        </w:rPr>
        <w:t xml:space="preserve"> Tropical e </w:t>
      </w:r>
      <w:proofErr w:type="spellStart"/>
      <w:r w:rsidRPr="004F2F97">
        <w:rPr>
          <w:rFonts w:asciiTheme="minorHAnsi" w:hAnsiTheme="minorHAnsi"/>
          <w:i/>
          <w:iCs/>
          <w:sz w:val="20"/>
        </w:rPr>
        <w:t>Saúde</w:t>
      </w:r>
      <w:proofErr w:type="spellEnd"/>
      <w:r w:rsidRPr="004F2F97">
        <w:rPr>
          <w:rFonts w:asciiTheme="minorHAnsi" w:hAnsiTheme="minorHAnsi"/>
          <w:i/>
          <w:iCs/>
          <w:sz w:val="20"/>
        </w:rPr>
        <w:t xml:space="preserve"> </w:t>
      </w:r>
      <w:proofErr w:type="spellStart"/>
      <w:r w:rsidRPr="004F2F97">
        <w:rPr>
          <w:rFonts w:asciiTheme="minorHAnsi" w:hAnsiTheme="minorHAnsi"/>
          <w:i/>
          <w:iCs/>
          <w:sz w:val="20"/>
        </w:rPr>
        <w:t>Pública</w:t>
      </w:r>
      <w:proofErr w:type="spellEnd"/>
      <w:r w:rsidRPr="004F2F97">
        <w:rPr>
          <w:rFonts w:asciiTheme="minorHAnsi" w:hAnsiTheme="minorHAnsi"/>
          <w:i/>
          <w:iCs/>
          <w:sz w:val="20"/>
        </w:rPr>
        <w:t xml:space="preserve">. </w:t>
      </w:r>
      <w:proofErr w:type="spellStart"/>
      <w:r w:rsidRPr="004F2F97">
        <w:rPr>
          <w:rFonts w:asciiTheme="minorHAnsi" w:hAnsiTheme="minorHAnsi"/>
          <w:i/>
          <w:iCs/>
          <w:sz w:val="20"/>
        </w:rPr>
        <w:t>Universidade</w:t>
      </w:r>
      <w:proofErr w:type="spellEnd"/>
      <w:r w:rsidRPr="004F2F97">
        <w:rPr>
          <w:rFonts w:asciiTheme="minorHAnsi" w:hAnsiTheme="minorHAnsi"/>
          <w:i/>
          <w:iCs/>
          <w:sz w:val="20"/>
        </w:rPr>
        <w:t xml:space="preserve"> Federal de </w:t>
      </w:r>
      <w:proofErr w:type="spellStart"/>
      <w:r w:rsidRPr="004F2F97">
        <w:rPr>
          <w:rFonts w:asciiTheme="minorHAnsi" w:hAnsiTheme="minorHAnsi"/>
          <w:i/>
          <w:iCs/>
          <w:sz w:val="20"/>
        </w:rPr>
        <w:t>Goiás</w:t>
      </w:r>
      <w:proofErr w:type="spellEnd"/>
      <w:r w:rsidRPr="004F2F97">
        <w:rPr>
          <w:rFonts w:asciiTheme="minorHAnsi" w:hAnsiTheme="minorHAnsi"/>
          <w:i/>
          <w:iCs/>
          <w:sz w:val="20"/>
        </w:rPr>
        <w:t xml:space="preserve">. 74605-050, </w:t>
      </w:r>
      <w:proofErr w:type="spellStart"/>
      <w:r w:rsidRPr="004F2F97">
        <w:rPr>
          <w:rFonts w:asciiTheme="minorHAnsi" w:hAnsiTheme="minorHAnsi"/>
          <w:i/>
          <w:iCs/>
          <w:sz w:val="20"/>
        </w:rPr>
        <w:t>Goiânia</w:t>
      </w:r>
      <w:proofErr w:type="spellEnd"/>
      <w:r w:rsidRPr="004F2F97">
        <w:rPr>
          <w:rFonts w:asciiTheme="minorHAnsi" w:hAnsiTheme="minorHAnsi"/>
          <w:i/>
          <w:iCs/>
          <w:sz w:val="20"/>
        </w:rPr>
        <w:t>, GO, Brazil</w:t>
      </w:r>
    </w:p>
    <w:p w14:paraId="76718317" w14:textId="77777777" w:rsidR="004F2F97" w:rsidRPr="004F2F97" w:rsidRDefault="004F2F97" w:rsidP="004F2F97">
      <w:pPr>
        <w:snapToGrid w:val="0"/>
        <w:spacing w:after="120" w:line="240" w:lineRule="auto"/>
        <w:rPr>
          <w:rFonts w:eastAsia="SimSun"/>
          <w:lang w:val="en-US" w:eastAsia="zh-CN"/>
        </w:rPr>
      </w:pPr>
      <w:r w:rsidRPr="004F2F97">
        <w:rPr>
          <w:rFonts w:asciiTheme="minorHAnsi" w:hAnsiTheme="minorHAnsi"/>
          <w:b/>
          <w:i/>
          <w:sz w:val="20"/>
          <w:vertAlign w:val="superscript"/>
        </w:rPr>
        <w:t>2</w:t>
      </w:r>
      <w:r w:rsidRPr="004F2F97">
        <w:rPr>
          <w:rFonts w:asciiTheme="minorHAnsi" w:hAnsiTheme="minorHAnsi"/>
          <w:i/>
          <w:iCs/>
          <w:sz w:val="20"/>
        </w:rPr>
        <w:t xml:space="preserve">Departamento de </w:t>
      </w:r>
      <w:proofErr w:type="spellStart"/>
      <w:r w:rsidRPr="004F2F97">
        <w:rPr>
          <w:rFonts w:asciiTheme="minorHAnsi" w:hAnsiTheme="minorHAnsi"/>
          <w:i/>
          <w:iCs/>
          <w:sz w:val="20"/>
        </w:rPr>
        <w:t>Biologia</w:t>
      </w:r>
      <w:proofErr w:type="spellEnd"/>
      <w:r w:rsidRPr="004F2F97">
        <w:rPr>
          <w:rFonts w:asciiTheme="minorHAnsi" w:hAnsiTheme="minorHAnsi"/>
          <w:i/>
          <w:iCs/>
          <w:sz w:val="20"/>
        </w:rPr>
        <w:t xml:space="preserve">, </w:t>
      </w:r>
      <w:proofErr w:type="spellStart"/>
      <w:r w:rsidRPr="004F2F97">
        <w:rPr>
          <w:rFonts w:asciiTheme="minorHAnsi" w:hAnsiTheme="minorHAnsi"/>
          <w:i/>
          <w:iCs/>
          <w:sz w:val="20"/>
        </w:rPr>
        <w:t>Universidade</w:t>
      </w:r>
      <w:proofErr w:type="spellEnd"/>
      <w:r w:rsidRPr="004F2F97">
        <w:rPr>
          <w:rFonts w:asciiTheme="minorHAnsi" w:hAnsiTheme="minorHAnsi"/>
          <w:i/>
          <w:iCs/>
          <w:sz w:val="20"/>
        </w:rPr>
        <w:t xml:space="preserve"> Federal de </w:t>
      </w:r>
      <w:proofErr w:type="spellStart"/>
      <w:r w:rsidRPr="004F2F97">
        <w:rPr>
          <w:rFonts w:asciiTheme="minorHAnsi" w:hAnsiTheme="minorHAnsi"/>
          <w:i/>
          <w:iCs/>
          <w:sz w:val="20"/>
        </w:rPr>
        <w:t>Goiás</w:t>
      </w:r>
      <w:proofErr w:type="spellEnd"/>
      <w:r w:rsidRPr="004F2F97">
        <w:rPr>
          <w:rFonts w:asciiTheme="minorHAnsi" w:hAnsiTheme="minorHAnsi"/>
          <w:i/>
          <w:iCs/>
          <w:sz w:val="20"/>
        </w:rPr>
        <w:t xml:space="preserve">, Campus </w:t>
      </w:r>
      <w:proofErr w:type="spellStart"/>
      <w:r w:rsidRPr="004F2F97">
        <w:rPr>
          <w:rFonts w:asciiTheme="minorHAnsi" w:hAnsiTheme="minorHAnsi"/>
          <w:i/>
          <w:iCs/>
          <w:sz w:val="20"/>
        </w:rPr>
        <w:t>Catalão</w:t>
      </w:r>
      <w:proofErr w:type="spellEnd"/>
      <w:r w:rsidRPr="004F2F97">
        <w:rPr>
          <w:rFonts w:asciiTheme="minorHAnsi" w:hAnsiTheme="minorHAnsi"/>
          <w:i/>
          <w:iCs/>
          <w:sz w:val="20"/>
        </w:rPr>
        <w:t xml:space="preserve"> </w:t>
      </w:r>
    </w:p>
    <w:p w14:paraId="7BBEFA32" w14:textId="77777777" w:rsidR="004F2F97" w:rsidRPr="004F2F97" w:rsidRDefault="004F2F97" w:rsidP="004F2F97">
      <w:pPr>
        <w:spacing w:line="240" w:lineRule="auto"/>
        <w:rPr>
          <w:rFonts w:asciiTheme="minorHAnsi" w:hAnsiTheme="minorHAnsi"/>
          <w:i/>
          <w:sz w:val="20"/>
        </w:rPr>
      </w:pPr>
      <w:proofErr w:type="gramStart"/>
      <w:r w:rsidRPr="004F2F97">
        <w:rPr>
          <w:rFonts w:asciiTheme="minorHAnsi" w:hAnsiTheme="minorHAnsi"/>
          <w:b/>
          <w:i/>
          <w:sz w:val="20"/>
          <w:vertAlign w:val="superscript"/>
        </w:rPr>
        <w:t>3</w:t>
      </w:r>
      <w:r w:rsidRPr="004F2F97">
        <w:rPr>
          <w:rFonts w:asciiTheme="minorHAnsi" w:hAnsiTheme="minorHAnsi"/>
          <w:i/>
          <w:iCs/>
          <w:sz w:val="20"/>
        </w:rPr>
        <w:t xml:space="preserve">Laboratório de </w:t>
      </w:r>
      <w:proofErr w:type="spellStart"/>
      <w:r w:rsidRPr="004F2F97">
        <w:rPr>
          <w:rFonts w:asciiTheme="minorHAnsi" w:hAnsiTheme="minorHAnsi"/>
          <w:i/>
          <w:iCs/>
          <w:sz w:val="20"/>
        </w:rPr>
        <w:t>Métodos</w:t>
      </w:r>
      <w:proofErr w:type="spellEnd"/>
      <w:r w:rsidRPr="004F2F97">
        <w:rPr>
          <w:rFonts w:asciiTheme="minorHAnsi" w:hAnsiTheme="minorHAnsi"/>
          <w:i/>
          <w:iCs/>
          <w:sz w:val="20"/>
        </w:rPr>
        <w:t xml:space="preserve"> de </w:t>
      </w:r>
      <w:proofErr w:type="spellStart"/>
      <w:r w:rsidRPr="004F2F97">
        <w:rPr>
          <w:rFonts w:asciiTheme="minorHAnsi" w:hAnsiTheme="minorHAnsi"/>
          <w:i/>
          <w:iCs/>
          <w:sz w:val="20"/>
        </w:rPr>
        <w:t>Extração</w:t>
      </w:r>
      <w:proofErr w:type="spellEnd"/>
      <w:r w:rsidRPr="004F2F97">
        <w:rPr>
          <w:rFonts w:asciiTheme="minorHAnsi" w:hAnsiTheme="minorHAnsi"/>
          <w:i/>
          <w:iCs/>
          <w:sz w:val="20"/>
        </w:rPr>
        <w:t xml:space="preserve"> e </w:t>
      </w:r>
      <w:proofErr w:type="spellStart"/>
      <w:r w:rsidRPr="004F2F97">
        <w:rPr>
          <w:rFonts w:asciiTheme="minorHAnsi" w:hAnsiTheme="minorHAnsi"/>
          <w:i/>
          <w:iCs/>
          <w:sz w:val="20"/>
        </w:rPr>
        <w:t>Separação</w:t>
      </w:r>
      <w:proofErr w:type="spellEnd"/>
      <w:r w:rsidRPr="004F2F97">
        <w:rPr>
          <w:rFonts w:asciiTheme="minorHAnsi" w:hAnsiTheme="minorHAnsi"/>
          <w:i/>
          <w:iCs/>
          <w:sz w:val="20"/>
        </w:rPr>
        <w:t>.</w:t>
      </w:r>
      <w:proofErr w:type="gramEnd"/>
      <w:r w:rsidRPr="004F2F97">
        <w:rPr>
          <w:rFonts w:asciiTheme="minorHAnsi" w:hAnsiTheme="minorHAnsi"/>
          <w:i/>
          <w:iCs/>
          <w:sz w:val="20"/>
        </w:rPr>
        <w:t xml:space="preserve"> </w:t>
      </w:r>
      <w:proofErr w:type="spellStart"/>
      <w:r w:rsidRPr="004F2F97">
        <w:rPr>
          <w:rFonts w:asciiTheme="minorHAnsi" w:hAnsiTheme="minorHAnsi"/>
          <w:i/>
          <w:iCs/>
          <w:sz w:val="20"/>
        </w:rPr>
        <w:t>Instituto</w:t>
      </w:r>
      <w:proofErr w:type="spellEnd"/>
      <w:r w:rsidRPr="004F2F97">
        <w:rPr>
          <w:rFonts w:asciiTheme="minorHAnsi" w:hAnsiTheme="minorHAnsi"/>
          <w:i/>
          <w:iCs/>
          <w:sz w:val="20"/>
        </w:rPr>
        <w:t xml:space="preserve"> de </w:t>
      </w:r>
      <w:proofErr w:type="spellStart"/>
      <w:r w:rsidRPr="004F2F97">
        <w:rPr>
          <w:rFonts w:asciiTheme="minorHAnsi" w:hAnsiTheme="minorHAnsi"/>
          <w:i/>
          <w:iCs/>
          <w:sz w:val="20"/>
        </w:rPr>
        <w:t>Química</w:t>
      </w:r>
      <w:proofErr w:type="spellEnd"/>
      <w:r w:rsidRPr="004F2F97">
        <w:rPr>
          <w:rFonts w:asciiTheme="minorHAnsi" w:hAnsiTheme="minorHAnsi"/>
          <w:i/>
          <w:iCs/>
          <w:sz w:val="20"/>
        </w:rPr>
        <w:t xml:space="preserve">. </w:t>
      </w:r>
      <w:proofErr w:type="spellStart"/>
      <w:r w:rsidRPr="004F2F97">
        <w:rPr>
          <w:rFonts w:asciiTheme="minorHAnsi" w:hAnsiTheme="minorHAnsi"/>
          <w:i/>
          <w:iCs/>
          <w:sz w:val="20"/>
        </w:rPr>
        <w:t>Universidade</w:t>
      </w:r>
      <w:proofErr w:type="spellEnd"/>
      <w:r w:rsidRPr="004F2F97">
        <w:rPr>
          <w:rFonts w:asciiTheme="minorHAnsi" w:hAnsiTheme="minorHAnsi"/>
          <w:i/>
          <w:iCs/>
          <w:sz w:val="20"/>
        </w:rPr>
        <w:t xml:space="preserve"> Federal de </w:t>
      </w:r>
      <w:proofErr w:type="spellStart"/>
      <w:r w:rsidRPr="004F2F97">
        <w:rPr>
          <w:rFonts w:asciiTheme="minorHAnsi" w:hAnsiTheme="minorHAnsi"/>
          <w:i/>
          <w:iCs/>
          <w:sz w:val="20"/>
        </w:rPr>
        <w:t>Goiás</w:t>
      </w:r>
      <w:proofErr w:type="spellEnd"/>
    </w:p>
    <w:p w14:paraId="68915635" w14:textId="77777777" w:rsidR="004F2F97" w:rsidRPr="004F2F97" w:rsidRDefault="004F2F97" w:rsidP="004F2F97">
      <w:pPr>
        <w:snapToGrid w:val="0"/>
        <w:spacing w:line="240" w:lineRule="auto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4F2F97">
        <w:rPr>
          <w:rFonts w:asciiTheme="minorHAnsi" w:eastAsia="MS PGothic" w:hAnsiTheme="minorHAnsi"/>
          <w:bCs/>
          <w:i/>
          <w:iCs/>
          <w:sz w:val="20"/>
          <w:lang w:val="en-US"/>
        </w:rPr>
        <w:t>*Corresponding author</w:t>
      </w:r>
      <w:r w:rsidRPr="004F2F97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4F2F97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Pr="004F2F97">
        <w:rPr>
          <w:rFonts w:asciiTheme="minorHAnsi" w:hAnsiTheme="minorHAnsi"/>
          <w:i/>
          <w:iCs/>
          <w:sz w:val="20"/>
        </w:rPr>
        <w:t>jdgvieira62@gmail.com</w:t>
      </w:r>
      <w:r w:rsidRPr="004F2F97">
        <w:rPr>
          <w:rFonts w:asciiTheme="minorHAnsi" w:hAnsiTheme="minorHAnsi"/>
          <w:sz w:val="20"/>
        </w:rPr>
        <w:t>, +55 6232096527</w:t>
      </w:r>
    </w:p>
    <w:p w14:paraId="70F01201" w14:textId="77777777" w:rsidR="00704BDF" w:rsidRPr="00F34845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F34845">
        <w:rPr>
          <w:rFonts w:asciiTheme="minorHAnsi" w:hAnsiTheme="minorHAnsi"/>
          <w:b/>
        </w:rPr>
        <w:t>Highlights</w:t>
      </w:r>
    </w:p>
    <w:p w14:paraId="44EF95F7" w14:textId="2D0F33D1" w:rsidR="00704BDF" w:rsidRPr="00F34845" w:rsidRDefault="00F34845" w:rsidP="00BF7C37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eastAsiaTheme="minorHAnsi" w:hAnsiTheme="minorHAnsi" w:cs="Courier"/>
          <w:lang w:val="en"/>
        </w:rPr>
        <w:t>Efficiency</w:t>
      </w:r>
      <w:r w:rsidR="002A6F7B" w:rsidRPr="00F34845">
        <w:rPr>
          <w:rFonts w:asciiTheme="minorHAnsi" w:eastAsiaTheme="minorHAnsi" w:hAnsiTheme="minorHAnsi" w:cs="Courier"/>
          <w:lang w:val="en"/>
        </w:rPr>
        <w:t xml:space="preserve"> solubilization of phosphate</w:t>
      </w:r>
      <w:r>
        <w:rPr>
          <w:rFonts w:asciiTheme="minorHAnsi" w:eastAsiaTheme="minorHAnsi" w:hAnsiTheme="minorHAnsi" w:cs="Courier"/>
          <w:lang w:val="en"/>
        </w:rPr>
        <w:t xml:space="preserve"> present in iron ore</w:t>
      </w:r>
      <w:r w:rsidR="002A6F7B" w:rsidRPr="00F34845">
        <w:rPr>
          <w:rFonts w:asciiTheme="minorHAnsi" w:eastAsiaTheme="minorHAnsi" w:hAnsiTheme="minorHAnsi" w:cs="Courier"/>
          <w:lang w:val="en"/>
        </w:rPr>
        <w:t>.</w:t>
      </w:r>
    </w:p>
    <w:p w14:paraId="6D737F15" w14:textId="5FF6D8D6" w:rsidR="002A6F7B" w:rsidRPr="00F34845" w:rsidRDefault="002A6F7B" w:rsidP="00BF7C37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F34845">
        <w:rPr>
          <w:rFonts w:asciiTheme="minorHAnsi" w:eastAsiaTheme="minorHAnsi" w:hAnsiTheme="minorHAnsi" w:cs="Courier"/>
          <w:lang w:val="en"/>
        </w:rPr>
        <w:t>Iron ores wastes may be used as source of phosphorus when properly treated.</w:t>
      </w:r>
    </w:p>
    <w:p w14:paraId="19A32416" w14:textId="25C3AFC7" w:rsidR="00704BDF" w:rsidRPr="00F34845" w:rsidRDefault="002A6F7B" w:rsidP="00F34845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F34845">
        <w:rPr>
          <w:rFonts w:asciiTheme="minorHAnsi" w:eastAsiaTheme="minorHAnsi" w:hAnsiTheme="minorHAnsi" w:cs="Courier"/>
          <w:lang w:val="en"/>
        </w:rPr>
        <w:t>Biolixiviation using fungus proved to be efficient for reduction of phosphorus in iron ore tailings reducing its environmental pollution</w:t>
      </w:r>
      <w:r w:rsidR="00F34845" w:rsidRPr="00F34845">
        <w:rPr>
          <w:rFonts w:asciiTheme="minorHAnsi" w:hAnsiTheme="minorHAnsi"/>
        </w:rPr>
        <w:t>.</w:t>
      </w:r>
    </w:p>
    <w:p w14:paraId="22AC1F75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F34845">
        <w:rPr>
          <w:rFonts w:asciiTheme="minorHAnsi" w:eastAsia="MS PGothic" w:hAnsiTheme="minorHAnsi"/>
          <w:b/>
          <w:bCs/>
          <w:sz w:val="22"/>
          <w:szCs w:val="22"/>
          <w:lang w:val="en-US"/>
        </w:rPr>
        <w:t>1. Introduction</w:t>
      </w:r>
    </w:p>
    <w:p w14:paraId="306C4183" w14:textId="1F007472" w:rsidR="00D85E9A" w:rsidRPr="00D85E9A" w:rsidRDefault="005D7848" w:rsidP="005D7848">
      <w:pPr>
        <w:pStyle w:val="HTMLPreformatted"/>
        <w:ind w:firstLine="567"/>
        <w:rPr>
          <w:rFonts w:asciiTheme="minorHAnsi" w:eastAsiaTheme="minorHAnsi" w:hAnsiTheme="minorHAnsi" w:cs="Courier"/>
          <w:color w:val="212121"/>
          <w:sz w:val="22"/>
          <w:szCs w:val="22"/>
          <w:lang w:val="en-US"/>
        </w:rPr>
      </w:pPr>
      <w:r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ab/>
      </w:r>
      <w:r w:rsidR="00D85E9A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In</w:t>
      </w:r>
      <w:r w:rsidR="0077463C" w:rsidRPr="0077463C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iron and steel production chain</w:t>
      </w:r>
      <w:r w:rsidR="00507A99" w:rsidRPr="00D85E9A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, </w:t>
      </w:r>
      <w:r w:rsidR="0077463C" w:rsidRPr="0077463C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phosphorus element is present in almost all stages, tending to concentrate during the extractive process, due to its ability to pa</w:t>
      </w:r>
      <w:r w:rsidR="00D85E9A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ss from the oxidized form to</w:t>
      </w:r>
      <w:r w:rsidR="0077463C" w:rsidRPr="0077463C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eleme</w:t>
      </w:r>
      <w:r w:rsidR="00D85E9A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ntal form, being present in </w:t>
      </w:r>
      <w:r w:rsidR="0077463C" w:rsidRPr="0077463C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metallic iron after reduction mineral (Delvasto et al., 2009).</w:t>
      </w:r>
      <w:r w:rsidR="0090123A" w:rsidRPr="00D85E9A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Steel produced at high phosphorus levels will be brittle and can easily break</w:t>
      </w:r>
      <w:r w:rsidR="00A26AC4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, hence the need for dephosphoriz</w:t>
      </w:r>
      <w:r w:rsidR="0090123A" w:rsidRPr="00D85E9A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ation (Chime et al., 2011)</w:t>
      </w:r>
      <w:r w:rsidR="00C304B1" w:rsidRPr="00D85E9A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. As a result, different iron dephosph</w:t>
      </w:r>
      <w:r w:rsidR="00A26AC4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oriz</w:t>
      </w:r>
      <w:r w:rsidR="00C304B1" w:rsidRPr="00D85E9A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ation techniques have been developed. These methodologies tend to have high production costs with low productivity (Mendes et al., 2013, Xiao et al., 2015).</w:t>
      </w:r>
      <w:r w:rsidR="00F0057E" w:rsidRPr="00D85E9A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In view of this problem, it is necessary to develop sustainable and cost-effective processes for the exploitation of minerals containing different levels of phosphorus (Liu et al., 2015).</w:t>
      </w:r>
      <w:r>
        <w:rPr>
          <w:rFonts w:asciiTheme="minorHAnsi" w:eastAsiaTheme="minorHAnsi" w:hAnsiTheme="minorHAnsi" w:cs="Courier"/>
          <w:color w:val="212121"/>
          <w:sz w:val="22"/>
          <w:szCs w:val="22"/>
          <w:lang w:val="en-US"/>
        </w:rPr>
        <w:t xml:space="preserve"> </w:t>
      </w:r>
      <w:r w:rsidR="00383148" w:rsidRPr="00383148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One of the most promising solutions is the use of microorganisms in a process called microbial bioleaching, when compared to other physical-chemical processes (Chime et al., 2011).</w:t>
      </w:r>
      <w:r w:rsidR="00D85E9A" w:rsidRPr="00D85E9A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Its advantage is the use of mild conditions, usually without addition of toxic chemicals. The objective of this work was to test a filamentous fungus isolated from the iron ore tail itself in the solubilization of the phosphorus present in this ore.</w:t>
      </w:r>
    </w:p>
    <w:p w14:paraId="63D99C99" w14:textId="77777777" w:rsidR="00704BDF" w:rsidRPr="00287B6E" w:rsidRDefault="00704BDF" w:rsidP="00287B6E">
      <w:pPr>
        <w:snapToGrid w:val="0"/>
        <w:spacing w:before="240"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87B6E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4BD9D2DB" w14:textId="52579562" w:rsidR="00675429" w:rsidRPr="00675429" w:rsidRDefault="005D7848" w:rsidP="005D7848">
      <w:pPr>
        <w:pStyle w:val="HTMLPreformatted"/>
        <w:ind w:firstLine="567"/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</w:pPr>
      <w:r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ab/>
        <w:t>F</w:t>
      </w:r>
      <w:r w:rsidR="00567286" w:rsidRP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ungus was isolated by enrichment cultivation in NBRIP medium (Nautiyal, 1999), whose phosphate was withdrawn and added 5g of iron ore tailings for the fungus isolation and also as N</w:t>
      </w:r>
      <w:r w:rsidR="00567286" w:rsidRPr="003304DE">
        <w:rPr>
          <w:rFonts w:asciiTheme="minorHAnsi" w:eastAsiaTheme="minorHAnsi" w:hAnsiTheme="minorHAnsi" w:cs="Courier"/>
          <w:color w:val="212121"/>
          <w:sz w:val="22"/>
          <w:szCs w:val="22"/>
          <w:vertAlign w:val="subscript"/>
          <w:lang w:val="en"/>
        </w:rPr>
        <w:t>2</w:t>
      </w:r>
      <w:r w:rsidR="00567286" w:rsidRP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source.</w:t>
      </w:r>
      <w:r w:rsidR="001A51E1" w:rsidRP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Erlenmeyers containing 50mL of medium were incubated under agitation (130 rpm) at a temperature of 30 ± 2 °C. Every 7 days 1.0 ml aliquot was withdrawn and inoculated into fresh culture medium and incubated for another 7 days.</w:t>
      </w:r>
      <w:r w:rsidR="00BA3AFD" w:rsidRP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This process was repeated two more times. After last repeat, aliquots were taken, diluted conveniently and inoculated into Petri dishes containing NBRIP medium plus Ca</w:t>
      </w:r>
      <w:r w:rsidR="00BA3AFD" w:rsidRPr="003304DE">
        <w:rPr>
          <w:rFonts w:asciiTheme="minorHAnsi" w:eastAsiaTheme="minorHAnsi" w:hAnsiTheme="minorHAnsi" w:cs="Courier"/>
          <w:color w:val="212121"/>
          <w:sz w:val="22"/>
          <w:szCs w:val="22"/>
          <w:vertAlign w:val="subscript"/>
          <w:lang w:val="en"/>
        </w:rPr>
        <w:t>5</w:t>
      </w:r>
      <w:r w:rsidR="00BA3AFD" w:rsidRP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(OH)(PO</w:t>
      </w:r>
      <w:r w:rsidR="00BA3AFD" w:rsidRPr="003304DE">
        <w:rPr>
          <w:rFonts w:asciiTheme="minorHAnsi" w:eastAsiaTheme="minorHAnsi" w:hAnsiTheme="minorHAnsi" w:cs="Courier"/>
          <w:color w:val="212121"/>
          <w:sz w:val="22"/>
          <w:szCs w:val="22"/>
          <w:vertAlign w:val="subscript"/>
          <w:lang w:val="en"/>
        </w:rPr>
        <w:t>4</w:t>
      </w:r>
      <w:r w:rsidR="00BA3AFD" w:rsidRP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)</w:t>
      </w:r>
      <w:r w:rsidR="00BA3AFD" w:rsidRPr="003304DE">
        <w:rPr>
          <w:rFonts w:asciiTheme="minorHAnsi" w:eastAsiaTheme="minorHAnsi" w:hAnsiTheme="minorHAnsi" w:cs="Courier"/>
          <w:color w:val="212121"/>
          <w:sz w:val="22"/>
          <w:szCs w:val="22"/>
          <w:vertAlign w:val="subscript"/>
          <w:lang w:val="en"/>
        </w:rPr>
        <w:t>3</w:t>
      </w:r>
      <w:r w:rsidR="00BA3AFD" w:rsidRP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as source of phosphorus. Plates were inc</w:t>
      </w:r>
      <w:r w:rsidR="0060415A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ubated in a BOD oven at 30 ± 2 </w:t>
      </w:r>
      <w:r w:rsidR="0060415A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sym w:font="Symbol" w:char="F0B0"/>
      </w:r>
      <w:r w:rsidR="00BA3AFD" w:rsidRP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C for a period of 7 days. Colonies that had a characteristic halo of phosphorus solubilization were isolated.</w:t>
      </w:r>
      <w:r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</w:t>
      </w:r>
      <w:r w:rsidR="00287B6E" w:rsidRP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F</w:t>
      </w:r>
      <w:r w:rsidR="00287B6E" w:rsidRPr="00287B6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ollowing parameters were determined: growth curve, pH evolution, acid phosphatase activity, </w:t>
      </w:r>
      <w:r w:rsidR="00287B6E" w:rsidRP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phosphorus solubilization. P</w:t>
      </w:r>
      <w:r w:rsidR="00287B6E" w:rsidRPr="00287B6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arameters were performed for 168 hours with collection of 24/24 hours.</w:t>
      </w:r>
      <w:r w:rsidR="003304DE" w:rsidRP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</w:t>
      </w:r>
      <w:r w:rsid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For</w:t>
      </w:r>
      <w:r w:rsidR="003304DE" w:rsidRP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growth curve</w:t>
      </w:r>
      <w:r w:rsid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, samples were taken at </w:t>
      </w:r>
      <w:r w:rsidR="003304DE" w:rsidRP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described time</w:t>
      </w:r>
      <w:r w:rsid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,</w:t>
      </w:r>
      <w:r w:rsidR="003304DE" w:rsidRP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filtered in</w:t>
      </w:r>
      <w:r w:rsid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</w:t>
      </w:r>
      <w:r w:rsidR="003304DE" w:rsidRP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previously weighed </w:t>
      </w:r>
      <w:r w:rsid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Millipore</w:t>
      </w:r>
      <w:r w:rsidR="0060415A" w:rsidRPr="0060415A">
        <w:rPr>
          <w:rFonts w:asciiTheme="minorHAnsi" w:eastAsiaTheme="minorHAnsi" w:hAnsiTheme="minorHAnsi" w:cs="Courier"/>
          <w:color w:val="212121"/>
          <w:sz w:val="22"/>
          <w:szCs w:val="22"/>
          <w:vertAlign w:val="superscript"/>
          <w:lang w:val="en"/>
        </w:rPr>
        <w:sym w:font="Symbol" w:char="F0E2"/>
      </w:r>
      <w:r w:rsid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</w:t>
      </w:r>
      <w:r w:rsidR="003304DE" w:rsidRP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type</w:t>
      </w:r>
      <w:r w:rsid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</w:t>
      </w:r>
      <w:r w:rsidR="003304DE" w:rsidRP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filter (0.22μm). The material was dried in a desiccator wi</w:t>
      </w:r>
      <w:r w:rsid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th silica gel in an oven at 30 </w:t>
      </w:r>
      <w:r w:rsidR="0060415A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sym w:font="Symbol" w:char="F0B0"/>
      </w:r>
      <w:r w:rsidR="003304DE" w:rsidRP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C for 24 hrs unti</w:t>
      </w:r>
      <w:r w:rsidR="0060415A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l constant weight and the fungus</w:t>
      </w:r>
      <w:r w:rsidR="003304DE" w:rsidRP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mass was </w:t>
      </w:r>
      <w:r w:rsidR="003304DE" w:rsidRPr="003304DE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lastRenderedPageBreak/>
        <w:t>deteminated.</w:t>
      </w:r>
      <w:r w:rsidR="00675429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pH was determined in </w:t>
      </w:r>
      <w:r w:rsidR="00675429" w:rsidRPr="00675429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aliquot of the aliquots after centrifugation using a pHmeter. </w:t>
      </w:r>
      <w:r w:rsidR="00675429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P</w:t>
      </w:r>
      <w:r w:rsidR="00675429" w:rsidRPr="00675429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hosphatase </w:t>
      </w:r>
      <w:r w:rsidR="00675429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acid activity </w:t>
      </w:r>
      <w:r w:rsidR="00675429" w:rsidRPr="00675429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was performed using the Labtest® Trade Kit according to the manufacturer's guidelines. Phosphorus solubilization was performed by dosage of the solubilised phosphate using the Spectro Kit of the Alfakit® brand, according to the manufacturer's guidelines.</w:t>
      </w:r>
    </w:p>
    <w:p w14:paraId="3A2C16B5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609C4280" w14:textId="7D10B46A" w:rsidR="00793D26" w:rsidRDefault="00793D26" w:rsidP="00D31D3B">
      <w:pPr>
        <w:tabs>
          <w:tab w:val="clear" w:pos="71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</w:pPr>
      <w:r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Results obtained for</w:t>
      </w:r>
      <w:r w:rsidRPr="00793D26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determination of fungic mass, pH, acid phosphatase activity and phosphate sol</w:t>
      </w:r>
      <w:r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ubilization can be observed in F</w:t>
      </w:r>
      <w:r w:rsidRPr="00793D26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igure 1.</w:t>
      </w:r>
    </w:p>
    <w:p w14:paraId="04E64E95" w14:textId="77777777" w:rsidR="00793D26" w:rsidRPr="00793D26" w:rsidRDefault="00793D26" w:rsidP="00793D26">
      <w:pPr>
        <w:tabs>
          <w:tab w:val="clear" w:pos="71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HAnsi" w:eastAsiaTheme="minorHAnsi" w:hAnsiTheme="minorHAnsi" w:cs="Courier"/>
          <w:color w:val="212121"/>
          <w:sz w:val="22"/>
          <w:szCs w:val="22"/>
          <w:lang w:val="en-US"/>
        </w:rPr>
      </w:pPr>
    </w:p>
    <w:p w14:paraId="38782368" w14:textId="73F32CFD" w:rsidR="00D361C0" w:rsidRPr="00D361C0" w:rsidRDefault="00D361C0" w:rsidP="00D361C0">
      <w:pPr>
        <w:tabs>
          <w:tab w:val="clear" w:pos="71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HAnsi" w:eastAsiaTheme="minorHAnsi" w:hAnsiTheme="minorHAnsi" w:cs="Courier"/>
          <w:color w:val="212121"/>
          <w:sz w:val="22"/>
          <w:szCs w:val="22"/>
          <w:lang w:val="en-US"/>
        </w:rPr>
      </w:pPr>
      <w:r w:rsidRPr="007B263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drawing>
          <wp:inline distT="0" distB="0" distL="0" distR="0" wp14:anchorId="5311C871" wp14:editId="6C436B7E">
            <wp:extent cx="3115360" cy="1835150"/>
            <wp:effectExtent l="0" t="0" r="889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810" cy="183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16439A" w14:textId="3B81DE4B" w:rsidR="00D361C0" w:rsidRPr="00D361C0" w:rsidRDefault="00D361C0" w:rsidP="00D361C0">
      <w:pPr>
        <w:tabs>
          <w:tab w:val="clear" w:pos="71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HAnsi" w:eastAsiaTheme="minorHAnsi" w:hAnsiTheme="minorHAnsi" w:cs="Courier"/>
          <w:color w:val="212121"/>
          <w:szCs w:val="18"/>
          <w:lang w:val="en-US"/>
        </w:rPr>
      </w:pPr>
      <w:r w:rsidRPr="00D361C0">
        <w:rPr>
          <w:rFonts w:asciiTheme="minorHAnsi" w:eastAsiaTheme="minorHAnsi" w:hAnsiTheme="minorHAnsi" w:cs="Courier"/>
          <w:color w:val="212121"/>
          <w:szCs w:val="18"/>
          <w:lang w:val="en"/>
        </w:rPr>
        <w:t>Fig</w:t>
      </w:r>
      <w:r w:rsidR="00793D26">
        <w:rPr>
          <w:rFonts w:asciiTheme="minorHAnsi" w:eastAsiaTheme="minorHAnsi" w:hAnsiTheme="minorHAnsi" w:cs="Courier"/>
          <w:color w:val="212121"/>
          <w:szCs w:val="18"/>
          <w:lang w:val="en"/>
        </w:rPr>
        <w:t xml:space="preserve">ure 1. Results obtained for </w:t>
      </w:r>
      <w:r w:rsidRPr="00D361C0">
        <w:rPr>
          <w:rFonts w:asciiTheme="minorHAnsi" w:eastAsiaTheme="minorHAnsi" w:hAnsiTheme="minorHAnsi" w:cs="Courier"/>
          <w:color w:val="212121"/>
          <w:szCs w:val="18"/>
          <w:lang w:val="en"/>
        </w:rPr>
        <w:t xml:space="preserve">determination of fungal mass (A), pH (B), </w:t>
      </w:r>
      <w:r w:rsidR="00793D26">
        <w:rPr>
          <w:rFonts w:asciiTheme="minorHAnsi" w:eastAsiaTheme="minorHAnsi" w:hAnsiTheme="minorHAnsi" w:cs="Courier"/>
          <w:color w:val="212121"/>
          <w:szCs w:val="18"/>
          <w:lang w:val="en"/>
        </w:rPr>
        <w:t xml:space="preserve">acid </w:t>
      </w:r>
      <w:r w:rsidRPr="00D361C0">
        <w:rPr>
          <w:rFonts w:asciiTheme="minorHAnsi" w:eastAsiaTheme="minorHAnsi" w:hAnsiTheme="minorHAnsi" w:cs="Courier"/>
          <w:color w:val="212121"/>
          <w:szCs w:val="18"/>
          <w:lang w:val="en"/>
        </w:rPr>
        <w:t>phosphatase activity (C) and phosphate solubilization (D).</w:t>
      </w:r>
    </w:p>
    <w:p w14:paraId="316550AC" w14:textId="77777777" w:rsidR="00D361C0" w:rsidRDefault="00D361C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7BFA3A54" w14:textId="1427C8DB" w:rsidR="00D31D3B" w:rsidRPr="00D31D3B" w:rsidRDefault="00D31D3B" w:rsidP="00D31D3B">
      <w:pPr>
        <w:tabs>
          <w:tab w:val="clear" w:pos="71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rFonts w:asciiTheme="minorHAnsi" w:eastAsiaTheme="minorHAnsi" w:hAnsiTheme="minorHAnsi" w:cs="Courier"/>
          <w:color w:val="212121"/>
          <w:sz w:val="22"/>
          <w:szCs w:val="22"/>
          <w:lang w:val="en-US"/>
        </w:rPr>
      </w:pPr>
      <w:r w:rsidRPr="00D31D3B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According to</w:t>
      </w:r>
      <w:r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</w:t>
      </w:r>
      <w:r w:rsidRPr="00D31D3B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analyzed parameters, it was observed that, between 144 and 168 hour</w:t>
      </w:r>
      <w:r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s, its stabilization occurred (Fig.</w:t>
      </w:r>
      <w:r w:rsidRPr="00D31D3B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1).</w:t>
      </w:r>
      <w:r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Xiao et al. (2015) testing </w:t>
      </w:r>
      <w:r w:rsidRPr="00D31D3B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dephosphorization of iron ore with high concentration of phosphorus by different strains of </w:t>
      </w:r>
      <w:r w:rsidRPr="002A5A71">
        <w:rPr>
          <w:rFonts w:asciiTheme="minorHAnsi" w:eastAsiaTheme="minorHAnsi" w:hAnsiTheme="minorHAnsi" w:cs="Courier"/>
          <w:i/>
          <w:color w:val="212121"/>
          <w:sz w:val="22"/>
          <w:szCs w:val="22"/>
          <w:lang w:val="en"/>
        </w:rPr>
        <w:t>Aspergillus niger</w:t>
      </w:r>
      <w:r w:rsidRPr="00D31D3B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, observed similar results of pH reduction, phosphorus solubilization and fungal growth. Phosphate biosolubilization has been shown to be </w:t>
      </w:r>
      <w:r w:rsidR="002A5A71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a very efficient process for</w:t>
      </w:r>
      <w:r w:rsidRPr="00D31D3B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 conversion of </w:t>
      </w:r>
      <w:r w:rsidR="002A5A71" w:rsidRPr="00D31D3B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insoluble </w:t>
      </w:r>
      <w:r w:rsidRPr="00D31D3B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phosphate </w:t>
      </w:r>
      <w:r w:rsidR="002A5A71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 xml:space="preserve">into </w:t>
      </w:r>
      <w:r w:rsidRPr="00D31D3B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phosphorus, corresponding to a solubilization of 43% in 7 days of incubation, ie, equivalent to a mass of 0.1539 g of ph</w:t>
      </w:r>
      <w:r w:rsidR="002A5A71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osphate in the counterpart of 0</w:t>
      </w:r>
      <w:r w:rsidR="00F34845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.</w:t>
      </w:r>
      <w:r w:rsidRPr="00D31D3B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3576 g of iron ore.</w:t>
      </w:r>
    </w:p>
    <w:p w14:paraId="7377E28B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B3E2D65" w14:textId="0DF0D434" w:rsidR="00BF7C37" w:rsidRPr="00BF7C37" w:rsidRDefault="00BF7C37" w:rsidP="00BF7C37">
      <w:pPr>
        <w:tabs>
          <w:tab w:val="clear" w:pos="71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HAnsi" w:eastAsiaTheme="minorHAnsi" w:hAnsiTheme="minorHAnsi" w:cs="Courier"/>
          <w:color w:val="212121"/>
          <w:sz w:val="22"/>
          <w:szCs w:val="22"/>
          <w:lang w:val="en-US"/>
        </w:rPr>
      </w:pPr>
      <w:r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Using of filamentus fungus for p</w:t>
      </w:r>
      <w:r w:rsidRPr="00BF7C37">
        <w:rPr>
          <w:rFonts w:asciiTheme="minorHAnsi" w:eastAsiaTheme="minorHAnsi" w:hAnsiTheme="minorHAnsi" w:cs="Courier"/>
          <w:color w:val="212121"/>
          <w:sz w:val="22"/>
          <w:szCs w:val="22"/>
          <w:lang w:val="en"/>
        </w:rPr>
        <w:t>hosphorus solubilization, present in iron ore tailings, proved to be efficient in this study. Researches are underway to make this process feasible on a large scale</w:t>
      </w:r>
    </w:p>
    <w:p w14:paraId="4309D030" w14:textId="2957F90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bookmarkStart w:id="0" w:name="_GoBack"/>
      <w:bookmarkEnd w:id="0"/>
    </w:p>
    <w:p w14:paraId="59C5C72F" w14:textId="77777777" w:rsidR="00C304B1" w:rsidRPr="00CF07B6" w:rsidRDefault="00C304B1" w:rsidP="00CF07B6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lang w:eastAsia="zh-CN"/>
        </w:rPr>
      </w:pPr>
      <w:r w:rsidRPr="00CF07B6">
        <w:rPr>
          <w:rFonts w:asciiTheme="minorHAnsi" w:hAnsiTheme="minorHAnsi"/>
        </w:rPr>
        <w:t xml:space="preserve">T.O. Chime, M.C. </w:t>
      </w:r>
      <w:proofErr w:type="spellStart"/>
      <w:r w:rsidRPr="00CF07B6">
        <w:rPr>
          <w:rFonts w:asciiTheme="minorHAnsi" w:hAnsiTheme="minorHAnsi"/>
        </w:rPr>
        <w:t>Menkiti</w:t>
      </w:r>
      <w:proofErr w:type="spellEnd"/>
      <w:r w:rsidRPr="00CF07B6">
        <w:rPr>
          <w:rFonts w:asciiTheme="minorHAnsi" w:hAnsiTheme="minorHAnsi"/>
        </w:rPr>
        <w:t xml:space="preserve">, O.D. </w:t>
      </w:r>
      <w:proofErr w:type="spellStart"/>
      <w:r w:rsidRPr="00CF07B6">
        <w:rPr>
          <w:rFonts w:asciiTheme="minorHAnsi" w:hAnsiTheme="minorHAnsi"/>
        </w:rPr>
        <w:t>Onukwuli</w:t>
      </w:r>
      <w:proofErr w:type="spellEnd"/>
      <w:r w:rsidRPr="00CF07B6">
        <w:rPr>
          <w:rFonts w:asciiTheme="minorHAnsi" w:hAnsiTheme="minorHAnsi"/>
        </w:rPr>
        <w:t>, New York Science Journal (2011): 1-6.</w:t>
      </w:r>
    </w:p>
    <w:p w14:paraId="137742A6" w14:textId="77777777" w:rsidR="00C304B1" w:rsidRPr="00CF07B6" w:rsidRDefault="00C304B1" w:rsidP="00CF07B6">
      <w:pPr>
        <w:pStyle w:val="ListParagraph"/>
        <w:numPr>
          <w:ilvl w:val="0"/>
          <w:numId w:val="17"/>
        </w:numPr>
        <w:spacing w:line="240" w:lineRule="auto"/>
        <w:outlineLvl w:val="0"/>
        <w:rPr>
          <w:rFonts w:asciiTheme="minorHAnsi" w:hAnsiTheme="minorHAnsi"/>
          <w:bCs/>
          <w:sz w:val="20"/>
          <w:lang w:val="en-US"/>
        </w:rPr>
      </w:pPr>
      <w:r w:rsidRPr="00CF07B6">
        <w:rPr>
          <w:rFonts w:asciiTheme="minorHAnsi" w:hAnsiTheme="minorHAnsi"/>
          <w:bCs/>
          <w:sz w:val="20"/>
          <w:lang w:val="en-US"/>
        </w:rPr>
        <w:t>Z. Liu, Y.C. Li, S. Zhang, Y. Fu, X. Fan, Appl. Soil Ecol., (2015): 217-224.</w:t>
      </w:r>
    </w:p>
    <w:p w14:paraId="51D653A9" w14:textId="77777777" w:rsidR="00CF07B6" w:rsidRPr="00CF07B6" w:rsidRDefault="00C304B1" w:rsidP="00CF07B6">
      <w:pPr>
        <w:pStyle w:val="ListParagraph"/>
        <w:numPr>
          <w:ilvl w:val="0"/>
          <w:numId w:val="17"/>
        </w:numPr>
        <w:spacing w:line="240" w:lineRule="auto"/>
        <w:outlineLvl w:val="0"/>
        <w:rPr>
          <w:rFonts w:asciiTheme="minorHAnsi" w:hAnsiTheme="minorHAnsi"/>
          <w:bCs/>
          <w:sz w:val="20"/>
          <w:lang w:val="en-US"/>
        </w:rPr>
      </w:pPr>
      <w:r w:rsidRPr="00CF07B6">
        <w:rPr>
          <w:rFonts w:asciiTheme="minorHAnsi" w:hAnsiTheme="minorHAnsi"/>
          <w:bCs/>
          <w:sz w:val="20"/>
          <w:lang w:val="en-US"/>
        </w:rPr>
        <w:t>G.O. Mendes</w:t>
      </w:r>
      <w:proofErr w:type="gramStart"/>
      <w:r w:rsidRPr="00CF07B6">
        <w:rPr>
          <w:rFonts w:asciiTheme="minorHAnsi" w:hAnsiTheme="minorHAnsi"/>
          <w:bCs/>
          <w:sz w:val="20"/>
          <w:lang w:val="en-US"/>
        </w:rPr>
        <w:t>,.</w:t>
      </w:r>
      <w:proofErr w:type="gramEnd"/>
      <w:r w:rsidRPr="00CF07B6">
        <w:rPr>
          <w:rFonts w:asciiTheme="minorHAnsi" w:hAnsiTheme="minorHAnsi"/>
          <w:bCs/>
          <w:sz w:val="20"/>
          <w:lang w:val="en-US"/>
        </w:rPr>
        <w:t xml:space="preserve"> C.S. Dias, I.R. Silva, J.I.R., </w:t>
      </w:r>
      <w:proofErr w:type="spellStart"/>
      <w:r w:rsidRPr="00CF07B6">
        <w:rPr>
          <w:rFonts w:asciiTheme="minorHAnsi" w:hAnsiTheme="minorHAnsi"/>
          <w:bCs/>
          <w:sz w:val="20"/>
          <w:lang w:val="en-US"/>
        </w:rPr>
        <w:t>Júnior</w:t>
      </w:r>
      <w:proofErr w:type="spellEnd"/>
      <w:r w:rsidRPr="00CF07B6">
        <w:rPr>
          <w:rFonts w:asciiTheme="minorHAnsi" w:hAnsiTheme="minorHAnsi"/>
          <w:bCs/>
          <w:sz w:val="20"/>
          <w:lang w:val="en-US"/>
        </w:rPr>
        <w:t>, O.L. Pereira, M.D. Costa, World J. Microbiology Biotech. (2013): 29-43.</w:t>
      </w:r>
    </w:p>
    <w:p w14:paraId="0B322BFF" w14:textId="39E8729B" w:rsidR="00CF07B6" w:rsidRPr="00CF07B6" w:rsidRDefault="00CF07B6" w:rsidP="00CF07B6">
      <w:pPr>
        <w:pStyle w:val="ListParagraph"/>
        <w:numPr>
          <w:ilvl w:val="0"/>
          <w:numId w:val="17"/>
        </w:numPr>
        <w:spacing w:line="240" w:lineRule="auto"/>
        <w:outlineLvl w:val="0"/>
        <w:rPr>
          <w:rFonts w:asciiTheme="minorHAnsi" w:hAnsiTheme="minorHAnsi"/>
          <w:bCs/>
          <w:sz w:val="20"/>
          <w:lang w:val="en-US"/>
        </w:rPr>
      </w:pPr>
      <w:r w:rsidRPr="00CF07B6">
        <w:rPr>
          <w:rFonts w:asciiTheme="minorHAnsi" w:eastAsiaTheme="minorHAnsi" w:hAnsiTheme="minorHAnsi"/>
          <w:sz w:val="20"/>
          <w:lang w:val="en-US"/>
        </w:rPr>
        <w:t xml:space="preserve">C.S. </w:t>
      </w:r>
      <w:proofErr w:type="spellStart"/>
      <w:r w:rsidRPr="00CF07B6">
        <w:rPr>
          <w:rFonts w:asciiTheme="minorHAnsi" w:eastAsiaTheme="minorHAnsi" w:hAnsiTheme="minorHAnsi"/>
          <w:sz w:val="20"/>
          <w:lang w:val="en-US"/>
        </w:rPr>
        <w:t>Nautiyal</w:t>
      </w:r>
      <w:proofErr w:type="spellEnd"/>
      <w:proofErr w:type="gramStart"/>
      <w:r w:rsidRPr="00CF07B6">
        <w:rPr>
          <w:rFonts w:asciiTheme="minorHAnsi" w:eastAsiaTheme="minorHAnsi" w:hAnsiTheme="minorHAnsi"/>
          <w:sz w:val="20"/>
          <w:lang w:val="en-US"/>
        </w:rPr>
        <w:t>,  FEMS</w:t>
      </w:r>
      <w:proofErr w:type="gramEnd"/>
      <w:r w:rsidRPr="00CF07B6">
        <w:rPr>
          <w:rFonts w:asciiTheme="minorHAnsi" w:eastAsiaTheme="minorHAnsi" w:hAnsiTheme="minorHAnsi"/>
          <w:sz w:val="20"/>
          <w:lang w:val="en-US"/>
        </w:rPr>
        <w:t xml:space="preserve"> </w:t>
      </w:r>
      <w:proofErr w:type="spellStart"/>
      <w:r w:rsidRPr="00CF07B6">
        <w:rPr>
          <w:rFonts w:asciiTheme="minorHAnsi" w:eastAsiaTheme="minorHAnsi" w:hAnsiTheme="minorHAnsi"/>
          <w:sz w:val="20"/>
          <w:lang w:val="en-US"/>
        </w:rPr>
        <w:t>Microbiol</w:t>
      </w:r>
      <w:proofErr w:type="spellEnd"/>
      <w:r w:rsidRPr="00CF07B6">
        <w:rPr>
          <w:rFonts w:asciiTheme="minorHAnsi" w:eastAsiaTheme="minorHAnsi" w:hAnsiTheme="minorHAnsi"/>
          <w:sz w:val="20"/>
          <w:lang w:val="en-US"/>
        </w:rPr>
        <w:t xml:space="preserve">. </w:t>
      </w:r>
      <w:proofErr w:type="spellStart"/>
      <w:r w:rsidRPr="00CF07B6">
        <w:rPr>
          <w:rFonts w:asciiTheme="minorHAnsi" w:eastAsiaTheme="minorHAnsi" w:hAnsiTheme="minorHAnsi"/>
          <w:sz w:val="20"/>
          <w:lang w:val="en-US"/>
        </w:rPr>
        <w:t>Lett</w:t>
      </w:r>
      <w:proofErr w:type="spellEnd"/>
      <w:r w:rsidRPr="00CF07B6">
        <w:rPr>
          <w:rFonts w:asciiTheme="minorHAnsi" w:eastAsiaTheme="minorHAnsi" w:hAnsiTheme="minorHAnsi"/>
          <w:sz w:val="20"/>
          <w:lang w:val="en-US"/>
        </w:rPr>
        <w:t>. (1999): 265-270.</w:t>
      </w:r>
    </w:p>
    <w:p w14:paraId="1F225645" w14:textId="77777777" w:rsidR="00C304B1" w:rsidRPr="00CF07B6" w:rsidRDefault="00C304B1" w:rsidP="00CF07B6">
      <w:pPr>
        <w:pStyle w:val="ListParagraph"/>
        <w:numPr>
          <w:ilvl w:val="0"/>
          <w:numId w:val="17"/>
        </w:numPr>
        <w:spacing w:line="240" w:lineRule="auto"/>
        <w:outlineLvl w:val="0"/>
        <w:rPr>
          <w:rFonts w:asciiTheme="minorHAnsi" w:hAnsiTheme="minorHAnsi"/>
          <w:bCs/>
          <w:sz w:val="20"/>
          <w:lang w:val="en-US"/>
        </w:rPr>
      </w:pPr>
      <w:r w:rsidRPr="00CF07B6">
        <w:rPr>
          <w:rFonts w:asciiTheme="minorHAnsi" w:hAnsiTheme="minorHAnsi"/>
          <w:bCs/>
          <w:sz w:val="20"/>
          <w:lang w:val="en-US"/>
        </w:rPr>
        <w:t xml:space="preserve">C. Xiao, X. Wu, R. Chi, Appl. </w:t>
      </w:r>
      <w:proofErr w:type="spellStart"/>
      <w:r w:rsidRPr="00CF07B6">
        <w:rPr>
          <w:rFonts w:asciiTheme="minorHAnsi" w:hAnsiTheme="minorHAnsi"/>
          <w:bCs/>
          <w:sz w:val="20"/>
          <w:lang w:val="en-US"/>
        </w:rPr>
        <w:t>Bioch</w:t>
      </w:r>
      <w:proofErr w:type="spellEnd"/>
      <w:r w:rsidRPr="00CF07B6">
        <w:rPr>
          <w:rFonts w:asciiTheme="minorHAnsi" w:hAnsiTheme="minorHAnsi"/>
          <w:bCs/>
          <w:sz w:val="20"/>
          <w:lang w:val="en-US"/>
        </w:rPr>
        <w:t>. Biotech. (2015): 518-528.</w:t>
      </w:r>
    </w:p>
    <w:p w14:paraId="0DDF912D" w14:textId="77777777" w:rsidR="00704BDF" w:rsidRPr="00F34845" w:rsidRDefault="00704BDF" w:rsidP="00F34845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</w:p>
    <w:sectPr w:rsidR="00704BDF" w:rsidRPr="00F34845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4810D" w14:textId="77777777" w:rsidR="002A6F7B" w:rsidRDefault="002A6F7B" w:rsidP="004F5E36">
      <w:r>
        <w:separator/>
      </w:r>
    </w:p>
  </w:endnote>
  <w:endnote w:type="continuationSeparator" w:id="0">
    <w:p w14:paraId="29617D47" w14:textId="77777777" w:rsidR="002A6F7B" w:rsidRDefault="002A6F7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8FE36" w14:textId="77777777" w:rsidR="002A6F7B" w:rsidRDefault="002A6F7B" w:rsidP="004F5E36">
      <w:r>
        <w:separator/>
      </w:r>
    </w:p>
  </w:footnote>
  <w:footnote w:type="continuationSeparator" w:id="0">
    <w:p w14:paraId="6111915A" w14:textId="77777777" w:rsidR="002A6F7B" w:rsidRDefault="002A6F7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540E8" w14:textId="77777777" w:rsidR="002A6F7B" w:rsidRDefault="002A6F7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7B3555" wp14:editId="3AB9D134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59B81C6" wp14:editId="39CE4027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16366" w14:textId="77777777" w:rsidR="002A6F7B" w:rsidRPr="004F563B" w:rsidRDefault="002A6F7B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87FECFD" wp14:editId="1EB3711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th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EUROPEAN CONGRESS OF 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2019</w:t>
    </w:r>
  </w:p>
  <w:p w14:paraId="7C2F27AD" w14:textId="77777777" w:rsidR="002A6F7B" w:rsidRDefault="002A6F7B">
    <w:pPr>
      <w:pStyle w:val="Header"/>
    </w:pPr>
  </w:p>
  <w:p w14:paraId="38122011" w14:textId="77777777" w:rsidR="002A6F7B" w:rsidRDefault="002A6F7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553C5" wp14:editId="186B880E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A51E1"/>
    <w:rsid w:val="001B65C1"/>
    <w:rsid w:val="001C684B"/>
    <w:rsid w:val="001D53FC"/>
    <w:rsid w:val="001F2EC7"/>
    <w:rsid w:val="002065DB"/>
    <w:rsid w:val="002265DD"/>
    <w:rsid w:val="002447EF"/>
    <w:rsid w:val="00251550"/>
    <w:rsid w:val="0027221A"/>
    <w:rsid w:val="00275B61"/>
    <w:rsid w:val="002760C3"/>
    <w:rsid w:val="00287B6E"/>
    <w:rsid w:val="002A5A71"/>
    <w:rsid w:val="002A6F7B"/>
    <w:rsid w:val="002D1F12"/>
    <w:rsid w:val="003009B7"/>
    <w:rsid w:val="0030469C"/>
    <w:rsid w:val="003304DE"/>
    <w:rsid w:val="003723D4"/>
    <w:rsid w:val="00383148"/>
    <w:rsid w:val="003A7D1C"/>
    <w:rsid w:val="003E4E67"/>
    <w:rsid w:val="0046164A"/>
    <w:rsid w:val="00462DCD"/>
    <w:rsid w:val="004D1162"/>
    <w:rsid w:val="004E4DD6"/>
    <w:rsid w:val="004F2F97"/>
    <w:rsid w:val="004F563B"/>
    <w:rsid w:val="004F5E36"/>
    <w:rsid w:val="00507A99"/>
    <w:rsid w:val="005119A5"/>
    <w:rsid w:val="005278B7"/>
    <w:rsid w:val="005346C8"/>
    <w:rsid w:val="00567286"/>
    <w:rsid w:val="00594E9F"/>
    <w:rsid w:val="005B61E6"/>
    <w:rsid w:val="005C77E1"/>
    <w:rsid w:val="005D6A2F"/>
    <w:rsid w:val="005D7848"/>
    <w:rsid w:val="005E1A82"/>
    <w:rsid w:val="005F0A28"/>
    <w:rsid w:val="005F0E5E"/>
    <w:rsid w:val="0060415A"/>
    <w:rsid w:val="00620DEE"/>
    <w:rsid w:val="00625639"/>
    <w:rsid w:val="006366F8"/>
    <w:rsid w:val="0064184D"/>
    <w:rsid w:val="00660E3E"/>
    <w:rsid w:val="00662E74"/>
    <w:rsid w:val="00673C30"/>
    <w:rsid w:val="00675429"/>
    <w:rsid w:val="006B01AC"/>
    <w:rsid w:val="006C5579"/>
    <w:rsid w:val="00703A58"/>
    <w:rsid w:val="00704BDF"/>
    <w:rsid w:val="00736B13"/>
    <w:rsid w:val="007447F3"/>
    <w:rsid w:val="007661C8"/>
    <w:rsid w:val="0077463C"/>
    <w:rsid w:val="00793D26"/>
    <w:rsid w:val="007B1030"/>
    <w:rsid w:val="007D52CD"/>
    <w:rsid w:val="00813288"/>
    <w:rsid w:val="008168FC"/>
    <w:rsid w:val="008479A2"/>
    <w:rsid w:val="0087637F"/>
    <w:rsid w:val="008A1512"/>
    <w:rsid w:val="008B2C35"/>
    <w:rsid w:val="008D0BEB"/>
    <w:rsid w:val="008E566E"/>
    <w:rsid w:val="0090123A"/>
    <w:rsid w:val="00901EB6"/>
    <w:rsid w:val="009450CE"/>
    <w:rsid w:val="0095164B"/>
    <w:rsid w:val="00996483"/>
    <w:rsid w:val="009E788A"/>
    <w:rsid w:val="00A1763D"/>
    <w:rsid w:val="00A17CEC"/>
    <w:rsid w:val="00A26AC4"/>
    <w:rsid w:val="00A27EF0"/>
    <w:rsid w:val="00A76EFC"/>
    <w:rsid w:val="00A97F29"/>
    <w:rsid w:val="00AB0964"/>
    <w:rsid w:val="00AE377D"/>
    <w:rsid w:val="00B4726E"/>
    <w:rsid w:val="00B61DBF"/>
    <w:rsid w:val="00BA3AFD"/>
    <w:rsid w:val="00BC30C9"/>
    <w:rsid w:val="00BE3E58"/>
    <w:rsid w:val="00BF7C37"/>
    <w:rsid w:val="00C01616"/>
    <w:rsid w:val="00C0162B"/>
    <w:rsid w:val="00C304B1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CF07B6"/>
    <w:rsid w:val="00D02B4C"/>
    <w:rsid w:val="00D31D3B"/>
    <w:rsid w:val="00D361C0"/>
    <w:rsid w:val="00D84576"/>
    <w:rsid w:val="00D85E9A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F0057E"/>
    <w:rsid w:val="00F30C64"/>
    <w:rsid w:val="00F34845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20F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C30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C3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FEBCB-EED7-B843-A540-D6AFC3FD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793</Words>
  <Characters>4523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José Daniel Gonçalves Vieira</cp:lastModifiedBy>
  <cp:revision>38</cp:revision>
  <cp:lastPrinted>2015-05-12T18:31:00Z</cp:lastPrinted>
  <dcterms:created xsi:type="dcterms:W3CDTF">2018-05-26T08:50:00Z</dcterms:created>
  <dcterms:modified xsi:type="dcterms:W3CDTF">2019-02-28T19:38:00Z</dcterms:modified>
</cp:coreProperties>
</file>