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CD4F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45F35496" w14:textId="77777777" w:rsidR="004055E6" w:rsidRPr="004055E6" w:rsidRDefault="004055E6" w:rsidP="004055E6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4055E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Conceptual study on coal power plant transformation to metal power plant; </w:t>
      </w:r>
      <w:proofErr w:type="gramStart"/>
      <w:r w:rsidRPr="004055E6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proofErr w:type="gramEnd"/>
      <w:r w:rsidRPr="004055E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look into the future</w:t>
      </w:r>
    </w:p>
    <w:p w14:paraId="2300C933" w14:textId="01DEAC07" w:rsidR="00DE0019" w:rsidRPr="00A7511E" w:rsidRDefault="004055E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5B0826" w:rsidDel="000A244D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P. </w:t>
      </w:r>
      <w:r w:rsidRPr="00A7511E" w:rsidDel="000A244D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Awad</w:t>
      </w:r>
      <w:r w:rsidR="00704BDF" w:rsidRPr="00A7511E" w:rsidDel="000A244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E353E5" w:rsidRPr="00A7511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="00736B13" w:rsidRPr="00A751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F43BE9" w:rsidRPr="00A751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R.G. Baltazar</w:t>
      </w:r>
      <w:r w:rsidR="00F43BE9" w:rsidRPr="00A7511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F43BE9" w:rsidRPr="00A751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A751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I.D. Garcia</w:t>
      </w:r>
      <w:r w:rsidRPr="00A7511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A7511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E. Dijkman</w:t>
      </w:r>
      <w:r w:rsidRPr="00A7511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10199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P.L.J. Swinkels</w:t>
      </w:r>
      <w:r w:rsidR="00DE0019" w:rsidRPr="00A7511E">
        <w:rPr>
          <w:rFonts w:eastAsia="SimSun"/>
          <w:color w:val="000000"/>
          <w:lang w:val="en-US" w:eastAsia="zh-CN"/>
        </w:rPr>
        <w:t xml:space="preserve"> </w:t>
      </w:r>
    </w:p>
    <w:p w14:paraId="703360AC" w14:textId="0FB0CC80" w:rsidR="00704BDF" w:rsidRPr="004055E6" w:rsidRDefault="004055E6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nl-NL"/>
        </w:rPr>
      </w:pPr>
      <w:r w:rsidRPr="00A7511E">
        <w:rPr>
          <w:rFonts w:asciiTheme="minorHAnsi" w:eastAsia="MS PGothic" w:hAnsiTheme="minorHAnsi"/>
          <w:bCs/>
          <w:i/>
          <w:iCs/>
          <w:color w:val="000000"/>
          <w:sz w:val="20"/>
          <w:lang w:val="nl-NL"/>
        </w:rPr>
        <w:t xml:space="preserve">TU Delft, </w:t>
      </w:r>
      <w:r w:rsidR="0010199A">
        <w:rPr>
          <w:rFonts w:asciiTheme="minorHAnsi" w:eastAsia="MS PGothic" w:hAnsiTheme="minorHAnsi"/>
          <w:bCs/>
          <w:i/>
          <w:iCs/>
          <w:color w:val="000000"/>
          <w:sz w:val="20"/>
          <w:lang w:val="nl-NL"/>
        </w:rPr>
        <w:t xml:space="preserve">Chemical Engineering Department, </w:t>
      </w:r>
      <w:r w:rsidRPr="00A7511E">
        <w:rPr>
          <w:rFonts w:asciiTheme="minorHAnsi" w:eastAsia="MS PGothic" w:hAnsiTheme="minorHAnsi"/>
          <w:bCs/>
          <w:i/>
          <w:iCs/>
          <w:color w:val="000000"/>
          <w:sz w:val="20"/>
          <w:lang w:val="nl-NL"/>
        </w:rPr>
        <w:t>Van der Maasweg</w:t>
      </w:r>
      <w:r w:rsidRPr="004055E6">
        <w:rPr>
          <w:rFonts w:asciiTheme="minorHAnsi" w:eastAsia="MS PGothic" w:hAnsiTheme="minorHAnsi"/>
          <w:bCs/>
          <w:i/>
          <w:iCs/>
          <w:color w:val="000000"/>
          <w:sz w:val="20"/>
          <w:lang w:val="nl-NL"/>
        </w:rPr>
        <w:t xml:space="preserve"> 9, 2629 HZ  Delft</w:t>
      </w:r>
      <w:r w:rsidR="0010199A">
        <w:rPr>
          <w:rFonts w:asciiTheme="minorHAnsi" w:eastAsia="MS PGothic" w:hAnsiTheme="minorHAnsi"/>
          <w:bCs/>
          <w:i/>
          <w:iCs/>
          <w:color w:val="000000"/>
          <w:sz w:val="20"/>
          <w:lang w:val="nl-NL"/>
        </w:rPr>
        <w:t>, Netherlands</w:t>
      </w:r>
    </w:p>
    <w:p w14:paraId="7E109AB2" w14:textId="1A17C63C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055E6">
        <w:rPr>
          <w:rFonts w:asciiTheme="minorHAnsi" w:eastAsia="MS PGothic" w:hAnsiTheme="minorHAnsi"/>
          <w:bCs/>
          <w:i/>
          <w:iCs/>
          <w:sz w:val="20"/>
          <w:lang w:val="en-US"/>
        </w:rPr>
        <w:t>p.w.a.awad@tudelft.nl</w:t>
      </w:r>
    </w:p>
    <w:p w14:paraId="5E0B9460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D480E7F" w14:textId="194E491D" w:rsidR="00B43682" w:rsidRDefault="00B43682" w:rsidP="00B4368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Iron </w:t>
      </w:r>
      <w:r w:rsidR="0010199A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xide </w:t>
      </w:r>
      <w:r w:rsidR="000A244D">
        <w:rPr>
          <w:rFonts w:asciiTheme="minorHAnsi" w:hAnsiTheme="minorHAnsi"/>
        </w:rPr>
        <w:t>power plant</w:t>
      </w:r>
      <w:r>
        <w:rPr>
          <w:rFonts w:asciiTheme="minorHAnsi" w:hAnsiTheme="minorHAnsi"/>
        </w:rPr>
        <w:t xml:space="preserve"> </w:t>
      </w:r>
      <w:r w:rsidR="0010199A">
        <w:rPr>
          <w:rFonts w:asciiTheme="minorHAnsi" w:hAnsiTheme="minorHAnsi"/>
        </w:rPr>
        <w:t>conceptual design</w:t>
      </w:r>
    </w:p>
    <w:p w14:paraId="581A560B" w14:textId="0CA1FC7B" w:rsidR="005B0826" w:rsidRDefault="0087462E" w:rsidP="0087462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Reduced c</w:t>
      </w:r>
      <w:r w:rsidR="005B0826">
        <w:rPr>
          <w:rFonts w:asciiTheme="minorHAnsi" w:hAnsiTheme="minorHAnsi"/>
        </w:rPr>
        <w:t>arbon emission</w:t>
      </w:r>
      <w:r>
        <w:rPr>
          <w:rFonts w:asciiTheme="minorHAnsi" w:hAnsiTheme="minorHAnsi"/>
        </w:rPr>
        <w:t xml:space="preserve"> power plant</w:t>
      </w:r>
    </w:p>
    <w:p w14:paraId="5061265B" w14:textId="59C6ED55" w:rsidR="00B43682" w:rsidRDefault="00F30D83" w:rsidP="00B4368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Reduction of </w:t>
      </w:r>
      <w:r w:rsidR="0010199A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ron </w:t>
      </w:r>
      <w:r w:rsidR="0010199A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xide with </w:t>
      </w:r>
      <w:r w:rsidR="0010199A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arbon </w:t>
      </w:r>
      <w:r w:rsidR="0010199A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onoxide </w:t>
      </w:r>
      <w:r w:rsidR="007D2ED4">
        <w:rPr>
          <w:rFonts w:asciiTheme="minorHAnsi" w:hAnsiTheme="minorHAnsi"/>
        </w:rPr>
        <w:t>from</w:t>
      </w:r>
      <w:r>
        <w:rPr>
          <w:rFonts w:asciiTheme="minorHAnsi" w:hAnsiTheme="minorHAnsi"/>
        </w:rPr>
        <w:t xml:space="preserve"> </w:t>
      </w:r>
      <w:r w:rsidR="0010199A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ry </w:t>
      </w:r>
      <w:r w:rsidR="0010199A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ethane </w:t>
      </w:r>
      <w:r w:rsidR="0010199A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eforming </w:t>
      </w:r>
    </w:p>
    <w:p w14:paraId="46EAA75A" w14:textId="77777777" w:rsidR="00704BDF" w:rsidRPr="00A15B93" w:rsidRDefault="00704BDF" w:rsidP="00A7511E">
      <w:pPr>
        <w:pStyle w:val="AbstractBody"/>
        <w:ind w:left="0"/>
        <w:rPr>
          <w:rFonts w:eastAsia="SimSun"/>
          <w:lang w:eastAsia="zh-CN"/>
        </w:rPr>
      </w:pPr>
    </w:p>
    <w:p w14:paraId="33230F9F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31B1E20" w14:textId="42EC4009" w:rsidR="00933961" w:rsidRDefault="008F3BD7" w:rsidP="0087462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reenhouse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been </w:t>
      </w:r>
      <w:r w:rsid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exhibit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rapid increase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recently</w:t>
      </w:r>
      <w:r w:rsid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pled with the will to ensure 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security of energy supply, governments are trying to change the source of energy to other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fuel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s, 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reducing the production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emission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these gases</w:t>
      </w:r>
      <w:r w:rsid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part of these </w:t>
      </w:r>
      <w:proofErr w:type="gramStart"/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efforts</w:t>
      </w:r>
      <w:proofErr w:type="gramEnd"/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Dutch government 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decided in May 2017 to stop</w:t>
      </w:r>
      <w:r w:rsid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coal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electricity gen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eration in the very near future</w:t>
      </w:r>
      <w:r w:rsidR="00933961" w:rsidRP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25FA9E3" w14:textId="44480D9B" w:rsidR="00933961" w:rsidRDefault="0093396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objective of this </w:t>
      </w:r>
      <w:r w:rsidR="008F3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to assess the feasibility of a swift</w:t>
      </w:r>
      <w:r w:rsidR="000A24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shift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coal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-fired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power plants to metal fuels power plant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</w:t>
      </w:r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preliminary 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conceptual </w:t>
      </w:r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</w:t>
      </w:r>
      <w:proofErr w:type="gramStart"/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performed</w:t>
      </w:r>
      <w:proofErr w:type="gramEnd"/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taking 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 reference</w:t>
      </w:r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existent </w:t>
      </w:r>
      <w:proofErr w:type="spellStart"/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Uniper’s</w:t>
      </w:r>
      <w:proofErr w:type="spellEnd"/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coal power plant in Rotterdam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Netherlands</w:t>
      </w:r>
      <w:r w:rsid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91C1F3F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6E79BA9" w14:textId="2B2FF5E2" w:rsidR="00F43BE9" w:rsidRDefault="00F43BE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this </w:t>
      </w:r>
      <w:proofErr w:type="gramStart"/>
      <w:r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project</w:t>
      </w:r>
      <w:proofErr w:type="gramEnd"/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Delft Design 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Map m</w:t>
      </w:r>
      <w:r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ethod is used 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87462E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F43B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general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 </w:t>
      </w:r>
      <w:r w:rsidRPr="00F43BE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</w:t>
      </w:r>
      <w:r w:rsidR="00101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Pr="00F43B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is to explore 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wide range</w:t>
      </w:r>
      <w:r w:rsidRPr="00F43B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options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hierarchical</w:t>
      </w:r>
      <w:r w:rsidR="001E5340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</w:t>
      </w:r>
      <w:r w:rsidR="000A244D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consists of</w:t>
      </w:r>
      <w:r w:rsidR="00933961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design levels, from which the following </w:t>
      </w:r>
      <w:proofErr w:type="gramStart"/>
      <w:r w:rsidR="00933961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used</w:t>
      </w:r>
      <w:proofErr w:type="gramEnd"/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this work</w:t>
      </w:r>
      <w:r w:rsidR="00933961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: Project</w:t>
      </w:r>
      <w:r w:rsidR="009339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Framing, Costumer Wants, Input-Output Structure, Subprocesses, Task Network, Unit Network and Process Integration. </w:t>
      </w:r>
    </w:p>
    <w:p w14:paraId="2922D69B" w14:textId="56ACCA0F" w:rsidR="00CD1F5D" w:rsidRDefault="000A244D" w:rsidP="005007C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Regarding 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itself, </w:t>
      </w:r>
      <w:r w:rsidR="00CC2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current assets of the existing coal plant </w:t>
      </w:r>
      <w:proofErr w:type="gramStart"/>
      <w:r w:rsidR="00CC2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maximized</w:t>
      </w:r>
      <w:proofErr w:type="gramEnd"/>
      <w:r w:rsidR="00CC2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Preliminary and shortcut design methods were used whenever appropriate and preliminary cost estimations (</w:t>
      </w:r>
      <w:r w:rsidR="00CC27C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proofErr w:type="gramStart"/>
      <w:r w:rsidR="00CC2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35%</w:t>
      </w:r>
      <w:proofErr w:type="gramEnd"/>
      <w:r w:rsidR="00CC27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were </w:t>
      </w:r>
      <w:r w:rsidR="00231DD6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applied</w:t>
      </w:r>
      <w:r w:rsidR="00CC27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E49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 main critical design decisions characterize the project outline, reflect</w:t>
      </w:r>
      <w:r w:rsidR="005B0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final process design and the respective economic evaluation. </w:t>
      </w:r>
    </w:p>
    <w:p w14:paraId="6172125B" w14:textId="6B579D12" w:rsidR="00CD1F5D" w:rsidRDefault="00F5792E" w:rsidP="00CD1F5D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nput-output structure. </w:t>
      </w:r>
    </w:p>
    <w:p w14:paraId="7037094B" w14:textId="3B03D0CF" w:rsidR="00CD1F5D" w:rsidRPr="00E87696" w:rsidRDefault="008F3BD7" w:rsidP="00CD1F5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rocess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options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examined</w:t>
      </w:r>
      <w:proofErr w:type="gramEnd"/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input-output diagram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decide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</w:t>
      </w:r>
      <w:r w:rsidR="00CD1F5D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metal fuel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type(s)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D1F5D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regeneration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need</w:t>
      </w:r>
      <w:r w:rsidR="00CD1F5D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extent and percentage</w:t>
      </w:r>
      <w:r w:rsidR="00CD1F5D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regeneration.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CD1F5D" w:rsidRP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ow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cost of iron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ore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(mainly </w:t>
      </w:r>
      <w:proofErr w:type="spellStart"/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FeO</w:t>
      </w:r>
      <w:proofErr w:type="spellEnd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coupled with its oxidation stability and 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eographic availability are the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reasons for 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selecting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as 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 raw material. It </w:t>
      </w:r>
      <w:proofErr w:type="gramStart"/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also decided</w:t>
      </w:r>
      <w:proofErr w:type="gramEnd"/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use regeneration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proofErr w:type="spellStart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FeO</w:t>
      </w:r>
      <w:proofErr w:type="spellEnd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instead of reduction to pure Fe after some </w:t>
      </w:r>
      <w:r w:rsidR="00F579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high-level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mass balance and cost analysis calculations.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Iron Oxide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regeneration allow</w:t>
      </w:r>
      <w:r w:rsidR="00231DD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 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t reduction of</w:t>
      </w:r>
      <w:r w:rsidR="00231D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required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metal fuel needed a</w:t>
      </w:r>
      <w:r w:rsidR="00231D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well as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stream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A6C7317" w14:textId="2318A8E1" w:rsidR="00CD1F5D" w:rsidRPr="00B43682" w:rsidRDefault="00F5792E" w:rsidP="00CD1F5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number of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reducing agent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and methods for regenerating the Fe</w:t>
      </w:r>
      <w:r w:rsidRPr="007D2ED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7D2ED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combustion product were evaluated: hydrogen, carbon monoxide, iron electrolysis,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micro-organisms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biomass. </w:t>
      </w:r>
      <w:r w:rsidR="008F3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Then,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arbon monoxide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produced from dry methane reforming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CD1F5D" w:rsidRP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selected</w:t>
      </w:r>
      <w:proofErr w:type="gramEnd"/>
      <w:r w:rsidR="00CD1F5D" w:rsidRP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the advanced </w:t>
      </w:r>
      <w:r w:rsidR="00CD1F5D" w:rsidRP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development stage of the reduction reaction</w:t>
      </w:r>
      <w:r w:rsidR="00DA6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CD1F5D" w:rsidRP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low</w:t>
      </w:r>
      <w:r w:rsidR="00CD1F5D" w:rsidRP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investment. </w:t>
      </w:r>
      <w:r w:rsidR="00AE78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production of CO </w:t>
      </w:r>
      <w:r w:rsidR="00DA6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advantageous </w:t>
      </w:r>
      <w:r w:rsidR="008F3BD7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since</w:t>
      </w:r>
      <w:r w:rsidR="00DA6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uses</w:t>
      </w:r>
      <w:r w:rsidR="00CD1F5D" w:rsidRPr="00B436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carbon dio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xide to produce carbon monoxide, with hydrogen as by-product. A cyclic process </w:t>
      </w:r>
      <w:proofErr w:type="gramStart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de</w:t>
      </w:r>
      <w:r w:rsidR="00AE78EB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signed</w:t>
      </w:r>
      <w:proofErr w:type="gramEnd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minimize</w:t>
      </w:r>
      <w:r w:rsidR="008F3B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emissions and introduce a flexibility of using CH</w:t>
      </w:r>
      <w:r w:rsidR="00CD1F5D" w:rsidRPr="00E876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2F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potentially </w:t>
      </w:r>
      <w:r w:rsidR="007D2E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a bio source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supplementary fuel to the process.  </w:t>
      </w:r>
    </w:p>
    <w:p w14:paraId="7D88021B" w14:textId="77777777" w:rsidR="00CD1F5D" w:rsidRDefault="00CD1F5D" w:rsidP="00CD1F5D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thermodynamics</w:t>
      </w:r>
    </w:p>
    <w:p w14:paraId="65C5D452" w14:textId="16CB0326" w:rsidR="00CD1F5D" w:rsidRDefault="00CD1F5D" w:rsidP="00CD1F5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ntroduction of the Brayton cycle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 existing Rankine cycle was another important decision</w:t>
      </w:r>
      <w:r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 u</w:t>
      </w:r>
      <w:r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sing exhaust gases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furnace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heat the medium pressure steam results in a higher energy produced per raw material consumed. The absence of any carbon source creates an opportunity to use a turbine in this stream</w:t>
      </w:r>
      <w:r w:rsidR="00A52F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higher density providing higher separation efficiency upstream of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A52F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turbine</w:t>
      </w:r>
      <w:r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combination of these two factors result in an increase in efficiency from 47% to 60%, primarily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caused by</w:t>
      </w:r>
      <w:r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steam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temperature </w:t>
      </w:r>
      <w:r w:rsidRPr="00E87696">
        <w:rPr>
          <w:rFonts w:asciiTheme="minorHAnsi" w:eastAsia="MS PGothic" w:hAnsiTheme="minorHAnsi"/>
          <w:color w:val="000000"/>
          <w:sz w:val="22"/>
          <w:szCs w:val="22"/>
          <w:lang w:val="en-US"/>
        </w:rPr>
        <w:t>upgrade.</w:t>
      </w:r>
    </w:p>
    <w:p w14:paraId="716F3A35" w14:textId="77777777" w:rsidR="00CD1F5D" w:rsidRPr="00E87696" w:rsidRDefault="00CD1F5D" w:rsidP="00CD1F5D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Waste treatment</w:t>
      </w:r>
    </w:p>
    <w:p w14:paraId="1A21627E" w14:textId="5A9FD546" w:rsidR="00A52FA4" w:rsidRDefault="000D0832" w:rsidP="00A52FA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</w:t>
      </w:r>
      <w:r w:rsidR="00A52F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urge </w:t>
      </w:r>
      <w:r w:rsidR="00CC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stream from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C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iron cycle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CC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considered</w:t>
      </w:r>
      <w:proofErr w:type="gramEnd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 added-value stream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04DD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steel industry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04D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ompared to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63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conventional </w:t>
      </w:r>
      <w:proofErr w:type="gramStart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inlet iron ore stream</w:t>
      </w:r>
      <w:proofErr w:type="gramEnd"/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produced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iron oxide</w:t>
      </w:r>
      <w:r w:rsidR="00263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(Fe</w:t>
      </w:r>
      <w:r w:rsidR="00E14ABF" w:rsidRPr="00EA321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E14ABF" w:rsidRPr="00EA321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this process is</w:t>
      </w:r>
      <w:r w:rsidR="002630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richer in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>xygen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has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A04D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lower impurity content</w:t>
      </w:r>
      <w:r w:rsidR="00CD1F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Therefore, </w:t>
      </w:r>
      <w:r w:rsidR="0026308B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sold</w:t>
      </w:r>
      <w:proofErr w:type="gramEnd"/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interesting price</w:t>
      </w:r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E221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steel industry. Furthermore, this reduces the demand for mining in the steel industry.</w:t>
      </w:r>
    </w:p>
    <w:p w14:paraId="2E4B9230" w14:textId="3A639A40"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CAB85C0" w14:textId="4AB37829" w:rsidR="00A04625" w:rsidRDefault="00CD1F5D" w:rsidP="0006653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Preliminary design and cost evaluation for this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conceptual design resulted in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A7511E">
        <w:rPr>
          <w:rFonts w:asciiTheme="minorHAnsi" w:eastAsia="MS PGothic" w:hAnsiTheme="minorHAnsi"/>
          <w:color w:val="000000"/>
          <w:sz w:val="22"/>
          <w:szCs w:val="22"/>
          <w:lang w:val="en-US"/>
        </w:rPr>
        <w:t>1300 M</w:t>
      </w:r>
      <w:r w:rsidR="00A7511E" w:rsidRPr="00A7511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€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NPV which is unacceptable for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investment. </w:t>
      </w:r>
      <w:r w:rsidR="00271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D7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aw material demand 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proved to be the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largest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cost driver.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the project was initiated with future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cenario’s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mind. It was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already known at the start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currently</w:t>
      </w:r>
      <w:proofErr w:type="gramEnd"/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not yet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economically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feasible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he question was how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far from economic feasibility it actually is,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what need</w:t>
      </w:r>
      <w:r w:rsidR="00271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change before it 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become economically feasible, and when this </w:t>
      </w:r>
      <w:proofErr w:type="gramStart"/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expected</w:t>
      </w:r>
      <w:proofErr w:type="gramEnd"/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take place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71095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FC55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arbon tax </w:t>
      </w:r>
      <w:r w:rsidR="00E14A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in this work was </w:t>
      </w:r>
      <w:r w:rsidR="00FC55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set around </w:t>
      </w:r>
      <w:r w:rsidR="00FC556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€</w:t>
      </w:r>
      <w:r w:rsidR="00FC556A">
        <w:rPr>
          <w:rFonts w:asciiTheme="minorHAnsi" w:eastAsia="MS PGothic" w:hAnsiTheme="minorHAnsi"/>
          <w:color w:val="000000"/>
          <w:sz w:val="22"/>
          <w:szCs w:val="22"/>
          <w:lang w:val="en-US"/>
        </w:rPr>
        <w:t>50/ton but it</w:t>
      </w:r>
      <w:r w:rsidR="00271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A04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uncertain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this</w:t>
      </w:r>
      <w:r w:rsidR="00A04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shift to </w:t>
      </w:r>
      <w:r w:rsidR="00A04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values.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77C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significant reduction on the raw material price would change </w:t>
      </w:r>
      <w:r w:rsidR="00CC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NPV</w:t>
      </w:r>
      <w:r w:rsidR="00271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drastically</w:t>
      </w:r>
      <w:r w:rsidR="00CC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</w:t>
      </w:r>
      <w:proofErr w:type="gramStart"/>
      <w:r w:rsidR="00CC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achieved</w:t>
      </w:r>
      <w:proofErr w:type="gramEnd"/>
      <w:r w:rsidR="00CC3E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researching other sources for the raw material, such as metal scraps from the car industry. </w:t>
      </w:r>
    </w:p>
    <w:p w14:paraId="08A397DE" w14:textId="2BC79C6C" w:rsidR="005007C4" w:rsidRDefault="00704BDF" w:rsidP="005007C4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D563B8B" w14:textId="1E3409EF" w:rsidR="005766E9" w:rsidRDefault="00A7511E" w:rsidP="005007C4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56269F9C" wp14:editId="3DED92F7">
            <wp:simplePos x="0" y="0"/>
            <wp:positionH relativeFrom="margin">
              <wp:posOffset>3301365</wp:posOffset>
            </wp:positionH>
            <wp:positionV relativeFrom="paragraph">
              <wp:posOffset>170815</wp:posOffset>
            </wp:positionV>
            <wp:extent cx="2272665" cy="1341755"/>
            <wp:effectExtent l="0" t="0" r="13335" b="10795"/>
            <wp:wrapTight wrapText="bothSides">
              <wp:wrapPolygon edited="0">
                <wp:start x="0" y="0"/>
                <wp:lineTo x="0" y="21467"/>
                <wp:lineTo x="21546" y="21467"/>
                <wp:lineTo x="21546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etal fuel power plant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 replacement for a coal-fired power plant 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proved to be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economically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infeasible</w:t>
      </w:r>
      <w:r w:rsidR="005007C4" w:rsidRP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current circumstances and market values. However, when compared to conventional coal power plant, of which NPV is zero for </w:t>
      </w:r>
      <w:r w:rsidR="005007C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€7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2/ton carbon tax, it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reaches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same </w:t>
      </w:r>
      <w:r w:rsidR="000D08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(negative) 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NPV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once carbon tax i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5007C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€10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3</w:t>
      </w:r>
      <w:r w:rsidR="005007C4">
        <w:rPr>
          <w:rFonts w:asciiTheme="minorHAnsi" w:eastAsia="MS PGothic" w:hAnsiTheme="minorHAnsi"/>
          <w:color w:val="000000"/>
          <w:sz w:val="22"/>
          <w:szCs w:val="22"/>
          <w:lang w:val="en-US"/>
        </w:rPr>
        <w:t>/ton.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Figure 1 shows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relationship between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NPV values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carbon tax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value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for both 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 coal power plant and metal fuel</w:t>
      </w:r>
      <w:r w:rsidR="005766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</w:t>
      </w:r>
      <w:r w:rsidR="000665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872E6AD" w14:textId="13848853" w:rsidR="00704BDF" w:rsidRPr="008D0BEB" w:rsidRDefault="00704BDF" w:rsidP="005007C4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5EF7F6F3" w14:textId="5EB2DA8A" w:rsidR="00704BDF" w:rsidRPr="00A7511E" w:rsidRDefault="00A7511E" w:rsidP="0006653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nl-NL" w:eastAsia="zh-CN"/>
        </w:rPr>
      </w:pPr>
      <w:r w:rsidRPr="00A52FA4">
        <w:rPr>
          <w:rFonts w:asciiTheme="minorHAnsi" w:eastAsia="SimSun" w:hAnsiTheme="minorHAnsi"/>
          <w:sz w:val="22"/>
          <w:szCs w:val="22"/>
          <w:lang w:val="nl-NL" w:eastAsia="zh-CN"/>
        </w:rPr>
        <w:t>J. Harmsen, A.</w:t>
      </w:r>
      <w:r w:rsidRPr="00A7511E">
        <w:rPr>
          <w:rFonts w:asciiTheme="minorHAnsi" w:eastAsia="SimSun" w:hAnsiTheme="minorHAnsi"/>
          <w:sz w:val="22"/>
          <w:szCs w:val="22"/>
          <w:lang w:val="nl-NL" w:eastAsia="zh-CN"/>
        </w:rPr>
        <w:t>B. de Haan, P.L.J.Swinkels, Product and Process Design, De Gruyter, Berlin, 2018</w:t>
      </w:r>
    </w:p>
    <w:sectPr w:rsidR="00704BDF" w:rsidRPr="00A7511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9404" w14:textId="77777777" w:rsidR="00B33DD1" w:rsidRDefault="00B33DD1" w:rsidP="004F5E36">
      <w:r>
        <w:separator/>
      </w:r>
    </w:p>
  </w:endnote>
  <w:endnote w:type="continuationSeparator" w:id="0">
    <w:p w14:paraId="4C95E7B8" w14:textId="77777777" w:rsidR="00B33DD1" w:rsidRDefault="00B33DD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13489" w14:textId="77777777" w:rsidR="00B33DD1" w:rsidRDefault="00B33DD1" w:rsidP="004F5E36">
      <w:r>
        <w:separator/>
      </w:r>
    </w:p>
  </w:footnote>
  <w:footnote w:type="continuationSeparator" w:id="0">
    <w:p w14:paraId="208F9B75" w14:textId="77777777" w:rsidR="00B33DD1" w:rsidRDefault="00B33DD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AEC04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4C4221" wp14:editId="7591BB5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72CE29B0" wp14:editId="6A2240A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2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BD73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F16CF96" wp14:editId="6926789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58EB2ED" w14:textId="77777777" w:rsidR="00704BDF" w:rsidRDefault="00704BDF">
    <w:pPr>
      <w:pStyle w:val="Intestazione"/>
    </w:pPr>
  </w:p>
  <w:p w14:paraId="5E73193E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C5308" wp14:editId="1C3A132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0C0B354C"/>
    <w:multiLevelType w:val="hybridMultilevel"/>
    <w:tmpl w:val="FEAE046C"/>
    <w:lvl w:ilvl="0" w:tplc="0C7C5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1DAB"/>
    <w:rsid w:val="00062A9A"/>
    <w:rsid w:val="00066538"/>
    <w:rsid w:val="000734AD"/>
    <w:rsid w:val="000A03B2"/>
    <w:rsid w:val="000A244D"/>
    <w:rsid w:val="000D0832"/>
    <w:rsid w:val="000D0838"/>
    <w:rsid w:val="000D34BE"/>
    <w:rsid w:val="000E36F1"/>
    <w:rsid w:val="000E3A73"/>
    <w:rsid w:val="000E414A"/>
    <w:rsid w:val="000E57C6"/>
    <w:rsid w:val="0010199A"/>
    <w:rsid w:val="0013121F"/>
    <w:rsid w:val="00134DE4"/>
    <w:rsid w:val="00150E59"/>
    <w:rsid w:val="00184AD6"/>
    <w:rsid w:val="00191A48"/>
    <w:rsid w:val="001B65C1"/>
    <w:rsid w:val="001C684B"/>
    <w:rsid w:val="001D53FC"/>
    <w:rsid w:val="001E5340"/>
    <w:rsid w:val="001F2EC7"/>
    <w:rsid w:val="002065DB"/>
    <w:rsid w:val="00231DD6"/>
    <w:rsid w:val="002447EF"/>
    <w:rsid w:val="00251550"/>
    <w:rsid w:val="002559EA"/>
    <w:rsid w:val="00255F47"/>
    <w:rsid w:val="0026308B"/>
    <w:rsid w:val="00271095"/>
    <w:rsid w:val="0027221A"/>
    <w:rsid w:val="00275B61"/>
    <w:rsid w:val="002A1722"/>
    <w:rsid w:val="002C06C4"/>
    <w:rsid w:val="002D135E"/>
    <w:rsid w:val="002D1F12"/>
    <w:rsid w:val="003009B7"/>
    <w:rsid w:val="0030469C"/>
    <w:rsid w:val="00362B8E"/>
    <w:rsid w:val="003723D4"/>
    <w:rsid w:val="003A7D1C"/>
    <w:rsid w:val="004055E6"/>
    <w:rsid w:val="00411264"/>
    <w:rsid w:val="0046164A"/>
    <w:rsid w:val="00462DCD"/>
    <w:rsid w:val="004D1162"/>
    <w:rsid w:val="004E4929"/>
    <w:rsid w:val="004E4DD6"/>
    <w:rsid w:val="004F5E36"/>
    <w:rsid w:val="005007C4"/>
    <w:rsid w:val="005119A5"/>
    <w:rsid w:val="005278B7"/>
    <w:rsid w:val="005346C8"/>
    <w:rsid w:val="005766E9"/>
    <w:rsid w:val="00594E9F"/>
    <w:rsid w:val="005A4A4D"/>
    <w:rsid w:val="005B0826"/>
    <w:rsid w:val="005B414B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17E2B"/>
    <w:rsid w:val="00736B13"/>
    <w:rsid w:val="007447F3"/>
    <w:rsid w:val="007661C8"/>
    <w:rsid w:val="007C284D"/>
    <w:rsid w:val="007D2ED4"/>
    <w:rsid w:val="007D52CD"/>
    <w:rsid w:val="00813288"/>
    <w:rsid w:val="008168FC"/>
    <w:rsid w:val="008479A2"/>
    <w:rsid w:val="0087462E"/>
    <w:rsid w:val="0087637F"/>
    <w:rsid w:val="008A1512"/>
    <w:rsid w:val="008B5CC8"/>
    <w:rsid w:val="008D0BEB"/>
    <w:rsid w:val="008E566E"/>
    <w:rsid w:val="008F3BD7"/>
    <w:rsid w:val="00901EB6"/>
    <w:rsid w:val="00933961"/>
    <w:rsid w:val="009439B3"/>
    <w:rsid w:val="009450CE"/>
    <w:rsid w:val="0095164B"/>
    <w:rsid w:val="009714FB"/>
    <w:rsid w:val="00996483"/>
    <w:rsid w:val="009E788A"/>
    <w:rsid w:val="00A04625"/>
    <w:rsid w:val="00A04DD2"/>
    <w:rsid w:val="00A139D5"/>
    <w:rsid w:val="00A1763D"/>
    <w:rsid w:val="00A17CEC"/>
    <w:rsid w:val="00A27EF0"/>
    <w:rsid w:val="00A52FA4"/>
    <w:rsid w:val="00A7511E"/>
    <w:rsid w:val="00A76EFC"/>
    <w:rsid w:val="00A9626B"/>
    <w:rsid w:val="00A97F29"/>
    <w:rsid w:val="00AB0964"/>
    <w:rsid w:val="00AE377D"/>
    <w:rsid w:val="00AE78EB"/>
    <w:rsid w:val="00B33DD1"/>
    <w:rsid w:val="00B347C3"/>
    <w:rsid w:val="00B43682"/>
    <w:rsid w:val="00B61DBF"/>
    <w:rsid w:val="00B826DC"/>
    <w:rsid w:val="00BC30C9"/>
    <w:rsid w:val="00BE3E58"/>
    <w:rsid w:val="00C01616"/>
    <w:rsid w:val="00C0162B"/>
    <w:rsid w:val="00C345B1"/>
    <w:rsid w:val="00C40142"/>
    <w:rsid w:val="00C57182"/>
    <w:rsid w:val="00C64EB6"/>
    <w:rsid w:val="00C655FD"/>
    <w:rsid w:val="00C867B1"/>
    <w:rsid w:val="00C94434"/>
    <w:rsid w:val="00CA1C95"/>
    <w:rsid w:val="00CA5A9C"/>
    <w:rsid w:val="00CC27CA"/>
    <w:rsid w:val="00CC3E07"/>
    <w:rsid w:val="00CD1F5D"/>
    <w:rsid w:val="00CD5FE2"/>
    <w:rsid w:val="00D02B4C"/>
    <w:rsid w:val="00D77C07"/>
    <w:rsid w:val="00D84576"/>
    <w:rsid w:val="00DA656D"/>
    <w:rsid w:val="00DE0019"/>
    <w:rsid w:val="00DE264A"/>
    <w:rsid w:val="00DF4F99"/>
    <w:rsid w:val="00E041E7"/>
    <w:rsid w:val="00E10080"/>
    <w:rsid w:val="00E14ABF"/>
    <w:rsid w:val="00E221BF"/>
    <w:rsid w:val="00E23CA1"/>
    <w:rsid w:val="00E353E5"/>
    <w:rsid w:val="00E409A8"/>
    <w:rsid w:val="00E7209D"/>
    <w:rsid w:val="00EA3216"/>
    <w:rsid w:val="00EA50E1"/>
    <w:rsid w:val="00EE0131"/>
    <w:rsid w:val="00F30C64"/>
    <w:rsid w:val="00F30D83"/>
    <w:rsid w:val="00F43BE9"/>
    <w:rsid w:val="00F5792E"/>
    <w:rsid w:val="00FB730C"/>
    <w:rsid w:val="00FC2695"/>
    <w:rsid w:val="00FC3E03"/>
    <w:rsid w:val="00FC556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96426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43682"/>
    <w:rPr>
      <w:sz w:val="16"/>
      <w:szCs w:val="16"/>
    </w:rPr>
  </w:style>
  <w:style w:type="paragraph" w:styleId="Paragrafoelenco">
    <w:name w:val="List Paragraph"/>
    <w:basedOn w:val="Normale"/>
    <w:uiPriority w:val="34"/>
    <w:qFormat/>
    <w:locked/>
    <w:rsid w:val="00CC27CA"/>
    <w:pPr>
      <w:ind w:left="720"/>
      <w:contextualSpacing/>
    </w:pPr>
  </w:style>
  <w:style w:type="paragraph" w:styleId="Revisione">
    <w:name w:val="Revision"/>
    <w:hidden/>
    <w:uiPriority w:val="99"/>
    <w:semiHidden/>
    <w:rsid w:val="00255F4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galvobaltazar\Desktop\Courses\Q1&amp;2%20-%20ST6064%20-%20A3PD\Project\final%20MB%20and%20desig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NPV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3113670166229222"/>
          <c:y val="0.17171296296296296"/>
          <c:w val="0.82686329833770777"/>
          <c:h val="0.7773611111111110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'Final Economic Performance'!$E$6:$G$6</c:f>
              <c:strCache>
                <c:ptCount val="1"/>
                <c:pt idx="0">
                  <c:v>Metal Fuels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'Final Economic Performance'!$Q$6:$Q$21</c:f>
              <c:numCache>
                <c:formatCode>General</c:formatCode>
                <c:ptCount val="16"/>
                <c:pt idx="0">
                  <c:v>35</c:v>
                </c:pt>
                <c:pt idx="1">
                  <c:v>50</c:v>
                </c:pt>
                <c:pt idx="2">
                  <c:v>72</c:v>
                </c:pt>
                <c:pt idx="3">
                  <c:v>75</c:v>
                </c:pt>
                <c:pt idx="4">
                  <c:v>105</c:v>
                </c:pt>
              </c:numCache>
            </c:numRef>
          </c:xVal>
          <c:yVal>
            <c:numRef>
              <c:f>'Final Economic Performance'!$S$6:$S$21</c:f>
              <c:numCache>
                <c:formatCode>General</c:formatCode>
                <c:ptCount val="16"/>
                <c:pt idx="0">
                  <c:v>-1043</c:v>
                </c:pt>
                <c:pt idx="1">
                  <c:v>-1303</c:v>
                </c:pt>
                <c:pt idx="2">
                  <c:v>-1685</c:v>
                </c:pt>
                <c:pt idx="3">
                  <c:v>-1738</c:v>
                </c:pt>
                <c:pt idx="4">
                  <c:v>-2259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9B1-4DF9-87D3-77C81159020E}"/>
            </c:ext>
          </c:extLst>
        </c:ser>
        <c:ser>
          <c:idx val="1"/>
          <c:order val="1"/>
          <c:tx>
            <c:strRef>
              <c:f>'Final Economic Performance'!$K$6:$M$6</c:f>
              <c:strCache>
                <c:ptCount val="1"/>
                <c:pt idx="0">
                  <c:v>Coal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'Final Economic Performance'!$Q$6:$Q$21</c:f>
              <c:numCache>
                <c:formatCode>General</c:formatCode>
                <c:ptCount val="16"/>
                <c:pt idx="0">
                  <c:v>35</c:v>
                </c:pt>
                <c:pt idx="1">
                  <c:v>50</c:v>
                </c:pt>
                <c:pt idx="2">
                  <c:v>72</c:v>
                </c:pt>
                <c:pt idx="3">
                  <c:v>75</c:v>
                </c:pt>
                <c:pt idx="4">
                  <c:v>105</c:v>
                </c:pt>
              </c:numCache>
            </c:numRef>
          </c:xVal>
          <c:yVal>
            <c:numRef>
              <c:f>'Final Economic Performance'!$T$6:$T$21</c:f>
              <c:numCache>
                <c:formatCode>General</c:formatCode>
                <c:ptCount val="16"/>
                <c:pt idx="0">
                  <c:v>2703</c:v>
                </c:pt>
                <c:pt idx="1">
                  <c:v>1625</c:v>
                </c:pt>
                <c:pt idx="2">
                  <c:v>43</c:v>
                </c:pt>
                <c:pt idx="3">
                  <c:v>-172</c:v>
                </c:pt>
                <c:pt idx="4">
                  <c:v>-2329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9B1-4DF9-87D3-77C8115902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6352584"/>
        <c:axId val="456353368"/>
      </c:scatterChart>
      <c:valAx>
        <c:axId val="456352584"/>
        <c:scaling>
          <c:orientation val="minMax"/>
          <c:min val="3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Carbon</a:t>
                </a:r>
                <a:r>
                  <a:rPr lang="nl-NL" baseline="0"/>
                  <a:t> tax (</a:t>
                </a:r>
                <a:r>
                  <a:rPr lang="nl-NL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€/tCO2)</a:t>
                </a:r>
                <a:endParaRPr lang="nl-NL"/>
              </a:p>
            </c:rich>
          </c:tx>
          <c:layout>
            <c:manualLayout>
              <c:xMode val="edge"/>
              <c:yMode val="edge"/>
              <c:x val="0.51939479440069991"/>
              <c:y val="0.929606299212598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56353368"/>
        <c:crosses val="autoZero"/>
        <c:crossBetween val="midCat"/>
      </c:valAx>
      <c:valAx>
        <c:axId val="4563533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M</a:t>
                </a:r>
                <a:r>
                  <a:rPr lang="nl-NL">
                    <a:latin typeface="Calibri" panose="020F0502020204030204" pitchFamily="34" charset="0"/>
                    <a:cs typeface="Calibri" panose="020F0502020204030204" pitchFamily="34" charset="0"/>
                  </a:rPr>
                  <a:t>€</a:t>
                </a:r>
                <a:endParaRPr lang="nl-N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563525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967137782855992"/>
          <c:y val="0.23677323891560531"/>
          <c:w val="0.43032862217143991"/>
          <c:h val="0.219471763718880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5771-C4B6-4111-8529-C0034B5B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2019-06-17T10:46:00Z</dcterms:created>
  <dcterms:modified xsi:type="dcterms:W3CDTF">2019-06-17T10:46:00Z</dcterms:modified>
</cp:coreProperties>
</file>