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090A94" w:rsidRPr="00097687" w:rsidRDefault="00090A94" w:rsidP="002A1939">
      <w:pPr>
        <w:keepNext/>
        <w:pBdr>
          <w:top w:val="nil"/>
          <w:left w:val="nil"/>
          <w:bottom w:val="nil"/>
          <w:right w:val="nil"/>
          <w:between w:val="nil"/>
        </w:pBdr>
        <w:tabs>
          <w:tab w:val="right" w:pos="9070"/>
        </w:tabs>
        <w:spacing w:after="120"/>
        <w:jc w:val="center"/>
        <w:rPr>
          <w:rFonts w:ascii="Calibri" w:eastAsia="Calibri" w:hAnsi="Calibri" w:cs="Calibri"/>
          <w:b/>
          <w:sz w:val="28"/>
          <w:szCs w:val="28"/>
          <w:lang w:eastAsia="en-GB"/>
        </w:rPr>
      </w:pPr>
      <w:r w:rsidRPr="00097687">
        <w:rPr>
          <w:rFonts w:ascii="Calibri" w:eastAsia="Calibri" w:hAnsi="Calibri" w:cs="Calibri"/>
          <w:b/>
          <w:sz w:val="28"/>
          <w:szCs w:val="28"/>
          <w:lang w:eastAsia="en-GB"/>
        </w:rPr>
        <w:lastRenderedPageBreak/>
        <w:t xml:space="preserve">BIOCOMPATIBLE EXTRACTION OF </w:t>
      </w:r>
      <w:r w:rsidRPr="00090A94">
        <w:rPr>
          <w:rFonts w:ascii="Calibri" w:eastAsia="Calibri" w:hAnsi="Calibri" w:cs="Calibri"/>
          <w:b/>
          <w:sz w:val="28"/>
          <w:szCs w:val="28"/>
          <w:lang w:val="en-US" w:eastAsia="en-GB"/>
        </w:rPr>
        <w:t>β</w:t>
      </w:r>
      <w:r w:rsidRPr="00097687">
        <w:rPr>
          <w:rFonts w:ascii="Calibri" w:eastAsia="Calibri" w:hAnsi="Calibri" w:cs="Calibri"/>
          <w:b/>
          <w:sz w:val="28"/>
          <w:szCs w:val="28"/>
          <w:lang w:eastAsia="en-GB"/>
        </w:rPr>
        <w:t xml:space="preserve">-CAROTENE FROM </w:t>
      </w:r>
      <w:r w:rsidR="002A1939" w:rsidRPr="00097687">
        <w:rPr>
          <w:rFonts w:ascii="Calibri" w:eastAsia="Calibri" w:hAnsi="Calibri" w:cs="Calibri"/>
          <w:b/>
          <w:i/>
          <w:sz w:val="28"/>
          <w:szCs w:val="28"/>
          <w:lang w:eastAsia="en-GB"/>
        </w:rPr>
        <w:t xml:space="preserve">DUNALIELLA SALINA </w:t>
      </w:r>
      <w:r w:rsidR="00A527AF" w:rsidRPr="00097687">
        <w:rPr>
          <w:rFonts w:ascii="Calibri" w:eastAsia="Calibri" w:hAnsi="Calibri" w:cs="Calibri"/>
          <w:b/>
          <w:i/>
          <w:sz w:val="28"/>
          <w:szCs w:val="28"/>
          <w:lang w:eastAsia="en-GB"/>
        </w:rPr>
        <w:t>–</w:t>
      </w:r>
      <w:r w:rsidR="002A1939" w:rsidRPr="00097687">
        <w:rPr>
          <w:rFonts w:ascii="Calibri" w:eastAsia="Calibri" w:hAnsi="Calibri" w:cs="Calibri"/>
          <w:b/>
          <w:sz w:val="28"/>
          <w:szCs w:val="28"/>
          <w:lang w:eastAsia="en-GB"/>
        </w:rPr>
        <w:t xml:space="preserve"> </w:t>
      </w:r>
      <w:r w:rsidR="00A527AF" w:rsidRPr="00097687">
        <w:rPr>
          <w:rFonts w:ascii="Calibri" w:eastAsia="Calibri" w:hAnsi="Calibri" w:cs="Calibri"/>
          <w:b/>
          <w:sz w:val="28"/>
          <w:szCs w:val="28"/>
          <w:lang w:eastAsia="en-GB"/>
        </w:rPr>
        <w:t>N</w:t>
      </w:r>
      <w:r w:rsidRPr="00097687">
        <w:rPr>
          <w:rFonts w:ascii="Calibri" w:eastAsia="Calibri" w:hAnsi="Calibri" w:cs="Calibri"/>
          <w:b/>
          <w:sz w:val="28"/>
          <w:szCs w:val="28"/>
          <w:lang w:eastAsia="en-GB"/>
        </w:rPr>
        <w:t>EW CONTRIBUTION</w:t>
      </w:r>
    </w:p>
    <w:p w:rsidR="00090A94" w:rsidRPr="00097687" w:rsidRDefault="00090A94" w:rsidP="00090A94">
      <w:pPr>
        <w:spacing w:after="120"/>
        <w:jc w:val="center"/>
        <w:rPr>
          <w:rFonts w:ascii="Calibri" w:eastAsia="Calibri" w:hAnsi="Calibri" w:cs="Calibri"/>
          <w:sz w:val="24"/>
          <w:szCs w:val="24"/>
          <w:lang w:eastAsia="en-GB"/>
        </w:rPr>
      </w:pPr>
      <w:r w:rsidRPr="00097687">
        <w:rPr>
          <w:rFonts w:ascii="Calibri" w:eastAsia="Calibri" w:hAnsi="Calibri" w:cs="Calibri"/>
          <w:color w:val="000000"/>
          <w:sz w:val="24"/>
          <w:szCs w:val="24"/>
          <w:u w:val="single"/>
          <w:lang w:eastAsia="en-GB"/>
        </w:rPr>
        <w:t>Guillaume Tanguy*</w:t>
      </w:r>
      <w:r w:rsidRPr="00097687">
        <w:rPr>
          <w:rFonts w:ascii="Calibri" w:eastAsia="Calibri" w:hAnsi="Calibri" w:cs="Calibri"/>
          <w:color w:val="000000"/>
          <w:sz w:val="24"/>
          <w:szCs w:val="24"/>
          <w:u w:val="single"/>
          <w:vertAlign w:val="superscript"/>
          <w:lang w:eastAsia="en-GB"/>
        </w:rPr>
        <w:t>1,2</w:t>
      </w:r>
      <w:r w:rsidRPr="00097687">
        <w:rPr>
          <w:rFonts w:ascii="Calibri" w:eastAsia="Calibri" w:hAnsi="Calibri" w:cs="Calibri"/>
          <w:color w:val="000000"/>
          <w:sz w:val="24"/>
          <w:szCs w:val="24"/>
          <w:lang w:eastAsia="en-GB"/>
        </w:rPr>
        <w:t xml:space="preserve">, </w:t>
      </w:r>
      <w:r w:rsidRPr="00097687">
        <w:rPr>
          <w:rFonts w:ascii="Calibri" w:eastAsia="Calibri" w:hAnsi="Calibri" w:cs="Calibri"/>
          <w:sz w:val="24"/>
          <w:szCs w:val="24"/>
          <w:lang w:eastAsia="en-GB"/>
        </w:rPr>
        <w:t>Olivier Goncalves</w:t>
      </w:r>
      <w:r w:rsidRPr="00097687">
        <w:rPr>
          <w:rFonts w:ascii="Calibri" w:eastAsia="Calibri" w:hAnsi="Calibri" w:cs="Calibri"/>
          <w:sz w:val="24"/>
          <w:szCs w:val="24"/>
          <w:vertAlign w:val="superscript"/>
          <w:lang w:eastAsia="en-GB"/>
        </w:rPr>
        <w:t>1</w:t>
      </w:r>
      <w:r w:rsidRPr="00097687">
        <w:rPr>
          <w:rFonts w:ascii="Calibri" w:eastAsia="Calibri" w:hAnsi="Calibri" w:cs="Calibri"/>
          <w:sz w:val="24"/>
          <w:szCs w:val="24"/>
          <w:lang w:eastAsia="en-GB"/>
        </w:rPr>
        <w:t xml:space="preserve">, </w:t>
      </w:r>
      <w:r w:rsidRPr="00097687">
        <w:rPr>
          <w:rFonts w:ascii="Calibri" w:eastAsia="Calibri" w:hAnsi="Calibri" w:cs="Calibri"/>
          <w:color w:val="000000"/>
          <w:sz w:val="24"/>
          <w:szCs w:val="24"/>
          <w:lang w:eastAsia="en-GB"/>
        </w:rPr>
        <w:t>Benoît Schoefs</w:t>
      </w:r>
      <w:r w:rsidRPr="00097687">
        <w:rPr>
          <w:rFonts w:ascii="Calibri" w:eastAsia="Calibri" w:hAnsi="Calibri" w:cs="Calibri"/>
          <w:color w:val="000000"/>
          <w:sz w:val="24"/>
          <w:szCs w:val="24"/>
          <w:vertAlign w:val="superscript"/>
          <w:lang w:eastAsia="en-GB"/>
        </w:rPr>
        <w:t>2</w:t>
      </w:r>
      <w:r w:rsidRPr="00097687">
        <w:rPr>
          <w:rFonts w:ascii="Calibri" w:eastAsia="Calibri" w:hAnsi="Calibri" w:cs="Calibri"/>
          <w:sz w:val="24"/>
          <w:szCs w:val="24"/>
          <w:lang w:eastAsia="en-GB"/>
        </w:rPr>
        <w:t>, Luc Marchal</w:t>
      </w:r>
      <w:r w:rsidRPr="00097687">
        <w:rPr>
          <w:rFonts w:ascii="Calibri" w:eastAsia="Calibri" w:hAnsi="Calibri" w:cs="Calibri"/>
          <w:sz w:val="24"/>
          <w:szCs w:val="24"/>
          <w:vertAlign w:val="superscript"/>
          <w:lang w:eastAsia="en-GB"/>
        </w:rPr>
        <w:t>1</w:t>
      </w:r>
    </w:p>
    <w:p w:rsidR="00090A94" w:rsidRPr="00CF495B" w:rsidRDefault="00090A94" w:rsidP="00090A94">
      <w:pPr>
        <w:spacing w:after="120"/>
        <w:jc w:val="center"/>
        <w:rPr>
          <w:rFonts w:asciiTheme="minorHAnsi" w:eastAsia="Arial" w:hAnsiTheme="minorHAnsi" w:cstheme="minorHAnsi"/>
          <w:i/>
          <w:color w:val="000000"/>
          <w:sz w:val="20"/>
          <w:lang w:eastAsia="en-GB"/>
        </w:rPr>
      </w:pPr>
      <w:r w:rsidRPr="00CF495B">
        <w:rPr>
          <w:rFonts w:asciiTheme="minorHAnsi" w:eastAsia="Arial" w:hAnsiTheme="minorHAnsi" w:cstheme="minorHAnsi"/>
          <w:i/>
          <w:color w:val="000000"/>
          <w:sz w:val="20"/>
          <w:lang w:eastAsia="en-GB"/>
        </w:rPr>
        <w:t xml:space="preserve">1 </w:t>
      </w:r>
      <w:r w:rsidR="00CF495B" w:rsidRPr="00CF495B">
        <w:rPr>
          <w:rFonts w:asciiTheme="minorHAnsi" w:eastAsia="Arial" w:hAnsiTheme="minorHAnsi" w:cstheme="minorHAnsi"/>
          <w:i/>
          <w:color w:val="000000"/>
          <w:sz w:val="20"/>
          <w:lang w:eastAsia="en-GB"/>
        </w:rPr>
        <w:t>Process engineering</w:t>
      </w:r>
      <w:r w:rsidR="00CF495B">
        <w:rPr>
          <w:rFonts w:asciiTheme="minorHAnsi" w:eastAsia="Arial" w:hAnsiTheme="minorHAnsi" w:cstheme="minorHAnsi"/>
          <w:i/>
          <w:color w:val="000000"/>
          <w:sz w:val="20"/>
          <w:lang w:eastAsia="en-GB"/>
        </w:rPr>
        <w:t>, environment and food processing</w:t>
      </w:r>
      <w:r w:rsidRPr="00CF495B">
        <w:rPr>
          <w:rFonts w:asciiTheme="minorHAnsi" w:eastAsia="Arial" w:hAnsiTheme="minorHAnsi" w:cstheme="minorHAnsi"/>
          <w:i/>
          <w:color w:val="000000"/>
          <w:sz w:val="20"/>
          <w:lang w:eastAsia="en-GB"/>
        </w:rPr>
        <w:t>,</w:t>
      </w:r>
      <w:r w:rsidR="00CF495B" w:rsidRPr="001942BE">
        <w:rPr>
          <w:rFonts w:asciiTheme="minorHAnsi" w:eastAsia="Arial" w:hAnsiTheme="minorHAnsi" w:cstheme="minorHAnsi"/>
          <w:i/>
          <w:color w:val="000000"/>
          <w:sz w:val="20"/>
          <w:lang w:eastAsia="en-GB"/>
        </w:rPr>
        <w:t xml:space="preserve"> </w:t>
      </w:r>
      <w:r w:rsidR="001942BE" w:rsidRPr="001942BE">
        <w:rPr>
          <w:rFonts w:asciiTheme="minorHAnsi" w:eastAsia="Arial" w:hAnsiTheme="minorHAnsi" w:cstheme="minorHAnsi"/>
          <w:i/>
          <w:color w:val="000000"/>
          <w:sz w:val="20"/>
          <w:lang w:eastAsia="en-GB"/>
        </w:rPr>
        <w:t>GEPEA</w:t>
      </w:r>
      <w:r w:rsidR="00CF495B">
        <w:br/>
      </w:r>
      <w:r w:rsidR="00CF495B" w:rsidRPr="00CF495B">
        <w:rPr>
          <w:rFonts w:asciiTheme="minorHAnsi" w:eastAsia="Arial" w:hAnsiTheme="minorHAnsi" w:cstheme="minorHAnsi"/>
          <w:i/>
          <w:color w:val="000000"/>
          <w:sz w:val="20"/>
          <w:lang w:eastAsia="en-GB"/>
        </w:rPr>
        <w:t>UMR – FR 6144 CNRS</w:t>
      </w:r>
      <w:r w:rsidRPr="00CF495B">
        <w:rPr>
          <w:rFonts w:asciiTheme="minorHAnsi" w:eastAsia="Arial" w:hAnsiTheme="minorHAnsi" w:cstheme="minorHAnsi"/>
          <w:i/>
          <w:color w:val="000000"/>
          <w:sz w:val="20"/>
          <w:lang w:eastAsia="en-GB"/>
        </w:rPr>
        <w:t>,</w:t>
      </w:r>
      <w:r w:rsidR="00CF495B" w:rsidRPr="00CF495B">
        <w:rPr>
          <w:rFonts w:asciiTheme="minorHAnsi" w:eastAsia="Arial" w:hAnsiTheme="minorHAnsi" w:cstheme="minorHAnsi"/>
          <w:i/>
          <w:color w:val="000000"/>
          <w:sz w:val="20"/>
          <w:lang w:eastAsia="en-GB"/>
        </w:rPr>
        <w:t xml:space="preserve"> Nantes University,</w:t>
      </w:r>
      <w:r w:rsidRPr="00CF495B">
        <w:rPr>
          <w:rFonts w:asciiTheme="minorHAnsi" w:eastAsia="Arial" w:hAnsiTheme="minorHAnsi" w:cstheme="minorHAnsi"/>
          <w:i/>
          <w:color w:val="000000"/>
          <w:sz w:val="20"/>
          <w:lang w:eastAsia="en-GB"/>
        </w:rPr>
        <w:t xml:space="preserve"> Saint-Nazaire</w:t>
      </w:r>
      <w:r w:rsidR="00CF495B" w:rsidRPr="00CF495B">
        <w:rPr>
          <w:rFonts w:asciiTheme="minorHAnsi" w:eastAsia="Arial" w:hAnsiTheme="minorHAnsi" w:cstheme="minorHAnsi"/>
          <w:i/>
          <w:color w:val="000000"/>
          <w:sz w:val="20"/>
          <w:lang w:eastAsia="en-GB"/>
        </w:rPr>
        <w:t>, France</w:t>
      </w:r>
    </w:p>
    <w:p w:rsidR="00090A94" w:rsidRPr="00097687" w:rsidRDefault="00090A94" w:rsidP="00090A94">
      <w:pPr>
        <w:spacing w:after="120"/>
        <w:jc w:val="center"/>
        <w:rPr>
          <w:rFonts w:asciiTheme="minorHAnsi" w:eastAsia="Calibri" w:hAnsiTheme="minorHAnsi" w:cstheme="minorHAnsi"/>
          <w:i/>
          <w:color w:val="000000"/>
          <w:sz w:val="20"/>
          <w:lang w:eastAsia="en-GB"/>
        </w:rPr>
      </w:pPr>
      <w:r w:rsidRPr="00097687">
        <w:rPr>
          <w:rFonts w:asciiTheme="minorHAnsi" w:eastAsia="Arial" w:hAnsiTheme="minorHAnsi" w:cstheme="minorHAnsi"/>
          <w:i/>
          <w:color w:val="000000"/>
          <w:sz w:val="20"/>
          <w:lang w:eastAsia="en-GB"/>
        </w:rPr>
        <w:t xml:space="preserve">2 </w:t>
      </w:r>
      <w:r w:rsidRPr="00097687">
        <w:rPr>
          <w:rFonts w:asciiTheme="minorHAnsi" w:eastAsia="Arial" w:hAnsiTheme="minorHAnsi" w:cstheme="minorHAnsi"/>
          <w:i/>
          <w:sz w:val="20"/>
          <w:lang w:eastAsia="en-GB"/>
        </w:rPr>
        <w:t>Metabolism, bioengIneering of Molecules from Microalgae and App</w:t>
      </w:r>
      <w:r w:rsidR="00CF495B" w:rsidRPr="00097687">
        <w:rPr>
          <w:rFonts w:asciiTheme="minorHAnsi" w:eastAsia="Arial" w:hAnsiTheme="minorHAnsi" w:cstheme="minorHAnsi"/>
          <w:i/>
          <w:sz w:val="20"/>
          <w:lang w:eastAsia="en-GB"/>
        </w:rPr>
        <w:t>lications, Mer Molécules Santé,</w:t>
      </w:r>
      <w:r w:rsidRPr="00097687">
        <w:rPr>
          <w:rFonts w:asciiTheme="minorHAnsi" w:eastAsia="Arial" w:hAnsiTheme="minorHAnsi" w:cstheme="minorHAnsi"/>
          <w:i/>
          <w:sz w:val="20"/>
          <w:lang w:eastAsia="en-GB"/>
        </w:rPr>
        <w:br/>
        <w:t xml:space="preserve"> IUML - FR 3473 CNRS, Le Mans University, Le Mans, France</w:t>
      </w:r>
    </w:p>
    <w:p w:rsidR="00090A94" w:rsidRPr="00CF495B" w:rsidRDefault="00090A94" w:rsidP="00CF495B">
      <w:pPr>
        <w:jc w:val="center"/>
        <w:rPr>
          <w:rFonts w:ascii="Calibri" w:eastAsia="Calibri" w:hAnsi="Calibri" w:cs="Calibri"/>
          <w:i/>
          <w:sz w:val="20"/>
          <w:lang w:val="en-US" w:eastAsia="en-GB"/>
        </w:rPr>
      </w:pPr>
      <w:r w:rsidRPr="00F017A5">
        <w:rPr>
          <w:rFonts w:ascii="Calibri" w:eastAsia="Calibri" w:hAnsi="Calibri" w:cs="Calibri"/>
          <w:i/>
          <w:color w:val="000000"/>
          <w:sz w:val="20"/>
          <w:lang w:val="en-US" w:eastAsia="en-GB"/>
        </w:rPr>
        <w:t>*Corresponding author</w:t>
      </w:r>
      <w:r w:rsidRPr="00F017A5">
        <w:rPr>
          <w:rFonts w:ascii="Calibri" w:eastAsia="Calibri" w:hAnsi="Calibri" w:cs="Calibri"/>
          <w:i/>
          <w:sz w:val="20"/>
          <w:lang w:val="en-US" w:eastAsia="en-GB"/>
        </w:rPr>
        <w:t>: Guillaume.tanguy1@univ-nantes.fr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0B17B8" w:rsidRPr="000B17B8" w:rsidRDefault="000B17B8" w:rsidP="000B17B8">
      <w:pPr>
        <w:pStyle w:val="Paragraphedeliste"/>
        <w:numPr>
          <w:ilvl w:val="0"/>
          <w:numId w:val="16"/>
        </w:numPr>
        <w:rPr>
          <w:rFonts w:asciiTheme="minorHAnsi" w:hAnsiTheme="minorHAnsi"/>
          <w:sz w:val="20"/>
          <w:lang w:val="en-US"/>
        </w:rPr>
      </w:pPr>
      <w:r w:rsidRPr="000B17B8">
        <w:rPr>
          <w:rFonts w:asciiTheme="minorHAnsi" w:hAnsiTheme="minorHAnsi"/>
          <w:sz w:val="20"/>
          <w:lang w:val="en-US"/>
        </w:rPr>
        <w:t>The extraction is biocompatible at the culture level but not at the cell level</w:t>
      </w:r>
    </w:p>
    <w:p w:rsidR="000B17B8" w:rsidRPr="000B17B8" w:rsidRDefault="000B17B8" w:rsidP="000B17B8">
      <w:pPr>
        <w:pStyle w:val="Paragraphedeliste"/>
        <w:numPr>
          <w:ilvl w:val="0"/>
          <w:numId w:val="16"/>
        </w:numPr>
        <w:rPr>
          <w:rFonts w:asciiTheme="minorHAnsi" w:hAnsiTheme="minorHAnsi"/>
          <w:sz w:val="20"/>
          <w:lang w:val="en-US"/>
        </w:rPr>
      </w:pPr>
      <w:r w:rsidRPr="000B17B8">
        <w:rPr>
          <w:rFonts w:asciiTheme="minorHAnsi" w:hAnsiTheme="minorHAnsi"/>
          <w:sz w:val="20"/>
          <w:lang w:val="en-US"/>
        </w:rPr>
        <w:t>The biocompatibility of the extraction follows a granulo-selective phenomenon</w:t>
      </w:r>
    </w:p>
    <w:p w:rsidR="000B17B8" w:rsidRPr="000B17B8" w:rsidRDefault="000B17B8" w:rsidP="000B17B8">
      <w:pPr>
        <w:pStyle w:val="Paragraphedeliste"/>
        <w:numPr>
          <w:ilvl w:val="0"/>
          <w:numId w:val="16"/>
        </w:numPr>
        <w:rPr>
          <w:rFonts w:asciiTheme="minorHAnsi" w:hAnsiTheme="minorHAnsi"/>
          <w:sz w:val="20"/>
          <w:lang w:val="en-US"/>
        </w:rPr>
      </w:pPr>
      <w:r w:rsidRPr="000B17B8">
        <w:rPr>
          <w:rFonts w:asciiTheme="minorHAnsi" w:hAnsiTheme="minorHAnsi"/>
          <w:sz w:val="20"/>
          <w:lang w:val="en-US"/>
        </w:rPr>
        <w:t xml:space="preserve">The extraction kinetics were obtained using Centrifugal Partition Chromatography </w:t>
      </w:r>
    </w:p>
    <w:p w:rsidR="00704BDF" w:rsidRPr="00090A94" w:rsidRDefault="00704BDF" w:rsidP="00704BDF">
      <w:pPr>
        <w:snapToGrid w:val="0"/>
        <w:spacing w:after="120"/>
        <w:jc w:val="center"/>
        <w:rPr>
          <w:rFonts w:eastAsia="SimSun"/>
          <w:bCs/>
          <w:i/>
          <w:iCs/>
          <w:color w:val="0000FF"/>
          <w:sz w:val="20"/>
          <w:lang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B17B8" w:rsidRDefault="000B17B8" w:rsidP="000B17B8">
      <w:pPr>
        <w:snapToGrid w:val="0"/>
        <w:spacing w:after="120"/>
      </w:pPr>
      <w:r w:rsidRPr="000B17B8">
        <w:rPr>
          <w:rFonts w:asciiTheme="minorHAnsi" w:eastAsia="MS PGothic" w:hAnsiTheme="minorHAnsi"/>
          <w:color w:val="000000"/>
          <w:sz w:val="22"/>
          <w:szCs w:val="22"/>
          <w:lang w:val="en-US"/>
        </w:rPr>
        <w:t xml:space="preserve">Biotechnological production of carotenoids from the green microalga </w:t>
      </w:r>
      <w:r w:rsidRPr="002A1939">
        <w:rPr>
          <w:rFonts w:asciiTheme="minorHAnsi" w:eastAsia="MS PGothic" w:hAnsiTheme="minorHAnsi"/>
          <w:i/>
          <w:color w:val="000000"/>
          <w:sz w:val="22"/>
          <w:szCs w:val="22"/>
          <w:lang w:val="en-US"/>
        </w:rPr>
        <w:t>Dunaliella salina</w:t>
      </w:r>
      <w:r w:rsidRPr="000B17B8">
        <w:rPr>
          <w:rFonts w:asciiTheme="minorHAnsi" w:eastAsia="MS PGothic" w:hAnsiTheme="minorHAnsi"/>
          <w:color w:val="000000"/>
          <w:sz w:val="22"/>
          <w:szCs w:val="22"/>
          <w:lang w:val="en-US"/>
        </w:rPr>
        <w:t xml:space="preserve"> involves two steps: (</w:t>
      </w:r>
      <w:proofErr w:type="spellStart"/>
      <w:r w:rsidRPr="000B17B8">
        <w:rPr>
          <w:rFonts w:asciiTheme="minorHAnsi" w:eastAsia="MS PGothic" w:hAnsiTheme="minorHAnsi"/>
          <w:color w:val="000000"/>
          <w:sz w:val="22"/>
          <w:szCs w:val="22"/>
          <w:lang w:val="en-US"/>
        </w:rPr>
        <w:t>i</w:t>
      </w:r>
      <w:proofErr w:type="spellEnd"/>
      <w:r w:rsidRPr="000B17B8">
        <w:rPr>
          <w:rFonts w:asciiTheme="minorHAnsi" w:eastAsia="MS PGothic" w:hAnsiTheme="minorHAnsi"/>
          <w:color w:val="000000"/>
          <w:sz w:val="22"/>
          <w:szCs w:val="22"/>
          <w:lang w:val="en-US"/>
        </w:rPr>
        <w:t>) biomass growth followed by β-carotene accumulation inside the cell and (ii) carotenoid extraction. Microalgae milking was introduced for the recovery of biomolecules directly from culture broth using long-chain alkanes as solvent [1]. In this condition, photosynthesis was not highly impacted [2] and the fraction of extracted β-carotene from biomass exceeded the fraction of disrupted cells [3]. In a biocompatible extraction or in situ extraction concept, cells remain alive during extraction and the extracted molecules can be re-accumulate [1].</w:t>
      </w:r>
      <w:r w:rsidRPr="000B17B8">
        <w:t xml:space="preserve"> </w:t>
      </w:r>
    </w:p>
    <w:p w:rsidR="000B17B8" w:rsidRPr="000B17B8" w:rsidRDefault="000B17B8" w:rsidP="000B17B8">
      <w:pPr>
        <w:snapToGrid w:val="0"/>
        <w:spacing w:after="120"/>
        <w:rPr>
          <w:rFonts w:asciiTheme="minorHAnsi" w:eastAsia="MS PGothic" w:hAnsiTheme="minorHAnsi"/>
          <w:color w:val="000000"/>
          <w:sz w:val="22"/>
          <w:szCs w:val="22"/>
          <w:lang w:val="en-US"/>
        </w:rPr>
      </w:pPr>
      <w:r w:rsidRPr="000B17B8">
        <w:rPr>
          <w:rFonts w:asciiTheme="minorHAnsi" w:eastAsia="MS PGothic" w:hAnsiTheme="minorHAnsi"/>
          <w:color w:val="000000"/>
          <w:sz w:val="22"/>
          <w:szCs w:val="22"/>
          <w:lang w:val="en-US"/>
        </w:rPr>
        <w:t xml:space="preserve">The aim of this study was to determine how the extraction of β-carotene from the green microalga </w:t>
      </w:r>
      <w:r w:rsidRPr="002A1939">
        <w:rPr>
          <w:rFonts w:asciiTheme="minorHAnsi" w:eastAsia="MS PGothic" w:hAnsiTheme="minorHAnsi"/>
          <w:i/>
          <w:color w:val="000000"/>
          <w:sz w:val="22"/>
          <w:szCs w:val="22"/>
          <w:lang w:val="en-US"/>
        </w:rPr>
        <w:t>Dunaliella salina</w:t>
      </w:r>
      <w:r w:rsidRPr="000B17B8">
        <w:rPr>
          <w:rFonts w:asciiTheme="minorHAnsi" w:eastAsia="MS PGothic" w:hAnsiTheme="minorHAnsi"/>
          <w:color w:val="000000"/>
          <w:sz w:val="22"/>
          <w:szCs w:val="22"/>
          <w:lang w:val="en-US"/>
        </w:rPr>
        <w:t xml:space="preserve"> was biocompatible. The solvent used was </w:t>
      </w:r>
      <w:r w:rsidRPr="000B17B8">
        <w:rPr>
          <w:rFonts w:asciiTheme="minorHAnsi" w:eastAsia="MS PGothic" w:hAnsiTheme="minorHAnsi"/>
          <w:i/>
          <w:color w:val="000000"/>
          <w:sz w:val="22"/>
          <w:szCs w:val="22"/>
          <w:lang w:val="en-US"/>
        </w:rPr>
        <w:t>n</w:t>
      </w:r>
      <w:r w:rsidRPr="000B17B8">
        <w:rPr>
          <w:rFonts w:asciiTheme="minorHAnsi" w:eastAsia="MS PGothic" w:hAnsiTheme="minorHAnsi"/>
          <w:color w:val="000000"/>
          <w:sz w:val="22"/>
          <w:szCs w:val="22"/>
          <w:lang w:val="en-US"/>
        </w:rPr>
        <w:t>-decane and two extraction parameters were investigated: (</w:t>
      </w:r>
      <w:proofErr w:type="spellStart"/>
      <w:r w:rsidRPr="000B17B8">
        <w:rPr>
          <w:rFonts w:asciiTheme="minorHAnsi" w:eastAsia="MS PGothic" w:hAnsiTheme="minorHAnsi"/>
          <w:color w:val="000000"/>
          <w:sz w:val="22"/>
          <w:szCs w:val="22"/>
          <w:lang w:val="en-US"/>
        </w:rPr>
        <w:t>i</w:t>
      </w:r>
      <w:proofErr w:type="spellEnd"/>
      <w:r w:rsidRPr="000B17B8">
        <w:rPr>
          <w:rFonts w:asciiTheme="minorHAnsi" w:eastAsia="MS PGothic" w:hAnsiTheme="minorHAnsi"/>
          <w:color w:val="000000"/>
          <w:sz w:val="22"/>
          <w:szCs w:val="22"/>
          <w:lang w:val="en-US"/>
        </w:rPr>
        <w:t>) time of contact and (ii) interfacial area between the solvent and the microalgal culture.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0B17B8" w:rsidRDefault="000B17B8" w:rsidP="00704BDF">
      <w:pPr>
        <w:snapToGrid w:val="0"/>
        <w:spacing w:after="120"/>
        <w:rPr>
          <w:rFonts w:asciiTheme="minorHAnsi" w:eastAsia="MS PGothic" w:hAnsiTheme="minorHAnsi"/>
          <w:i/>
          <w:color w:val="000000"/>
          <w:sz w:val="22"/>
          <w:szCs w:val="22"/>
        </w:rPr>
      </w:pPr>
      <w:r w:rsidRPr="002A1939">
        <w:rPr>
          <w:rFonts w:asciiTheme="minorHAnsi" w:eastAsia="MS PGothic" w:hAnsiTheme="minorHAnsi"/>
          <w:i/>
          <w:color w:val="000000"/>
          <w:sz w:val="22"/>
          <w:szCs w:val="22"/>
          <w:lang w:val="en-US"/>
        </w:rPr>
        <w:t>Dunaliella salina</w:t>
      </w:r>
      <w:r w:rsidRPr="000B17B8">
        <w:rPr>
          <w:rFonts w:asciiTheme="minorHAnsi" w:eastAsia="MS PGothic" w:hAnsiTheme="minorHAnsi"/>
          <w:color w:val="000000"/>
          <w:sz w:val="22"/>
          <w:szCs w:val="22"/>
          <w:lang w:val="en-US"/>
        </w:rPr>
        <w:t xml:space="preserve"> was grown in a 1L Air-Lift flat panel Photobioreactor (PBR) [4]. To trigger β-carotene accumulation, the green biomass was stressed through a combination of nitrogen limitations and light stress (400 µE/m²/s) or, nitrogen depletion and high light stress (800 µE/m²/s). After carotenoid accumulation, the extraction was run on a Centrifugal Partition Chromatography (CPC), which allowed to control the two liquids phases hydrodynamics with centrifugal acceleration [5]. After extraction the biomass was re</w:t>
      </w:r>
      <w:r w:rsidR="000A5489">
        <w:rPr>
          <w:rFonts w:asciiTheme="minorHAnsi" w:eastAsia="MS PGothic" w:hAnsiTheme="minorHAnsi"/>
          <w:color w:val="000000"/>
          <w:sz w:val="22"/>
          <w:szCs w:val="22"/>
          <w:lang w:val="en-US"/>
        </w:rPr>
        <w:t>-</w:t>
      </w:r>
      <w:r w:rsidRPr="000B17B8">
        <w:rPr>
          <w:rFonts w:asciiTheme="minorHAnsi" w:eastAsia="MS PGothic" w:hAnsiTheme="minorHAnsi"/>
          <w:color w:val="000000"/>
          <w:sz w:val="22"/>
          <w:szCs w:val="22"/>
          <w:lang w:val="en-US"/>
        </w:rPr>
        <w:t>inoculated within the same medium or in the growth medium. The biomass was analyzed before and after extraction and during the re</w:t>
      </w:r>
      <w:r w:rsidR="000A5489">
        <w:rPr>
          <w:rFonts w:asciiTheme="minorHAnsi" w:eastAsia="MS PGothic" w:hAnsiTheme="minorHAnsi"/>
          <w:color w:val="000000"/>
          <w:sz w:val="22"/>
          <w:szCs w:val="22"/>
          <w:lang w:val="en-US"/>
        </w:rPr>
        <w:t>-</w:t>
      </w:r>
      <w:r w:rsidRPr="000B17B8">
        <w:rPr>
          <w:rFonts w:asciiTheme="minorHAnsi" w:eastAsia="MS PGothic" w:hAnsiTheme="minorHAnsi"/>
          <w:color w:val="000000"/>
          <w:sz w:val="22"/>
          <w:szCs w:val="22"/>
          <w:lang w:val="en-US"/>
        </w:rPr>
        <w:t>growth to access the biocompatibility and kinetics of relaxation. Analysis were focused on cell granulometry (density and size), metabolites (pigments and lipids) and dry biomass regarding the extraction parameters.</w:t>
      </w:r>
    </w:p>
    <w:p w:rsidR="00A01EB3" w:rsidRDefault="00A01EB3" w:rsidP="00704BDF">
      <w:pPr>
        <w:snapToGrid w:val="0"/>
        <w:spacing w:before="240" w:line="300" w:lineRule="auto"/>
        <w:rPr>
          <w:rFonts w:asciiTheme="minorHAnsi" w:eastAsia="MS PGothic" w:hAnsiTheme="minorHAnsi"/>
          <w:b/>
          <w:bCs/>
          <w:color w:val="000000"/>
          <w:sz w:val="22"/>
          <w:szCs w:val="22"/>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0B17B8" w:rsidRDefault="000B17B8" w:rsidP="000B17B8">
      <w:pPr>
        <w:spacing w:after="120"/>
        <w:rPr>
          <w:rFonts w:ascii="Calibri" w:eastAsia="Calibri" w:hAnsi="Calibri" w:cs="Calibri"/>
          <w:color w:val="000000"/>
          <w:sz w:val="22"/>
          <w:szCs w:val="22"/>
        </w:rPr>
      </w:pPr>
      <w:r w:rsidRPr="000B17B8">
        <w:rPr>
          <w:rFonts w:asciiTheme="minorHAnsi" w:eastAsia="MS PGothic" w:hAnsiTheme="minorHAnsi"/>
          <w:color w:val="000000"/>
          <w:sz w:val="22"/>
          <w:szCs w:val="22"/>
        </w:rPr>
        <w:t>As a first result, total cell volume decreased as a function of time of contact of the culture media and the solvent (Figure 1). Concerning the cell volume distribution before and after extraction, the biocompatibility is lower for big than for small cells (“granulo-selective” phenomenon) and the median value µ of the distribution decrease (</w:t>
      </w:r>
      <w:r w:rsidRPr="000B17B8">
        <w:rPr>
          <w:rFonts w:asciiTheme="minorHAnsi" w:eastAsia="MS PGothic" w:hAnsiTheme="minorHAnsi"/>
          <w:i/>
          <w:color w:val="000000"/>
          <w:sz w:val="22"/>
          <w:szCs w:val="22"/>
        </w:rPr>
        <w:t>p</w:t>
      </w:r>
      <w:r w:rsidRPr="000B17B8">
        <w:rPr>
          <w:rFonts w:asciiTheme="minorHAnsi" w:eastAsia="MS PGothic" w:hAnsiTheme="minorHAnsi"/>
          <w:color w:val="000000"/>
          <w:sz w:val="22"/>
          <w:szCs w:val="22"/>
        </w:rPr>
        <w:t xml:space="preserve"> &lt; </w:t>
      </w:r>
      <w:r w:rsidR="000A5489">
        <w:rPr>
          <w:rFonts w:asciiTheme="minorHAnsi" w:eastAsia="MS PGothic" w:hAnsiTheme="minorHAnsi"/>
          <w:color w:val="000000"/>
          <w:sz w:val="22"/>
          <w:szCs w:val="22"/>
        </w:rPr>
        <w:t>0.</w:t>
      </w:r>
      <w:r w:rsidRPr="000B17B8">
        <w:rPr>
          <w:rFonts w:asciiTheme="minorHAnsi" w:eastAsia="MS PGothic" w:hAnsiTheme="minorHAnsi"/>
          <w:color w:val="000000"/>
          <w:sz w:val="22"/>
          <w:szCs w:val="22"/>
        </w:rPr>
        <w:t>05). As a consequence, difference between population biocompatibility and individual biocompatibility appeared a key point and a new contribution. These results suggest that carotenoid and lipid extraction yields were correlated with cell destruction.</w:t>
      </w:r>
      <w:r w:rsidRPr="000B17B8">
        <w:rPr>
          <w:rFonts w:ascii="Calibri" w:eastAsia="Calibri" w:hAnsi="Calibri" w:cs="Calibri"/>
          <w:color w:val="000000"/>
          <w:sz w:val="22"/>
          <w:szCs w:val="22"/>
        </w:rPr>
        <w:t xml:space="preserve"> </w:t>
      </w:r>
    </w:p>
    <w:p w:rsidR="000B17B8" w:rsidRDefault="000B17B8" w:rsidP="000B17B8">
      <w:pPr>
        <w:spacing w:after="120"/>
        <w:rPr>
          <w:rFonts w:ascii="Calibri" w:eastAsia="Calibri" w:hAnsi="Calibri" w:cs="Calibri"/>
          <w:sz w:val="22"/>
          <w:szCs w:val="22"/>
        </w:rPr>
      </w:pPr>
      <w:r>
        <w:rPr>
          <w:rFonts w:ascii="Calibri" w:eastAsia="Calibri" w:hAnsi="Calibri" w:cs="Calibri"/>
          <w:color w:val="000000"/>
          <w:sz w:val="22"/>
          <w:szCs w:val="22"/>
        </w:rPr>
        <w:t xml:space="preserve">Finally, a </w:t>
      </w:r>
      <w:r>
        <w:rPr>
          <w:rFonts w:ascii="Calibri" w:eastAsia="Calibri" w:hAnsi="Calibri" w:cs="Calibri"/>
          <w:sz w:val="22"/>
          <w:szCs w:val="22"/>
        </w:rPr>
        <w:t>comparison has been made</w:t>
      </w:r>
      <w:r>
        <w:rPr>
          <w:rFonts w:ascii="Calibri" w:eastAsia="Calibri" w:hAnsi="Calibri" w:cs="Calibri"/>
          <w:color w:val="000000"/>
          <w:sz w:val="22"/>
          <w:szCs w:val="22"/>
        </w:rPr>
        <w:t xml:space="preserve"> </w:t>
      </w:r>
      <w:r>
        <w:rPr>
          <w:rFonts w:ascii="Calibri" w:eastAsia="Calibri" w:hAnsi="Calibri" w:cs="Calibri"/>
          <w:sz w:val="22"/>
          <w:szCs w:val="22"/>
        </w:rPr>
        <w:t>between the two stress applied to the biomass and the scenarii of re</w:t>
      </w:r>
      <w:r w:rsidR="000A5489">
        <w:rPr>
          <w:rFonts w:ascii="Calibri" w:eastAsia="Calibri" w:hAnsi="Calibri" w:cs="Calibri"/>
          <w:sz w:val="22"/>
          <w:szCs w:val="22"/>
        </w:rPr>
        <w:t>-</w:t>
      </w:r>
      <w:r>
        <w:rPr>
          <w:rFonts w:ascii="Calibri" w:eastAsia="Calibri" w:hAnsi="Calibri" w:cs="Calibri"/>
          <w:sz w:val="22"/>
          <w:szCs w:val="22"/>
        </w:rPr>
        <w:t xml:space="preserve">growth </w:t>
      </w:r>
      <w:r>
        <w:rPr>
          <w:rFonts w:ascii="Calibri" w:eastAsia="Calibri" w:hAnsi="Calibri" w:cs="Calibri"/>
          <w:color w:val="000000"/>
          <w:sz w:val="22"/>
          <w:szCs w:val="22"/>
        </w:rPr>
        <w:t xml:space="preserve">to determine the most productive </w:t>
      </w:r>
      <w:r>
        <w:rPr>
          <w:rFonts w:ascii="Calibri" w:eastAsia="Calibri" w:hAnsi="Calibri" w:cs="Calibri"/>
          <w:sz w:val="22"/>
          <w:szCs w:val="22"/>
        </w:rPr>
        <w:t>process scheme.</w:t>
      </w:r>
    </w:p>
    <w:p w:rsidR="00704BDF" w:rsidRPr="00DE0019" w:rsidRDefault="00A527AF" w:rsidP="001D3F76">
      <w:pPr>
        <w:snapToGrid w:val="0"/>
        <w:spacing w:after="120"/>
        <w:jc w:val="center"/>
        <w:rPr>
          <w:rFonts w:asciiTheme="minorHAnsi" w:eastAsia="MS PGothic" w:hAnsiTheme="minorHAnsi"/>
          <w:color w:val="000000"/>
        </w:rPr>
      </w:pPr>
      <w:r>
        <w:rPr>
          <w:noProof/>
          <w:lang w:eastAsia="en-GB"/>
        </w:rPr>
        <w:drawing>
          <wp:inline distT="0" distB="0" distL="0" distR="0" wp14:anchorId="25EE45AA" wp14:editId="40F342E1">
            <wp:extent cx="2654888" cy="1862667"/>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9259" cy="2083229"/>
                    </a:xfrm>
                    <a:prstGeom prst="rect">
                      <a:avLst/>
                    </a:prstGeom>
                  </pic:spPr>
                </pic:pic>
              </a:graphicData>
            </a:graphic>
          </wp:inline>
        </w:drawing>
      </w:r>
      <w:r w:rsidR="00524290">
        <w:rPr>
          <w:noProof/>
          <w:lang w:eastAsia="en-GB"/>
        </w:rPr>
        <w:drawing>
          <wp:inline distT="0" distB="0" distL="0" distR="0" wp14:anchorId="373DEB0D">
            <wp:extent cx="2734733" cy="191177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982" cy="2026599"/>
                    </a:xfrm>
                    <a:prstGeom prst="rect">
                      <a:avLst/>
                    </a:prstGeom>
                    <a:noFill/>
                  </pic:spPr>
                </pic:pic>
              </a:graphicData>
            </a:graphic>
          </wp:inline>
        </w:drawing>
      </w:r>
    </w:p>
    <w:p w:rsidR="00704BDF" w:rsidRPr="000B17B8" w:rsidRDefault="00704BDF" w:rsidP="00EE6E3D">
      <w:pPr>
        <w:snapToGrid w:val="0"/>
        <w:spacing w:after="120"/>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0B17B8" w:rsidRPr="000B17B8">
        <w:rPr>
          <w:rFonts w:asciiTheme="minorHAnsi" w:eastAsia="MS PGothic" w:hAnsiTheme="minorHAnsi"/>
          <w:color w:val="000000"/>
          <w:szCs w:val="18"/>
          <w:lang w:val="en-US"/>
        </w:rPr>
        <w:t>Cell volume distributio</w:t>
      </w:r>
      <w:r w:rsidR="00097687">
        <w:rPr>
          <w:rFonts w:asciiTheme="minorHAnsi" w:eastAsia="MS PGothic" w:hAnsiTheme="minorHAnsi"/>
          <w:color w:val="000000"/>
          <w:szCs w:val="18"/>
          <w:lang w:val="en-US"/>
        </w:rPr>
        <w:t xml:space="preserve">n </w:t>
      </w:r>
      <w:r w:rsidR="008048A6">
        <w:rPr>
          <w:rFonts w:asciiTheme="minorHAnsi" w:eastAsia="MS PGothic" w:hAnsiTheme="minorHAnsi"/>
          <w:color w:val="000000"/>
          <w:szCs w:val="18"/>
          <w:lang w:val="en-US"/>
        </w:rPr>
        <w:t xml:space="preserve">(Left) and light microscopy pictures </w:t>
      </w:r>
      <w:r w:rsidR="00097687">
        <w:rPr>
          <w:rFonts w:asciiTheme="minorHAnsi" w:eastAsia="MS PGothic" w:hAnsiTheme="minorHAnsi"/>
          <w:color w:val="000000"/>
          <w:szCs w:val="18"/>
          <w:lang w:val="en-US"/>
        </w:rPr>
        <w:t xml:space="preserve">for different extraction time </w:t>
      </w:r>
      <w:r w:rsidR="008048A6">
        <w:rPr>
          <w:rFonts w:asciiTheme="minorHAnsi" w:eastAsia="MS PGothic" w:hAnsiTheme="minorHAnsi"/>
          <w:color w:val="000000"/>
          <w:szCs w:val="18"/>
          <w:lang w:val="en-US"/>
        </w:rPr>
        <w:t xml:space="preserve">(Right). </w:t>
      </w:r>
      <w:r w:rsidR="000B17B8" w:rsidRPr="000B17B8">
        <w:rPr>
          <w:rFonts w:asciiTheme="minorHAnsi" w:eastAsia="MS PGothic" w:hAnsiTheme="minorHAnsi"/>
          <w:color w:val="000000"/>
          <w:szCs w:val="18"/>
          <w:lang w:val="en-US"/>
        </w:rPr>
        <w:t>The larger the extraction time the shorter the mean median value</w:t>
      </w:r>
      <w:r w:rsidR="008048A6">
        <w:rPr>
          <w:rFonts w:asciiTheme="minorHAnsi" w:eastAsia="MS PGothic" w:hAnsiTheme="minorHAnsi"/>
          <w:color w:val="000000"/>
          <w:szCs w:val="18"/>
          <w:lang w:val="en-US"/>
        </w:rPr>
        <w:t xml:space="preserve"> and the fewer cells survive. </w:t>
      </w:r>
      <w:r w:rsidR="003402BB">
        <w:rPr>
          <w:rFonts w:asciiTheme="minorHAnsi" w:eastAsia="MS PGothic" w:hAnsiTheme="minorHAnsi"/>
          <w:color w:val="000000"/>
          <w:szCs w:val="18"/>
          <w:lang w:val="en-US"/>
        </w:rPr>
        <w:t xml:space="preserve"> </w:t>
      </w:r>
      <w:r w:rsidR="00605CB3" w:rsidRPr="008048A6">
        <w:rPr>
          <w:rFonts w:asciiTheme="minorHAnsi" w:eastAsia="MS PGothic" w:hAnsiTheme="minorHAnsi"/>
          <w:b/>
          <w:color w:val="000000"/>
          <w:szCs w:val="18"/>
          <w:lang w:val="en-US"/>
        </w:rPr>
        <w:t>a)</w:t>
      </w:r>
      <w:r w:rsidR="00605CB3">
        <w:rPr>
          <w:rFonts w:asciiTheme="minorHAnsi" w:eastAsia="MS PGothic" w:hAnsiTheme="minorHAnsi"/>
          <w:color w:val="000000"/>
          <w:szCs w:val="18"/>
          <w:lang w:val="en-US"/>
        </w:rPr>
        <w:t xml:space="preserve"> Untreated, </w:t>
      </w:r>
      <w:r w:rsidR="00605CB3" w:rsidRPr="008048A6">
        <w:rPr>
          <w:rFonts w:asciiTheme="minorHAnsi" w:eastAsia="MS PGothic" w:hAnsiTheme="minorHAnsi"/>
          <w:b/>
          <w:color w:val="000000"/>
          <w:szCs w:val="18"/>
          <w:lang w:val="en-US"/>
        </w:rPr>
        <w:t>b)</w:t>
      </w:r>
      <w:r w:rsidR="00605CB3">
        <w:rPr>
          <w:rFonts w:asciiTheme="minorHAnsi" w:eastAsia="MS PGothic" w:hAnsiTheme="minorHAnsi"/>
          <w:color w:val="000000"/>
          <w:szCs w:val="18"/>
          <w:lang w:val="en-US"/>
        </w:rPr>
        <w:t xml:space="preserve"> 45 s, </w:t>
      </w:r>
      <w:r w:rsidR="00605CB3" w:rsidRPr="008048A6">
        <w:rPr>
          <w:rFonts w:asciiTheme="minorHAnsi" w:eastAsia="MS PGothic" w:hAnsiTheme="minorHAnsi"/>
          <w:b/>
          <w:color w:val="000000"/>
          <w:szCs w:val="18"/>
          <w:lang w:val="en-US"/>
        </w:rPr>
        <w:t>c)</w:t>
      </w:r>
      <w:r w:rsidR="00605CB3">
        <w:rPr>
          <w:rFonts w:asciiTheme="minorHAnsi" w:eastAsia="MS PGothic" w:hAnsiTheme="minorHAnsi"/>
          <w:color w:val="000000"/>
          <w:szCs w:val="18"/>
          <w:lang w:val="en-US"/>
        </w:rPr>
        <w:t xml:space="preserve"> 120 </w:t>
      </w:r>
      <w:r w:rsidR="008048A6">
        <w:rPr>
          <w:rFonts w:asciiTheme="minorHAnsi" w:eastAsia="MS PGothic" w:hAnsiTheme="minorHAnsi"/>
          <w:color w:val="000000"/>
          <w:szCs w:val="18"/>
          <w:lang w:val="en-US"/>
        </w:rPr>
        <w:t xml:space="preserve">s and </w:t>
      </w:r>
      <w:r w:rsidR="00605CB3" w:rsidRPr="008048A6">
        <w:rPr>
          <w:rFonts w:asciiTheme="minorHAnsi" w:eastAsia="MS PGothic" w:hAnsiTheme="minorHAnsi"/>
          <w:b/>
          <w:color w:val="000000"/>
          <w:szCs w:val="18"/>
          <w:lang w:val="en-US"/>
        </w:rPr>
        <w:t>d)</w:t>
      </w:r>
      <w:r w:rsidR="00605CB3">
        <w:rPr>
          <w:rFonts w:asciiTheme="minorHAnsi" w:eastAsia="MS PGothic" w:hAnsiTheme="minorHAnsi"/>
          <w:color w:val="000000"/>
          <w:szCs w:val="18"/>
          <w:lang w:val="en-US"/>
        </w:rPr>
        <w:t xml:space="preserve"> 240 s of contact between </w:t>
      </w:r>
      <w:r w:rsidR="006A039F">
        <w:rPr>
          <w:rFonts w:asciiTheme="minorHAnsi" w:eastAsia="MS PGothic" w:hAnsiTheme="minorHAnsi"/>
          <w:color w:val="000000"/>
          <w:szCs w:val="18"/>
          <w:lang w:val="en-US"/>
        </w:rPr>
        <w:t xml:space="preserve">the </w:t>
      </w:r>
      <w:r w:rsidR="00605CB3">
        <w:rPr>
          <w:rFonts w:asciiTheme="minorHAnsi" w:eastAsia="MS PGothic" w:hAnsiTheme="minorHAnsi"/>
          <w:color w:val="000000"/>
          <w:szCs w:val="18"/>
          <w:lang w:val="en-US"/>
        </w:rPr>
        <w:t>solvent</w:t>
      </w:r>
      <w:r w:rsidR="006A039F">
        <w:rPr>
          <w:rFonts w:asciiTheme="minorHAnsi" w:eastAsia="MS PGothic" w:hAnsiTheme="minorHAnsi"/>
          <w:color w:val="000000"/>
          <w:szCs w:val="18"/>
          <w:lang w:val="en-US"/>
        </w:rPr>
        <w:t xml:space="preserve"> and the microalgal cul</w:t>
      </w:r>
      <w:bookmarkStart w:id="0" w:name="_GoBack"/>
      <w:bookmarkEnd w:id="0"/>
      <w:r w:rsidR="006A039F">
        <w:rPr>
          <w:rFonts w:asciiTheme="minorHAnsi" w:eastAsia="MS PGothic" w:hAnsiTheme="minorHAnsi"/>
          <w:color w:val="000000"/>
          <w:szCs w:val="18"/>
          <w:lang w:val="en-US"/>
        </w:rPr>
        <w:t>ture</w:t>
      </w:r>
      <w:r w:rsidR="003402BB">
        <w:rPr>
          <w:rFonts w:asciiTheme="minorHAnsi" w:eastAsia="MS PGothic" w:hAnsiTheme="minorHAnsi"/>
          <w:color w:val="000000"/>
          <w:szCs w:val="18"/>
          <w:lang w:val="en-US"/>
        </w:rPr>
        <w:t>.</w:t>
      </w:r>
      <w:r w:rsidR="008048A6">
        <w:rPr>
          <w:rFonts w:asciiTheme="minorHAnsi" w:eastAsia="MS PGothic" w:hAnsiTheme="minorHAnsi"/>
          <w:color w:val="000000"/>
          <w:szCs w:val="18"/>
          <w:lang w:val="en-US"/>
        </w:rPr>
        <w:t xml:space="preserve"> </w:t>
      </w:r>
      <w:r w:rsidR="00605CB3">
        <w:rPr>
          <w:rFonts w:asciiTheme="minorHAnsi" w:eastAsia="MS PGothic" w:hAnsiTheme="minorHAnsi"/>
          <w:color w:val="000000"/>
          <w:szCs w:val="18"/>
          <w:lang w:val="en-US"/>
        </w:rPr>
        <w:t>C</w:t>
      </w:r>
      <w:r w:rsidR="00097687">
        <w:rPr>
          <w:rFonts w:asciiTheme="minorHAnsi" w:eastAsia="MS PGothic" w:hAnsiTheme="minorHAnsi"/>
          <w:color w:val="000000"/>
          <w:szCs w:val="18"/>
          <w:lang w:val="en-US"/>
        </w:rPr>
        <w:t xml:space="preserve">ells were fixed with 1% lugol.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0B17B8" w:rsidRDefault="000B17B8" w:rsidP="00704BDF">
      <w:pPr>
        <w:snapToGrid w:val="0"/>
        <w:spacing w:after="120"/>
        <w:rPr>
          <w:rFonts w:asciiTheme="minorHAnsi" w:eastAsia="MS PGothic" w:hAnsiTheme="minorHAnsi"/>
          <w:color w:val="000000"/>
          <w:sz w:val="22"/>
          <w:szCs w:val="22"/>
        </w:rPr>
      </w:pPr>
      <w:r w:rsidRPr="000B17B8">
        <w:rPr>
          <w:rFonts w:asciiTheme="minorHAnsi" w:eastAsia="MS PGothic" w:hAnsiTheme="minorHAnsi"/>
          <w:color w:val="000000"/>
          <w:sz w:val="22"/>
          <w:szCs w:val="22"/>
          <w:lang w:val="en-US"/>
        </w:rPr>
        <w:t>Centrifugal Partition Chromatography allowed the decoupling of biomass/metabolites production and the extraction steps giving a better understanding of the mechanism. The granulo-selective effect of the solvent extraction is an original contribution that opens the reflexion for new carotenoid production schemes. The scenarii investigated allowed to choose suitable conditions for the open-loop process with high metabolite productivity and low solvent consumption.</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0B17B8" w:rsidRDefault="000B17B8" w:rsidP="00C5352A">
      <w:pPr>
        <w:widowControl w:val="0"/>
        <w:numPr>
          <w:ilvl w:val="0"/>
          <w:numId w:val="17"/>
        </w:numPr>
        <w:pBdr>
          <w:top w:val="nil"/>
          <w:left w:val="nil"/>
          <w:bottom w:val="nil"/>
          <w:right w:val="nil"/>
          <w:between w:val="nil"/>
        </w:pBdr>
        <w:tabs>
          <w:tab w:val="left" w:pos="426"/>
        </w:tabs>
        <w:spacing w:line="240" w:lineRule="auto"/>
        <w:rPr>
          <w:rFonts w:ascii="Calibri" w:eastAsia="Calibri" w:hAnsi="Calibri" w:cs="Calibri"/>
          <w:color w:val="000000"/>
        </w:rPr>
      </w:pPr>
      <w:r>
        <w:rPr>
          <w:rFonts w:ascii="Calibri" w:eastAsia="Calibri" w:hAnsi="Calibri" w:cs="Calibri"/>
          <w:sz w:val="20"/>
        </w:rPr>
        <w:t>Vinayak et al., "Diatom milking: a review and new approaches.", Marine Drugs, 13(5): 2629-2665. (2015)</w:t>
      </w:r>
    </w:p>
    <w:p w:rsidR="000B17B8" w:rsidRDefault="000B17B8" w:rsidP="00C5352A">
      <w:pPr>
        <w:widowControl w:val="0"/>
        <w:numPr>
          <w:ilvl w:val="0"/>
          <w:numId w:val="17"/>
        </w:numPr>
        <w:pBdr>
          <w:top w:val="nil"/>
          <w:left w:val="nil"/>
          <w:bottom w:val="nil"/>
          <w:right w:val="nil"/>
          <w:between w:val="nil"/>
        </w:pBdr>
        <w:tabs>
          <w:tab w:val="left" w:pos="426"/>
        </w:tabs>
        <w:spacing w:line="240" w:lineRule="auto"/>
        <w:rPr>
          <w:rFonts w:ascii="Calibri" w:eastAsia="Calibri" w:hAnsi="Calibri" w:cs="Calibri"/>
          <w:color w:val="000000"/>
        </w:rPr>
      </w:pPr>
      <w:r>
        <w:rPr>
          <w:rFonts w:ascii="Calibri" w:eastAsia="Calibri" w:hAnsi="Calibri" w:cs="Calibri"/>
          <w:color w:val="000000"/>
          <w:sz w:val="20"/>
        </w:rPr>
        <w:t>León et al. ,</w:t>
      </w:r>
      <w:r>
        <w:rPr>
          <w:rFonts w:ascii="Calibri" w:eastAsia="Calibri" w:hAnsi="Calibri" w:cs="Calibri"/>
          <w:sz w:val="20"/>
        </w:rPr>
        <w:t>“</w:t>
      </w:r>
      <w:r>
        <w:rPr>
          <w:rFonts w:ascii="Calibri" w:eastAsia="Calibri" w:hAnsi="Calibri" w:cs="Calibri"/>
          <w:color w:val="000000"/>
          <w:sz w:val="20"/>
        </w:rPr>
        <w:t>Microalgae-mediated photoproduction of β-carotene in aqueous organic two phase systems.</w:t>
      </w:r>
      <w:r>
        <w:rPr>
          <w:rFonts w:ascii="Calibri" w:eastAsia="Calibri" w:hAnsi="Calibri" w:cs="Calibri"/>
          <w:sz w:val="20"/>
        </w:rPr>
        <w:t>”</w:t>
      </w:r>
      <w:r>
        <w:rPr>
          <w:rFonts w:ascii="Calibri" w:eastAsia="Calibri" w:hAnsi="Calibri" w:cs="Calibri"/>
          <w:color w:val="000000"/>
          <w:sz w:val="20"/>
        </w:rPr>
        <w:t>,</w:t>
      </w:r>
      <w:r>
        <w:rPr>
          <w:rFonts w:ascii="Calibri" w:eastAsia="Calibri" w:hAnsi="Calibri" w:cs="Calibri"/>
          <w:sz w:val="20"/>
        </w:rPr>
        <w:t xml:space="preserve"> </w:t>
      </w:r>
      <w:r>
        <w:rPr>
          <w:rFonts w:ascii="Calibri" w:eastAsia="Calibri" w:hAnsi="Calibri" w:cs="Calibri"/>
          <w:color w:val="000000"/>
          <w:sz w:val="20"/>
        </w:rPr>
        <w:t>Biomolecular engineering, 20. 177-82, (2003).</w:t>
      </w:r>
    </w:p>
    <w:p w:rsidR="000B17B8" w:rsidRDefault="000B17B8" w:rsidP="00C5352A">
      <w:pPr>
        <w:widowControl w:val="0"/>
        <w:numPr>
          <w:ilvl w:val="0"/>
          <w:numId w:val="17"/>
        </w:numPr>
        <w:pBdr>
          <w:top w:val="nil"/>
          <w:left w:val="nil"/>
          <w:bottom w:val="nil"/>
          <w:right w:val="nil"/>
          <w:between w:val="nil"/>
        </w:pBdr>
        <w:tabs>
          <w:tab w:val="left" w:pos="426"/>
        </w:tabs>
        <w:spacing w:line="240" w:lineRule="auto"/>
        <w:rPr>
          <w:rFonts w:ascii="Calibri" w:eastAsia="Calibri" w:hAnsi="Calibri" w:cs="Calibri"/>
          <w:color w:val="000000"/>
        </w:rPr>
      </w:pPr>
      <w:r>
        <w:rPr>
          <w:rFonts w:ascii="Calibri" w:eastAsia="Calibri" w:hAnsi="Calibri" w:cs="Calibri"/>
          <w:color w:val="000000"/>
          <w:sz w:val="20"/>
        </w:rPr>
        <w:t xml:space="preserve">Mojaat et al., </w:t>
      </w:r>
      <w:r>
        <w:rPr>
          <w:rFonts w:ascii="Calibri" w:eastAsia="Calibri" w:hAnsi="Calibri" w:cs="Calibri"/>
          <w:sz w:val="20"/>
        </w:rPr>
        <w:t>“</w:t>
      </w:r>
      <w:r>
        <w:rPr>
          <w:rFonts w:ascii="Calibri" w:eastAsia="Calibri" w:hAnsi="Calibri" w:cs="Calibri"/>
          <w:color w:val="000000"/>
          <w:sz w:val="20"/>
        </w:rPr>
        <w:t>Optimal selection of organic solvents for biocompatible extraction of β-carotene from Dunaliella salina.</w:t>
      </w:r>
      <w:r>
        <w:rPr>
          <w:rFonts w:ascii="Calibri" w:eastAsia="Calibri" w:hAnsi="Calibri" w:cs="Calibri"/>
          <w:sz w:val="20"/>
        </w:rPr>
        <w:t>”</w:t>
      </w:r>
      <w:r>
        <w:rPr>
          <w:rFonts w:ascii="Calibri" w:eastAsia="Calibri" w:hAnsi="Calibri" w:cs="Calibri"/>
          <w:color w:val="000000"/>
          <w:sz w:val="20"/>
        </w:rPr>
        <w:t>, J. Biotechnol, 133 433-441, (2008).</w:t>
      </w:r>
    </w:p>
    <w:p w:rsidR="000B17B8" w:rsidRDefault="000B17B8" w:rsidP="00C5352A">
      <w:pPr>
        <w:widowControl w:val="0"/>
        <w:numPr>
          <w:ilvl w:val="0"/>
          <w:numId w:val="17"/>
        </w:numPr>
        <w:pBdr>
          <w:top w:val="nil"/>
          <w:left w:val="nil"/>
          <w:bottom w:val="nil"/>
          <w:right w:val="nil"/>
          <w:between w:val="nil"/>
        </w:pBdr>
        <w:tabs>
          <w:tab w:val="left" w:pos="426"/>
        </w:tabs>
        <w:spacing w:line="240" w:lineRule="auto"/>
        <w:rPr>
          <w:rFonts w:ascii="Calibri" w:eastAsia="Calibri" w:hAnsi="Calibri" w:cs="Calibri"/>
          <w:color w:val="000000"/>
        </w:rPr>
      </w:pPr>
      <w:bookmarkStart w:id="1" w:name="_gjdgxs" w:colFirst="0" w:colLast="0"/>
      <w:bookmarkEnd w:id="1"/>
      <w:r>
        <w:rPr>
          <w:rFonts w:ascii="Calibri" w:eastAsia="Calibri" w:hAnsi="Calibri" w:cs="Calibri"/>
          <w:sz w:val="20"/>
        </w:rPr>
        <w:t xml:space="preserve">Taleb et al., “Investigation of lipid production by nitrogen-starved </w:t>
      </w:r>
      <w:r w:rsidR="00F017A5">
        <w:rPr>
          <w:rFonts w:ascii="Calibri" w:eastAsia="Calibri" w:hAnsi="Calibri" w:cs="Calibri"/>
          <w:i/>
          <w:sz w:val="20"/>
        </w:rPr>
        <w:t xml:space="preserve">Parachlorella </w:t>
      </w:r>
      <w:r w:rsidRPr="00850C09">
        <w:rPr>
          <w:rFonts w:ascii="Calibri" w:eastAsia="Calibri" w:hAnsi="Calibri" w:cs="Calibri"/>
          <w:i/>
          <w:sz w:val="20"/>
        </w:rPr>
        <w:t>kessleri</w:t>
      </w:r>
      <w:r>
        <w:rPr>
          <w:rFonts w:ascii="Calibri" w:eastAsia="Calibri" w:hAnsi="Calibri" w:cs="Calibri"/>
          <w:sz w:val="20"/>
        </w:rPr>
        <w:t xml:space="preserve"> under continuous illumination and day/night cycles for biodiesel application.”, Journal of Applied Phycology, 30. 1-12</w:t>
      </w:r>
      <w:r w:rsidR="001942BE">
        <w:rPr>
          <w:rFonts w:ascii="Calibri" w:eastAsia="Calibri" w:hAnsi="Calibri" w:cs="Calibri"/>
          <w:sz w:val="20"/>
        </w:rPr>
        <w:t xml:space="preserve">, </w:t>
      </w:r>
      <w:r>
        <w:rPr>
          <w:rFonts w:ascii="Calibri" w:eastAsia="Calibri" w:hAnsi="Calibri" w:cs="Calibri"/>
          <w:sz w:val="20"/>
        </w:rPr>
        <w:t>(2017).</w:t>
      </w:r>
    </w:p>
    <w:p w:rsidR="00704BDF" w:rsidRPr="000B17B8" w:rsidRDefault="000B17B8" w:rsidP="00C5352A">
      <w:pPr>
        <w:widowControl w:val="0"/>
        <w:numPr>
          <w:ilvl w:val="0"/>
          <w:numId w:val="17"/>
        </w:numPr>
        <w:tabs>
          <w:tab w:val="left" w:pos="426"/>
        </w:tabs>
        <w:spacing w:line="240" w:lineRule="auto"/>
        <w:rPr>
          <w:rFonts w:ascii="Calibri" w:eastAsia="Calibri" w:hAnsi="Calibri" w:cs="Calibri"/>
          <w:sz w:val="20"/>
        </w:rPr>
      </w:pPr>
      <w:bookmarkStart w:id="2" w:name="_2lwf8kw5cj9a" w:colFirst="0" w:colLast="0"/>
      <w:bookmarkEnd w:id="2"/>
      <w:r>
        <w:rPr>
          <w:rFonts w:ascii="Calibri" w:eastAsia="Calibri" w:hAnsi="Calibri" w:cs="Calibri"/>
          <w:sz w:val="20"/>
        </w:rPr>
        <w:t xml:space="preserve">Marchal et al., “Centrifugal partition extraction of β-carotene from </w:t>
      </w:r>
      <w:r w:rsidRPr="00850C09">
        <w:rPr>
          <w:rFonts w:ascii="Calibri" w:eastAsia="Calibri" w:hAnsi="Calibri" w:cs="Calibri"/>
          <w:i/>
          <w:sz w:val="20"/>
        </w:rPr>
        <w:t>Dunaliella salina</w:t>
      </w:r>
      <w:r>
        <w:rPr>
          <w:rFonts w:ascii="Calibri" w:eastAsia="Calibri" w:hAnsi="Calibri" w:cs="Calibri"/>
          <w:sz w:val="20"/>
        </w:rPr>
        <w:t xml:space="preserve"> for efficient and biocompatible recovery of metabolites.”, Bioresource technology, 134. 10.1016, (2013).</w:t>
      </w:r>
    </w:p>
    <w:sectPr w:rsidR="00704BDF" w:rsidRPr="000B17B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F87" w:rsidRDefault="00865F87" w:rsidP="004F5E36">
      <w:r>
        <w:separator/>
      </w:r>
    </w:p>
  </w:endnote>
  <w:endnote w:type="continuationSeparator" w:id="0">
    <w:p w:rsidR="00865F87" w:rsidRDefault="00865F8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F87" w:rsidRDefault="00865F87" w:rsidP="004F5E36">
      <w:r>
        <w:separator/>
      </w:r>
    </w:p>
  </w:footnote>
  <w:footnote w:type="continuationSeparator" w:id="0">
    <w:p w:rsidR="00865F87" w:rsidRDefault="00865F87"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En-tte"/>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C60134F"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tte"/>
    </w:pPr>
  </w:p>
  <w:p w:rsidR="00704BDF" w:rsidRDefault="00704BDF">
    <w:pPr>
      <w:pStyle w:val="En-tte"/>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1DD0639"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12B4A7A"/>
    <w:multiLevelType w:val="multilevel"/>
    <w:tmpl w:val="D94487B6"/>
    <w:lvl w:ilvl="0">
      <w:start w:val="1"/>
      <w:numFmt w:val="decimal"/>
      <w:lvlText w:val="[%1]"/>
      <w:lvlJc w:val="left"/>
      <w:pPr>
        <w:ind w:left="360" w:hanging="360"/>
      </w:pPr>
      <w:rPr>
        <w:sz w:val="18"/>
        <w:szCs w:val="18"/>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90A94"/>
    <w:rsid w:val="00097687"/>
    <w:rsid w:val="000A03B2"/>
    <w:rsid w:val="000A5489"/>
    <w:rsid w:val="000B17B8"/>
    <w:rsid w:val="000D34BE"/>
    <w:rsid w:val="000E36F1"/>
    <w:rsid w:val="000E3A73"/>
    <w:rsid w:val="000E414A"/>
    <w:rsid w:val="0010752F"/>
    <w:rsid w:val="0013121F"/>
    <w:rsid w:val="00134DE4"/>
    <w:rsid w:val="00150E59"/>
    <w:rsid w:val="00184AD6"/>
    <w:rsid w:val="001942BE"/>
    <w:rsid w:val="001B65C1"/>
    <w:rsid w:val="001C684B"/>
    <w:rsid w:val="001D3F76"/>
    <w:rsid w:val="001D53FC"/>
    <w:rsid w:val="001F1BFD"/>
    <w:rsid w:val="001F2EC7"/>
    <w:rsid w:val="002065DB"/>
    <w:rsid w:val="002447EF"/>
    <w:rsid w:val="00251550"/>
    <w:rsid w:val="0027221A"/>
    <w:rsid w:val="00275B61"/>
    <w:rsid w:val="002A1939"/>
    <w:rsid w:val="002D1F12"/>
    <w:rsid w:val="003009B7"/>
    <w:rsid w:val="0030469C"/>
    <w:rsid w:val="003402BB"/>
    <w:rsid w:val="003723D4"/>
    <w:rsid w:val="003A7D1C"/>
    <w:rsid w:val="0046164A"/>
    <w:rsid w:val="00462DCD"/>
    <w:rsid w:val="004D1162"/>
    <w:rsid w:val="004D233D"/>
    <w:rsid w:val="004E4DD6"/>
    <w:rsid w:val="004F563B"/>
    <w:rsid w:val="004F5E36"/>
    <w:rsid w:val="005119A5"/>
    <w:rsid w:val="00524290"/>
    <w:rsid w:val="005278B7"/>
    <w:rsid w:val="005346C8"/>
    <w:rsid w:val="005725E4"/>
    <w:rsid w:val="00592A0F"/>
    <w:rsid w:val="00594E9F"/>
    <w:rsid w:val="005B61E6"/>
    <w:rsid w:val="005C27B8"/>
    <w:rsid w:val="005C77E1"/>
    <w:rsid w:val="005D6A2F"/>
    <w:rsid w:val="005E1A82"/>
    <w:rsid w:val="005F0A28"/>
    <w:rsid w:val="005F0E5E"/>
    <w:rsid w:val="00605CB3"/>
    <w:rsid w:val="00620DEE"/>
    <w:rsid w:val="00625639"/>
    <w:rsid w:val="006366F8"/>
    <w:rsid w:val="0064184D"/>
    <w:rsid w:val="00660E3E"/>
    <w:rsid w:val="00662E74"/>
    <w:rsid w:val="006A039F"/>
    <w:rsid w:val="006B01AC"/>
    <w:rsid w:val="006C5579"/>
    <w:rsid w:val="00704BDF"/>
    <w:rsid w:val="00736B13"/>
    <w:rsid w:val="0074067B"/>
    <w:rsid w:val="007447F3"/>
    <w:rsid w:val="007661C8"/>
    <w:rsid w:val="007D52CD"/>
    <w:rsid w:val="008048A6"/>
    <w:rsid w:val="00813288"/>
    <w:rsid w:val="008168FC"/>
    <w:rsid w:val="008479A2"/>
    <w:rsid w:val="00865F87"/>
    <w:rsid w:val="0087637F"/>
    <w:rsid w:val="00891871"/>
    <w:rsid w:val="008A1512"/>
    <w:rsid w:val="008D0BEB"/>
    <w:rsid w:val="008E566E"/>
    <w:rsid w:val="00901EB6"/>
    <w:rsid w:val="009450CE"/>
    <w:rsid w:val="0095164B"/>
    <w:rsid w:val="00991E19"/>
    <w:rsid w:val="00996483"/>
    <w:rsid w:val="009E788A"/>
    <w:rsid w:val="00A01EB3"/>
    <w:rsid w:val="00A1763D"/>
    <w:rsid w:val="00A17CEC"/>
    <w:rsid w:val="00A27EF0"/>
    <w:rsid w:val="00A527AF"/>
    <w:rsid w:val="00A76EFC"/>
    <w:rsid w:val="00A97F29"/>
    <w:rsid w:val="00AB0964"/>
    <w:rsid w:val="00AE377D"/>
    <w:rsid w:val="00B45FFF"/>
    <w:rsid w:val="00B61DBF"/>
    <w:rsid w:val="00BB29F7"/>
    <w:rsid w:val="00BC30C9"/>
    <w:rsid w:val="00BE3E58"/>
    <w:rsid w:val="00C01616"/>
    <w:rsid w:val="00C0162B"/>
    <w:rsid w:val="00C345B1"/>
    <w:rsid w:val="00C40142"/>
    <w:rsid w:val="00C5352A"/>
    <w:rsid w:val="00C57182"/>
    <w:rsid w:val="00C655FD"/>
    <w:rsid w:val="00C94434"/>
    <w:rsid w:val="00CA1C95"/>
    <w:rsid w:val="00CA5A9C"/>
    <w:rsid w:val="00CC3F4B"/>
    <w:rsid w:val="00CD5FE2"/>
    <w:rsid w:val="00CF495B"/>
    <w:rsid w:val="00D02B4C"/>
    <w:rsid w:val="00D1069B"/>
    <w:rsid w:val="00D84576"/>
    <w:rsid w:val="00DE0019"/>
    <w:rsid w:val="00DE264A"/>
    <w:rsid w:val="00E041E7"/>
    <w:rsid w:val="00E23CA1"/>
    <w:rsid w:val="00E409A8"/>
    <w:rsid w:val="00E4348A"/>
    <w:rsid w:val="00E47211"/>
    <w:rsid w:val="00E7209D"/>
    <w:rsid w:val="00EA50E1"/>
    <w:rsid w:val="00EE0131"/>
    <w:rsid w:val="00EE6E3D"/>
    <w:rsid w:val="00F017A5"/>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3AAE94-0022-43C3-90EA-1EAB50BE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0B17B8"/>
    <w:pPr>
      <w:ind w:left="720"/>
      <w:contextualSpacing/>
    </w:pPr>
  </w:style>
  <w:style w:type="paragraph" w:styleId="Rvision">
    <w:name w:val="Revision"/>
    <w:hidden/>
    <w:uiPriority w:val="99"/>
    <w:semiHidden/>
    <w:rsid w:val="00CF495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5023-F9CD-4518-8E1E-0D51D747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Pages>
  <Words>754</Words>
  <Characters>4303</Characters>
  <Application>Microsoft Office Word</Application>
  <DocSecurity>0</DocSecurity>
  <Lines>35</Lines>
  <Paragraphs>10</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Guillaume</cp:lastModifiedBy>
  <cp:revision>10</cp:revision>
  <cp:lastPrinted>2015-05-12T18:31:00Z</cp:lastPrinted>
  <dcterms:created xsi:type="dcterms:W3CDTF">2019-02-28T09:05:00Z</dcterms:created>
  <dcterms:modified xsi:type="dcterms:W3CDTF">2019-02-28T16:57:00Z</dcterms:modified>
</cp:coreProperties>
</file>