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default" r:id="rId8"/>
          <w:headerReference w:type="first" r:id="rId9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E2618D" w:rsidP="001241A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Electro</w:t>
      </w:r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chemical Modification of Polymer Chains: Synthesis of </w:t>
      </w:r>
      <w:proofErr w:type="spellStart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>Crosslinked</w:t>
      </w:r>
      <w:proofErr w:type="spellEnd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gramStart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="001241A4" w:rsidRPr="001241A4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>ly(</w:t>
      </w:r>
      <w:proofErr w:type="spellStart"/>
      <w:proofErr w:type="gramEnd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>vinylpyrrolidone</w:t>
      </w:r>
      <w:proofErr w:type="spellEnd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) </w:t>
      </w:r>
      <w:proofErr w:type="spellStart"/>
      <w:r w:rsidR="00413851"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 w:rsidR="001241A4" w:rsidRPr="001241A4">
        <w:rPr>
          <w:rFonts w:asciiTheme="minorHAnsi" w:eastAsia="MS PGothic" w:hAnsiTheme="minorHAnsi"/>
          <w:b/>
          <w:bCs/>
          <w:sz w:val="28"/>
          <w:szCs w:val="28"/>
          <w:lang w:val="en-US"/>
        </w:rPr>
        <w:t>anogels</w:t>
      </w:r>
      <w:proofErr w:type="spellEnd"/>
    </w:p>
    <w:p w:rsidR="00DE0019" w:rsidRPr="00E2618D" w:rsidRDefault="001241A4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E2618D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Alessandro Galia</w:t>
      </w:r>
      <w:r w:rsidRPr="00E2618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1*</w:t>
      </w:r>
      <w:r w:rsidRPr="00413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Sonia Lanzalaco</w:t>
      </w:r>
      <w:r w:rsidR="00E2618D"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2,3</w:t>
      </w:r>
      <w:r w:rsidRPr="00413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Maria Antonietta Sabatino</w:t>
      </w:r>
      <w:r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13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Clelia Dispenza</w:t>
      </w:r>
      <w:r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13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Onofrio Scialdone</w:t>
      </w:r>
      <w:r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13851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Ignasi Sirés</w:t>
      </w:r>
      <w:r w:rsidR="00E2618D"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4</w:t>
      </w:r>
      <w:r w:rsidRPr="0041385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*</w:t>
      </w:r>
    </w:p>
    <w:p w:rsidR="00E54CEC" w:rsidRDefault="00E54CE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1</w:t>
      </w:r>
      <w:r w:rsidR="00413851"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="001241A4" w:rsidRP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Dipartimento di Ingegneria, Sezione Chimica Ambientale Biomedica Idraulica e dei Materiali</w:t>
      </w:r>
      <w:r w:rsid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,</w:t>
      </w:r>
      <w:r w:rsidR="001241A4" w:rsidRP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Università degli Studi di Palermo, Viale delle Scienze, 90128 Palermo, Italy.</w:t>
      </w:r>
    </w:p>
    <w:p w:rsidR="00E2618D" w:rsidRDefault="00E2618D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2</w:t>
      </w:r>
      <w:r w:rsidR="00413851"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Departament d’Enginyeria Química, EEBE, Universitat Politècnica de Catalunya, C/Eduard Maristany 10-14, Ed. I2, Barcelona, Spain</w:t>
      </w:r>
      <w:r w:rsidRP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.</w:t>
      </w:r>
    </w:p>
    <w:p w:rsidR="00E2618D" w:rsidRPr="00E2618D" w:rsidRDefault="00E2618D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4138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r w:rsidR="00413851" w:rsidRPr="004138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Barcelona Research Center in Multiscale Science and Engineering, </w:t>
      </w:r>
      <w:proofErr w:type="spellStart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Universitat</w:t>
      </w:r>
      <w:proofErr w:type="spellEnd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Politècnica</w:t>
      </w:r>
      <w:proofErr w:type="spellEnd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 </w:t>
      </w:r>
      <w:proofErr w:type="spellStart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Catalunya</w:t>
      </w:r>
      <w:proofErr w:type="spellEnd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C/Eduard </w:t>
      </w:r>
      <w:proofErr w:type="spellStart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Maristany</w:t>
      </w:r>
      <w:proofErr w:type="spellEnd"/>
      <w:r w:rsidRPr="00E200F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10-14, Ed. </w:t>
      </w: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I2, Barcelona, Spain</w:t>
      </w:r>
      <w:r w:rsidRP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.</w:t>
      </w:r>
    </w:p>
    <w:p w:rsidR="00704BDF" w:rsidRPr="00E2618D" w:rsidRDefault="00E2618D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4</w:t>
      </w:r>
      <w:r w:rsidR="00413851" w:rsidRPr="00413851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="001241A4" w:rsidRPr="00E2618D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Laboratori d’Electroquímica dels Materials i del Medi Ambient, Departament de Química Física, Facultat de Química, Universitat de Barcelona, Martí i Franquès 1-11, 08028 Barcelona, Spain.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1241A4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54CEC" w:rsidRPr="00E54CEC">
        <w:rPr>
          <w:rFonts w:asciiTheme="minorHAnsi" w:eastAsia="MS PGothic" w:hAnsiTheme="minorHAnsi"/>
          <w:bCs/>
          <w:i/>
          <w:iCs/>
          <w:sz w:val="20"/>
          <w:lang w:val="it-IT"/>
        </w:rPr>
        <w:t>alessandro.galia@unipa.it</w:t>
      </w:r>
      <w:r w:rsidR="00E54CE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, </w:t>
      </w:r>
      <w:r w:rsidR="00E54CEC" w:rsidRPr="00E54CEC">
        <w:rPr>
          <w:rFonts w:asciiTheme="minorHAnsi" w:eastAsia="MS PGothic" w:hAnsiTheme="minorHAnsi"/>
          <w:bCs/>
          <w:i/>
          <w:iCs/>
          <w:sz w:val="20"/>
          <w:lang w:val="en-US"/>
        </w:rPr>
        <w:t>i.sires@ub.edu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E200F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bCs/>
        </w:rPr>
        <w:t>E</w:t>
      </w:r>
      <w:proofErr w:type="spellStart"/>
      <w:r w:rsidR="00E54CEC" w:rsidRPr="00E54CEC">
        <w:rPr>
          <w:rFonts w:asciiTheme="minorHAnsi" w:hAnsiTheme="minorHAnsi"/>
          <w:bCs/>
          <w:lang w:val="en-GB"/>
        </w:rPr>
        <w:t>lectro</w:t>
      </w:r>
      <w:proofErr w:type="spellEnd"/>
      <w:r w:rsidR="00E54CEC" w:rsidRPr="00E54CEC">
        <w:rPr>
          <w:rFonts w:asciiTheme="minorHAnsi" w:hAnsiTheme="minorHAnsi"/>
          <w:bCs/>
          <w:lang w:val="en-GB"/>
        </w:rPr>
        <w:t>-Fenton</w:t>
      </w:r>
      <w:r w:rsidR="00E54CEC">
        <w:rPr>
          <w:rFonts w:asciiTheme="minorHAnsi" w:hAnsiTheme="minorHAnsi"/>
          <w:bCs/>
          <w:lang w:val="en-GB"/>
        </w:rPr>
        <w:t xml:space="preserve"> is a</w:t>
      </w:r>
      <w:r w:rsidR="00E54CEC" w:rsidRPr="00E54CEC">
        <w:rPr>
          <w:rFonts w:asciiTheme="minorHAnsi" w:hAnsiTheme="minorHAnsi"/>
          <w:bCs/>
          <w:lang w:val="en-GB"/>
        </w:rPr>
        <w:t xml:space="preserve"> </w:t>
      </w:r>
      <w:r w:rsidR="00E54CEC" w:rsidRPr="00E54CEC">
        <w:rPr>
          <w:rFonts w:asciiTheme="minorHAnsi" w:hAnsiTheme="minorHAnsi"/>
          <w:lang w:val="en-GB"/>
        </w:rPr>
        <w:t>facile, low cost, environmentally-friendly route</w:t>
      </w:r>
      <w:r w:rsidR="00E54CEC">
        <w:rPr>
          <w:rFonts w:asciiTheme="minorHAnsi" w:hAnsiTheme="minorHAnsi"/>
          <w:lang w:val="en-GB"/>
        </w:rPr>
        <w:t xml:space="preserve"> to crosslink PVP</w:t>
      </w:r>
    </w:p>
    <w:p w:rsidR="00704BDF" w:rsidRPr="00EC66CC" w:rsidRDefault="003A12A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A12AB">
        <w:rPr>
          <w:rFonts w:asciiTheme="minorHAnsi" w:hAnsiTheme="minorHAnsi"/>
          <w:bCs/>
          <w:lang w:val="en-GB"/>
        </w:rPr>
        <w:t>Semi</w:t>
      </w:r>
      <w:r w:rsidR="00E200FD">
        <w:rPr>
          <w:rFonts w:asciiTheme="minorHAnsi" w:hAnsiTheme="minorHAnsi"/>
          <w:bCs/>
          <w:lang w:val="en-GB"/>
        </w:rPr>
        <w:t>-</w:t>
      </w:r>
      <w:r w:rsidRPr="003A12AB">
        <w:rPr>
          <w:rFonts w:asciiTheme="minorHAnsi" w:hAnsiTheme="minorHAnsi"/>
          <w:bCs/>
          <w:lang w:val="en-GB"/>
        </w:rPr>
        <w:t>d</w:t>
      </w:r>
      <w:r w:rsidRPr="003A12AB">
        <w:rPr>
          <w:rFonts w:asciiTheme="minorHAnsi" w:hAnsiTheme="minorHAnsi"/>
          <w:lang w:val="en-GB"/>
        </w:rPr>
        <w:t xml:space="preserve">ilute PVP, 0.5-1.0 </w:t>
      </w:r>
      <w:proofErr w:type="spellStart"/>
      <w:r w:rsidRPr="003A12AB">
        <w:rPr>
          <w:rFonts w:asciiTheme="minorHAnsi" w:hAnsiTheme="minorHAnsi"/>
          <w:lang w:val="en-GB"/>
        </w:rPr>
        <w:t>mmol</w:t>
      </w:r>
      <w:proofErr w:type="spellEnd"/>
      <w:r w:rsidRPr="003A12AB">
        <w:rPr>
          <w:rFonts w:asciiTheme="minorHAnsi" w:hAnsiTheme="minorHAnsi"/>
          <w:lang w:val="en-GB"/>
        </w:rPr>
        <w:t xml:space="preserve"> dm</w:t>
      </w:r>
      <w:r w:rsidRPr="003A12AB">
        <w:rPr>
          <w:rFonts w:asciiTheme="minorHAnsi" w:hAnsiTheme="minorHAnsi"/>
          <w:vertAlign w:val="superscript"/>
          <w:lang w:val="en-GB"/>
        </w:rPr>
        <w:t>-3</w:t>
      </w:r>
      <w:r w:rsidRPr="003A12AB">
        <w:rPr>
          <w:rFonts w:asciiTheme="minorHAnsi" w:hAnsiTheme="minorHAnsi"/>
          <w:lang w:val="en-GB"/>
        </w:rPr>
        <w:t xml:space="preserve"> Fe</w:t>
      </w:r>
      <w:r w:rsidRPr="003A12AB">
        <w:rPr>
          <w:rFonts w:asciiTheme="minorHAnsi" w:hAnsiTheme="minorHAnsi"/>
          <w:vertAlign w:val="superscript"/>
          <w:lang w:val="en-GB"/>
        </w:rPr>
        <w:t>2+</w:t>
      </w:r>
      <w:r w:rsidRPr="003A12AB">
        <w:rPr>
          <w:rFonts w:asciiTheme="minorHAnsi" w:hAnsiTheme="minorHAnsi"/>
          <w:lang w:val="en-GB"/>
        </w:rPr>
        <w:t xml:space="preserve">, low </w:t>
      </w:r>
      <w:r w:rsidRPr="003A12AB">
        <w:rPr>
          <w:rFonts w:asciiTheme="minorHAnsi" w:hAnsiTheme="minorHAnsi"/>
          <w:i/>
          <w:lang w:val="en-GB"/>
        </w:rPr>
        <w:t>j</w:t>
      </w:r>
      <w:r w:rsidRPr="003A12AB">
        <w:rPr>
          <w:rFonts w:asciiTheme="minorHAnsi" w:hAnsiTheme="minorHAnsi"/>
          <w:lang w:val="en-GB"/>
        </w:rPr>
        <w:t xml:space="preserve"> and short </w:t>
      </w:r>
      <w:r w:rsidRPr="003A12AB">
        <w:rPr>
          <w:rFonts w:asciiTheme="minorHAnsi" w:hAnsiTheme="minorHAnsi"/>
          <w:i/>
          <w:lang w:val="en-GB"/>
        </w:rPr>
        <w:t>t</w:t>
      </w:r>
      <w:r w:rsidRPr="003A12AB">
        <w:rPr>
          <w:rFonts w:asciiTheme="minorHAnsi" w:hAnsiTheme="minorHAnsi"/>
          <w:lang w:val="en-GB"/>
        </w:rPr>
        <w:t xml:space="preserve">: </w:t>
      </w:r>
      <w:r w:rsidRPr="003A12AB">
        <w:rPr>
          <w:rFonts w:asciiTheme="minorHAnsi" w:hAnsiTheme="minorHAnsi"/>
          <w:bCs/>
          <w:i/>
          <w:lang w:val="en-GB"/>
        </w:rPr>
        <w:t>R</w:t>
      </w:r>
      <w:r w:rsidRPr="003A12AB">
        <w:rPr>
          <w:rFonts w:asciiTheme="minorHAnsi" w:hAnsiTheme="minorHAnsi"/>
          <w:bCs/>
          <w:vertAlign w:val="subscript"/>
          <w:lang w:val="en-GB"/>
        </w:rPr>
        <w:t>h</w:t>
      </w:r>
      <w:r w:rsidRPr="003A12AB">
        <w:rPr>
          <w:rFonts w:asciiTheme="minorHAnsi" w:hAnsiTheme="minorHAnsi"/>
          <w:bCs/>
          <w:lang w:val="en-GB"/>
        </w:rPr>
        <w:t xml:space="preserve"> &lt; 10 nm (intramolecular </w:t>
      </w:r>
      <w:r w:rsidRPr="003A12AB">
        <w:rPr>
          <w:rFonts w:asciiTheme="minorHAnsi" w:hAnsiTheme="minorHAnsi"/>
          <w:lang w:val="en-GB"/>
        </w:rPr>
        <w:t>crosslinking</w:t>
      </w:r>
      <w:r w:rsidRPr="003A12AB">
        <w:rPr>
          <w:rFonts w:asciiTheme="minorHAnsi" w:hAnsiTheme="minorHAnsi"/>
          <w:bCs/>
          <w:lang w:val="en-GB"/>
        </w:rPr>
        <w:t>)</w:t>
      </w:r>
    </w:p>
    <w:p w:rsidR="00704BDF" w:rsidRPr="00EC66CC" w:rsidRDefault="003A12A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A12AB">
        <w:rPr>
          <w:rFonts w:asciiTheme="minorHAnsi" w:hAnsiTheme="minorHAnsi"/>
          <w:lang w:val="en-GB"/>
        </w:rPr>
        <w:t xml:space="preserve">Longer </w:t>
      </w:r>
      <w:r w:rsidRPr="003A12AB">
        <w:rPr>
          <w:rFonts w:asciiTheme="minorHAnsi" w:hAnsiTheme="minorHAnsi"/>
          <w:i/>
          <w:lang w:val="en-GB"/>
        </w:rPr>
        <w:t>t</w:t>
      </w:r>
      <w:r w:rsidRPr="003A12AB">
        <w:rPr>
          <w:rFonts w:asciiTheme="minorHAnsi" w:hAnsiTheme="minorHAnsi"/>
          <w:lang w:val="en-GB"/>
        </w:rPr>
        <w:t xml:space="preserve"> and higher PVP and Fe</w:t>
      </w:r>
      <w:r w:rsidRPr="003A12AB">
        <w:rPr>
          <w:rFonts w:asciiTheme="minorHAnsi" w:hAnsiTheme="minorHAnsi"/>
          <w:vertAlign w:val="superscript"/>
          <w:lang w:val="en-GB"/>
        </w:rPr>
        <w:t>2+</w:t>
      </w:r>
      <w:r w:rsidRPr="003A12AB">
        <w:rPr>
          <w:rFonts w:asciiTheme="minorHAnsi" w:hAnsiTheme="minorHAnsi"/>
          <w:lang w:val="en-GB"/>
        </w:rPr>
        <w:t xml:space="preserve"> contents: </w:t>
      </w:r>
      <w:r w:rsidRPr="003A12AB">
        <w:rPr>
          <w:rFonts w:asciiTheme="minorHAnsi" w:hAnsiTheme="minorHAnsi"/>
          <w:i/>
          <w:lang w:val="en-GB"/>
        </w:rPr>
        <w:t>M</w:t>
      </w:r>
      <w:r w:rsidRPr="003A12AB">
        <w:rPr>
          <w:rFonts w:asciiTheme="minorHAnsi" w:hAnsiTheme="minorHAnsi"/>
          <w:vertAlign w:val="subscript"/>
          <w:lang w:val="en-GB"/>
        </w:rPr>
        <w:t>w</w:t>
      </w:r>
      <w:r w:rsidRPr="003A12AB">
        <w:rPr>
          <w:rFonts w:asciiTheme="minorHAnsi" w:hAnsiTheme="minorHAnsi"/>
          <w:lang w:val="en-GB"/>
        </w:rPr>
        <w:t xml:space="preserve"> increases (intermolecular crosslinking)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1343BA" w:rsidRDefault="001241A4" w:rsidP="001343B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In recent years, increasing attention </w:t>
      </w:r>
      <w:proofErr w:type="gram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has been paid</w:t>
      </w:r>
      <w:proofErr w:type="gram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to the development of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nanogels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as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nanocarriers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for biomedical and 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>bioengineering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applications [1]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 xml:space="preserve">, being very useful in key tasks such 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as anti-cancer treatments [2]. Methods like gamma-ray irradiation or pulse radiolysis, which are based on the generation of free radicals that </w:t>
      </w:r>
      <w:r w:rsidR="00426703" w:rsidRPr="001241A4">
        <w:rPr>
          <w:rFonts w:asciiTheme="minorHAnsi" w:eastAsia="MS PGothic" w:hAnsiTheme="minorHAnsi"/>
          <w:color w:val="000000"/>
          <w:sz w:val="22"/>
          <w:szCs w:val="22"/>
        </w:rPr>
        <w:t>favour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the formation of active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centers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on the polymer, have been 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>previously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investigated to promote the inter and/or intramolecular recombination that 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>causes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crosslinking. In a recent investigation, we have reported a 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>certainly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promising, innovative and simple electrochemical methodology to generate hydroxyl radicals that trigger the formation of chemically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crosslinked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nanogels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[3]. </w:t>
      </w:r>
      <w:proofErr w:type="gramStart"/>
      <w:r w:rsidR="001343BA">
        <w:rPr>
          <w:rFonts w:asciiTheme="minorHAnsi" w:eastAsia="MS PGothic" w:hAnsiTheme="minorHAnsi"/>
          <w:color w:val="000000"/>
          <w:sz w:val="22"/>
          <w:szCs w:val="22"/>
        </w:rPr>
        <w:t>Poly(</w:t>
      </w:r>
      <w:proofErr w:type="spellStart"/>
      <w:proofErr w:type="gramEnd"/>
      <w:r w:rsidR="001343BA">
        <w:rPr>
          <w:rFonts w:asciiTheme="minorHAnsi" w:eastAsia="MS PGothic" w:hAnsiTheme="minorHAnsi"/>
          <w:color w:val="000000"/>
          <w:sz w:val="22"/>
          <w:szCs w:val="22"/>
        </w:rPr>
        <w:t>vinylpirrolidone</w:t>
      </w:r>
      <w:proofErr w:type="spellEnd"/>
      <w:r w:rsidR="001343BA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343BA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</w:rPr>
        <w:t>PVP</w:t>
      </w:r>
      <w:r w:rsidR="001343BA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343BA">
        <w:rPr>
          <w:rFonts w:asciiTheme="minorHAnsi" w:eastAsia="MS PGothic" w:hAnsiTheme="minorHAnsi"/>
          <w:color w:val="000000"/>
          <w:sz w:val="22"/>
          <w:szCs w:val="22"/>
        </w:rPr>
        <w:t>is a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</w:rPr>
        <w:t xml:space="preserve"> polymer 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>with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</w:rPr>
        <w:t xml:space="preserve"> high versatility </w:t>
      </w:r>
      <w:r w:rsid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 n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on-charged PVP shows a high hydrophilicity and biocompatibility, ab</w:t>
      </w:r>
      <w:r w:rsidR="00E20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sence of toxicity and adequacy to form</w:t>
      </w:r>
      <w:r w:rsidR="001343BA"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343BA"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interpolymer</w:t>
      </w:r>
      <w:proofErr w:type="spellEnd"/>
      <w:r w:rsidR="001343BA"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complexes [</w:t>
      </w:r>
      <w:r w:rsid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4]. 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In the present work, we have focused the attention on the homogeneous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electrogeneration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of hydroxyl radicals by electro-Fenton (EF) process in order to modify </w:t>
      </w:r>
      <w:proofErr w:type="gram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poly(</w:t>
      </w:r>
      <w:proofErr w:type="spellStart"/>
      <w:proofErr w:type="gramEnd"/>
      <w:r w:rsidRPr="001241A4">
        <w:rPr>
          <w:rFonts w:asciiTheme="minorHAnsi" w:eastAsia="MS PGothic" w:hAnsiTheme="minorHAnsi"/>
          <w:color w:val="000000"/>
          <w:sz w:val="22"/>
          <w:szCs w:val="22"/>
        </w:rPr>
        <w:t>vinylpyrro</w:t>
      </w:r>
      <w:r>
        <w:rPr>
          <w:rFonts w:asciiTheme="minorHAnsi" w:eastAsia="MS PGothic" w:hAnsiTheme="minorHAnsi"/>
          <w:color w:val="000000"/>
          <w:sz w:val="22"/>
          <w:szCs w:val="22"/>
        </w:rPr>
        <w:t>lidone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) (PVP) </w:t>
      </w:r>
      <w:r w:rsidR="001343BA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>
        <w:rPr>
          <w:rFonts w:asciiTheme="minorHAnsi" w:eastAsia="MS PGothic" w:hAnsiTheme="minorHAnsi"/>
          <w:color w:val="000000"/>
          <w:sz w:val="22"/>
          <w:szCs w:val="22"/>
        </w:rPr>
        <w:t>aqueous solutions</w:t>
      </w:r>
      <w:r w:rsidR="00E200FD">
        <w:rPr>
          <w:rFonts w:asciiTheme="minorHAnsi" w:eastAsia="MS PGothic" w:hAnsiTheme="minorHAnsi"/>
          <w:color w:val="000000"/>
          <w:sz w:val="22"/>
          <w:szCs w:val="22"/>
        </w:rPr>
        <w:t xml:space="preserve"> [3,5]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1343BA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PVP k-60 (</w:t>
      </w:r>
      <w:proofErr w:type="spellStart"/>
      <w:r w:rsidRPr="00E2618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r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1.60×10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 mol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E2618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w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3.95×10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 mol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45 wt</w:t>
      </w:r>
      <w:proofErr w:type="gram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.%</w:t>
      </w:r>
      <w:proofErr w:type="gram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solution) was purchased from Aldrich and used as received. </w:t>
      </w:r>
      <w:proofErr w:type="gramStart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 (99.999% purity) and nitrogen (99.998% purity) were supplied by Air Liquide</w:t>
      </w:r>
      <w:proofErr w:type="gramEnd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other chemicals used</w:t>
      </w:r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from Sigma-Aldrich</w:t>
      </w:r>
      <w:r w:rsidR="004E03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</w:t>
      </w:r>
      <w:proofErr w:type="spellStart"/>
      <w:r w:rsidR="004E0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Fluka</w:t>
      </w:r>
      <w:proofErr w:type="spellEnd"/>
      <w:r w:rsidR="004E03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used as received</w:t>
      </w:r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47B0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Before</w:t>
      </w:r>
      <w:r w:rsidR="004E036E"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experiment</w:t>
      </w:r>
      <w:r w:rsidR="00B47B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E036E"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resh PVP aqueous solutions were prepared </w:t>
      </w:r>
      <w:r w:rsidR="004E036E"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4E036E"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double-distilled water</w:t>
      </w:r>
      <w:r w:rsidR="004E036E"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stirred overnight, filtered with 0.22 </w:t>
      </w:r>
      <w:r w:rsidRPr="001343BA">
        <w:rPr>
          <w:rFonts w:asciiTheme="minorHAnsi" w:eastAsia="MS PGothic" w:hAnsiTheme="minorHAnsi"/>
          <w:color w:val="000000"/>
          <w:sz w:val="22"/>
          <w:szCs w:val="22"/>
          <w:lang w:val="es-ES"/>
        </w:rPr>
        <w:t>μ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nylon filters under vacuum. An undivided 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thermostated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glass cell equipped with a </w:t>
      </w:r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jacket </w:t>
      </w:r>
      <w:proofErr w:type="gramStart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proofErr w:type="spellStart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electrosynthesis</w:t>
      </w:r>
      <w:proofErr w:type="spellEnd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nanogels</w:t>
      </w:r>
      <w:proofErr w:type="spellEnd"/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47B0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cell contained 50 </w:t>
      </w:r>
      <w:r w:rsidRPr="001343BA">
        <w:rPr>
          <w:rFonts w:asciiTheme="minorHAnsi" w:eastAsia="MS PGothic" w:hAnsiTheme="minorHAnsi"/>
          <w:color w:val="000000"/>
          <w:sz w:val="22"/>
          <w:szCs w:val="22"/>
          <w:lang w:val="en-US"/>
        </w:rPr>
        <w:t>cm</w:t>
      </w:r>
      <w:r w:rsidRPr="001343B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PVP solution at a given concentration with 0.05 M Na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presence of FeSO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catalyst at pH 2.8 under continuous stirring. A carbon-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polytetrafluorethylene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(PTFE) air-diffusion electrode </w:t>
      </w:r>
      <w:proofErr w:type="gram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cathode to 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electrogenerate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whereas a 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Ti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/IrO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–Ta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(DSA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®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plate was used as anode. The geometric surface area of all electrodes in contact with PVP solution was </w:t>
      </w:r>
      <w:proofErr w:type="gram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proofErr w:type="gram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cm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cathode </w:t>
      </w:r>
      <w:proofErr w:type="gram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fed</w:t>
      </w:r>
      <w:proofErr w:type="gram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pressurized 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H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E2618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generation. An 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Amel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2053 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potentiostat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galvanostat</w:t>
      </w:r>
      <w:proofErr w:type="spell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employed</w:t>
      </w:r>
      <w:proofErr w:type="gramEnd"/>
      <w:r w:rsidRPr="00E26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operate at constant current.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E54CEC" w:rsidRDefault="001241A4" w:rsidP="00E54CE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1241A4">
        <w:rPr>
          <w:rFonts w:asciiTheme="minorHAnsi" w:eastAsia="MS PGothic" w:hAnsiTheme="minorHAnsi"/>
          <w:color w:val="000000"/>
          <w:sz w:val="22"/>
          <w:szCs w:val="22"/>
        </w:rPr>
        <w:t>The main operation parameters such as polymer concentration, reaction time, catalyst (Fe</w:t>
      </w:r>
      <w:r w:rsidRPr="00B47B0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2+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>) concentration and charge passed (</w:t>
      </w:r>
      <w:r w:rsidRPr="00B47B0B">
        <w:rPr>
          <w:rFonts w:asciiTheme="minorHAnsi" w:eastAsia="MS PGothic" w:hAnsiTheme="minorHAnsi"/>
          <w:i/>
          <w:color w:val="000000"/>
          <w:sz w:val="22"/>
          <w:szCs w:val="22"/>
        </w:rPr>
        <w:t>Q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proofErr w:type="gram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were investigated</w:t>
      </w:r>
      <w:proofErr w:type="gram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. The dimensions of the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nanogel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formed, in terms of hydrodynamic radius (</w:t>
      </w:r>
      <w:r w:rsidRPr="00B47B0B">
        <w:rPr>
          <w:rFonts w:asciiTheme="minorHAnsi" w:eastAsia="MS PGothic" w:hAnsiTheme="minorHAnsi"/>
          <w:i/>
          <w:color w:val="000000"/>
          <w:sz w:val="22"/>
          <w:szCs w:val="22"/>
        </w:rPr>
        <w:t>R</w:t>
      </w:r>
      <w:r w:rsidRPr="00B47B0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h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>) and weight-average molecular weight (</w:t>
      </w:r>
      <w:r w:rsidRPr="00B47B0B">
        <w:rPr>
          <w:rFonts w:asciiTheme="minorHAnsi" w:eastAsia="MS PGothic" w:hAnsiTheme="minorHAnsi"/>
          <w:i/>
          <w:color w:val="000000"/>
          <w:sz w:val="22"/>
          <w:szCs w:val="22"/>
        </w:rPr>
        <w:t>M</w:t>
      </w:r>
      <w:r w:rsidRPr="00B47B0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w</w:t>
      </w:r>
      <w:proofErr w:type="gram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),</w:t>
      </w:r>
      <w:proofErr w:type="gram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have been evaluated via dynamic and static light scattering and gel permeation chromatography (GPC) analyses. In all cases, an important reduction of the size of PVP particles </w:t>
      </w:r>
      <w:proofErr w:type="gram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was achieved</w:t>
      </w:r>
      <w:proofErr w:type="gram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, along with narrower GPC peaks. Chain scission and intra-molecular recombination events were promoted at lower PVP concentration (&lt; 0.50 wt.%) and for the low electrolysis times, leading to a reduction of </w:t>
      </w:r>
      <w:r w:rsidRPr="00B47B0B">
        <w:rPr>
          <w:rFonts w:asciiTheme="minorHAnsi" w:eastAsia="MS PGothic" w:hAnsiTheme="minorHAnsi"/>
          <w:i/>
          <w:color w:val="000000"/>
          <w:sz w:val="22"/>
          <w:szCs w:val="22"/>
        </w:rPr>
        <w:t>R</w:t>
      </w:r>
      <w:r w:rsidRPr="00B47B0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h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from 28 to 8-9 nm at catalyst concentration of 0.5-1.0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mM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, while intermolecular crosslinking also concurred at longer times. Beside the electrolysis time, catalyst concentration and current density, </w:t>
      </w:r>
      <w:r w:rsidRPr="00B47B0B">
        <w:rPr>
          <w:rFonts w:asciiTheme="minorHAnsi" w:eastAsia="MS PGothic" w:hAnsiTheme="minorHAnsi"/>
          <w:i/>
          <w:color w:val="000000"/>
          <w:sz w:val="22"/>
          <w:szCs w:val="22"/>
        </w:rPr>
        <w:t>j</w:t>
      </w:r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, are two other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tunable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 xml:space="preserve"> parameters that can shift the balance between chain scission and crosslinking reactions. FT-IR analyses confirmed the functionalization of PVP </w:t>
      </w:r>
      <w:proofErr w:type="spellStart"/>
      <w:r w:rsidRPr="001241A4">
        <w:rPr>
          <w:rFonts w:asciiTheme="minorHAnsi" w:eastAsia="MS PGothic" w:hAnsiTheme="minorHAnsi"/>
          <w:color w:val="000000"/>
          <w:sz w:val="22"/>
          <w:szCs w:val="22"/>
        </w:rPr>
        <w:t>nanogels</w:t>
      </w:r>
      <w:proofErr w:type="spellEnd"/>
      <w:r w:rsidRPr="001241A4">
        <w:rPr>
          <w:rFonts w:asciiTheme="minorHAnsi" w:eastAsia="MS PGothic" w:hAnsiTheme="minorHAnsi"/>
          <w:color w:val="000000"/>
          <w:sz w:val="22"/>
          <w:szCs w:val="22"/>
        </w:rPr>
        <w:t>, which become suitable for further conjugation reactions with biologically relevant molecules.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4E036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We found that 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EF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can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be adopted to crosslink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PVP </w:t>
      </w:r>
      <w:r>
        <w:rPr>
          <w:rFonts w:asciiTheme="minorHAnsi" w:eastAsia="MS PGothic" w:hAnsiTheme="minorHAnsi"/>
          <w:color w:val="000000"/>
          <w:sz w:val="22"/>
          <w:szCs w:val="22"/>
        </w:rPr>
        <w:t>thus offering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a cheap, eco-friendly, simple and fast alternative to current technologies. The adoption of </w:t>
      </w:r>
      <w:r w:rsidR="00E54CEC">
        <w:rPr>
          <w:rFonts w:asciiTheme="minorHAnsi" w:eastAsia="MS PGothic" w:hAnsiTheme="minorHAnsi"/>
          <w:color w:val="000000"/>
          <w:sz w:val="22"/>
          <w:szCs w:val="22"/>
        </w:rPr>
        <w:t>proper balance of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operation conditions is crucial for tuning up the</w:t>
      </w:r>
      <w:r w:rsidR="00B47B0B">
        <w:rPr>
          <w:rFonts w:asciiTheme="minorHAnsi" w:eastAsia="MS PGothic" w:hAnsiTheme="minorHAnsi"/>
          <w:color w:val="000000"/>
          <w:sz w:val="22"/>
          <w:szCs w:val="22"/>
        </w:rPr>
        <w:t xml:space="preserve"> main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47B0B">
        <w:rPr>
          <w:rFonts w:asciiTheme="minorHAnsi" w:eastAsia="MS PGothic" w:hAnsiTheme="minorHAnsi"/>
          <w:color w:val="000000"/>
          <w:sz w:val="22"/>
          <w:szCs w:val="22"/>
        </w:rPr>
        <w:t>features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of the resulting PVP </w:t>
      </w:r>
      <w:proofErr w:type="spellStart"/>
      <w:r w:rsidRPr="004E036E">
        <w:rPr>
          <w:rFonts w:asciiTheme="minorHAnsi" w:eastAsia="MS PGothic" w:hAnsiTheme="minorHAnsi"/>
          <w:color w:val="000000"/>
          <w:sz w:val="22"/>
          <w:szCs w:val="22"/>
        </w:rPr>
        <w:t>nanogel</w:t>
      </w:r>
      <w:proofErr w:type="spellEnd"/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in terms of particle size, mass and functionalization, which </w:t>
      </w:r>
      <w:proofErr w:type="gramStart"/>
      <w:r w:rsidRPr="004E036E">
        <w:rPr>
          <w:rFonts w:asciiTheme="minorHAnsi" w:eastAsia="MS PGothic" w:hAnsiTheme="minorHAnsi"/>
          <w:color w:val="000000"/>
          <w:sz w:val="22"/>
          <w:szCs w:val="22"/>
        </w:rPr>
        <w:t>are modulated</w:t>
      </w:r>
      <w:proofErr w:type="gramEnd"/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by the rate of generation of </w:t>
      </w:r>
      <w:r w:rsidRPr="004E036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sym w:font="Symbol" w:char="F0B7"/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OH obtained from in situ </w:t>
      </w:r>
      <w:proofErr w:type="spellStart"/>
      <w:r w:rsidRPr="004E036E">
        <w:rPr>
          <w:rFonts w:asciiTheme="minorHAnsi" w:eastAsia="MS PGothic" w:hAnsiTheme="minorHAnsi"/>
          <w:color w:val="000000"/>
          <w:sz w:val="22"/>
          <w:szCs w:val="22"/>
        </w:rPr>
        <w:t>electrogenerated</w:t>
      </w:r>
      <w:proofErr w:type="spellEnd"/>
      <w:r w:rsidRPr="004E036E">
        <w:rPr>
          <w:rFonts w:asciiTheme="minorHAnsi" w:eastAsia="MS PGothic" w:hAnsiTheme="minorHAnsi"/>
          <w:color w:val="000000"/>
          <w:sz w:val="22"/>
          <w:szCs w:val="22"/>
        </w:rPr>
        <w:t xml:space="preserve"> H</w:t>
      </w:r>
      <w:r w:rsidRPr="004E036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4E036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4E036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3A12A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426703" w:rsidRPr="00C73909" w:rsidRDefault="00C73909" w:rsidP="00C7390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rPr>
          <w:rFonts w:asciiTheme="minorHAnsi" w:eastAsia="SimSun" w:hAnsiTheme="minorHAnsi"/>
          <w:lang w:val="es-ES" w:eastAsia="zh-CN"/>
        </w:rPr>
      </w:pPr>
      <w:r>
        <w:rPr>
          <w:rFonts w:asciiTheme="minorHAnsi" w:eastAsia="SimSun" w:hAnsiTheme="minorHAnsi"/>
          <w:lang w:eastAsia="zh-CN"/>
        </w:rPr>
        <w:t>[1]</w:t>
      </w:r>
      <w:r>
        <w:rPr>
          <w:rFonts w:asciiTheme="minorHAnsi" w:eastAsia="SimSun" w:hAnsiTheme="minorHAnsi"/>
          <w:lang w:eastAsia="zh-CN"/>
        </w:rPr>
        <w:tab/>
      </w:r>
      <w:r w:rsidR="00E200FD" w:rsidRPr="00C73909">
        <w:rPr>
          <w:rFonts w:asciiTheme="minorHAnsi" w:eastAsia="SimSun" w:hAnsiTheme="minorHAnsi"/>
          <w:lang w:eastAsia="zh-CN"/>
        </w:rPr>
        <w:t xml:space="preserve">A.S. Hoffman, </w:t>
      </w:r>
      <w:r>
        <w:rPr>
          <w:rFonts w:asciiTheme="minorHAnsi" w:eastAsia="SimSun" w:hAnsiTheme="minorHAnsi"/>
          <w:lang w:eastAsia="zh-CN"/>
        </w:rPr>
        <w:t>Adv.</w:t>
      </w:r>
      <w:r w:rsidR="00426703" w:rsidRPr="00C73909">
        <w:rPr>
          <w:rFonts w:asciiTheme="minorHAnsi" w:eastAsia="SimSun" w:hAnsiTheme="minorHAnsi"/>
          <w:lang w:eastAsia="zh-CN"/>
        </w:rPr>
        <w:t xml:space="preserve"> Drug </w:t>
      </w:r>
      <w:proofErr w:type="spellStart"/>
      <w:r>
        <w:rPr>
          <w:rFonts w:asciiTheme="minorHAnsi" w:eastAsia="SimSun" w:hAnsiTheme="minorHAnsi"/>
          <w:lang w:eastAsia="zh-CN"/>
        </w:rPr>
        <w:t>Deliv</w:t>
      </w:r>
      <w:proofErr w:type="spellEnd"/>
      <w:r>
        <w:rPr>
          <w:rFonts w:asciiTheme="minorHAnsi" w:eastAsia="SimSun" w:hAnsiTheme="minorHAnsi"/>
          <w:lang w:eastAsia="zh-CN"/>
        </w:rPr>
        <w:t xml:space="preserve">. </w:t>
      </w:r>
      <w:r w:rsidRPr="00C73909">
        <w:rPr>
          <w:rFonts w:asciiTheme="minorHAnsi" w:eastAsia="SimSun" w:hAnsiTheme="minorHAnsi"/>
          <w:lang w:val="es-ES" w:eastAsia="zh-CN"/>
        </w:rPr>
        <w:t xml:space="preserve">Rev. </w:t>
      </w:r>
      <w:r w:rsidR="00E200FD" w:rsidRPr="00C73909">
        <w:rPr>
          <w:rFonts w:asciiTheme="minorHAnsi" w:eastAsia="SimSun" w:hAnsiTheme="minorHAnsi"/>
          <w:lang w:val="es-ES" w:eastAsia="zh-CN"/>
        </w:rPr>
        <w:t>6</w:t>
      </w:r>
      <w:r w:rsidRPr="00C73909">
        <w:rPr>
          <w:rFonts w:asciiTheme="minorHAnsi" w:eastAsia="SimSun" w:hAnsiTheme="minorHAnsi"/>
          <w:lang w:val="es-ES" w:eastAsia="zh-CN"/>
        </w:rPr>
        <w:t>4 (2012)</w:t>
      </w:r>
      <w:r w:rsidR="00E200FD" w:rsidRPr="00C73909">
        <w:rPr>
          <w:rFonts w:asciiTheme="minorHAnsi" w:eastAsia="SimSun" w:hAnsiTheme="minorHAnsi"/>
          <w:lang w:val="es-ES" w:eastAsia="zh-CN"/>
        </w:rPr>
        <w:t xml:space="preserve"> 18</w:t>
      </w:r>
      <w:r w:rsidRPr="00C73909">
        <w:rPr>
          <w:rFonts w:asciiTheme="minorHAnsi" w:hAnsiTheme="minorHAnsi"/>
          <w:color w:val="000000"/>
          <w:lang w:val="es-ES"/>
        </w:rPr>
        <w:t>–</w:t>
      </w:r>
      <w:r w:rsidR="00E200FD" w:rsidRPr="00C73909">
        <w:rPr>
          <w:rFonts w:asciiTheme="minorHAnsi" w:eastAsia="SimSun" w:hAnsiTheme="minorHAnsi"/>
          <w:lang w:val="es-ES" w:eastAsia="zh-CN"/>
        </w:rPr>
        <w:t>23</w:t>
      </w:r>
      <w:r w:rsidR="00426703" w:rsidRPr="00C73909">
        <w:rPr>
          <w:rFonts w:asciiTheme="minorHAnsi" w:eastAsia="SimSun" w:hAnsiTheme="minorHAnsi"/>
          <w:lang w:val="es-ES" w:eastAsia="zh-CN"/>
        </w:rPr>
        <w:t>.</w:t>
      </w:r>
    </w:p>
    <w:p w:rsidR="00426703" w:rsidRPr="00C73909" w:rsidRDefault="00C73909" w:rsidP="00C7390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rPr>
          <w:rFonts w:asciiTheme="minorHAnsi" w:eastAsia="SimSun" w:hAnsiTheme="minorHAnsi"/>
          <w:lang w:val="es-ES" w:eastAsia="zh-CN"/>
        </w:rPr>
      </w:pPr>
      <w:r w:rsidRPr="00C73909">
        <w:rPr>
          <w:rFonts w:asciiTheme="minorHAnsi" w:eastAsia="SimSun" w:hAnsiTheme="minorHAnsi"/>
          <w:lang w:val="es-ES" w:eastAsia="zh-CN"/>
        </w:rPr>
        <w:t>[2]</w:t>
      </w:r>
      <w:r w:rsidRPr="00C73909">
        <w:rPr>
          <w:rFonts w:asciiTheme="minorHAnsi" w:eastAsia="SimSun" w:hAnsiTheme="minorHAnsi"/>
          <w:lang w:val="es-ES" w:eastAsia="zh-CN"/>
        </w:rPr>
        <w:tab/>
      </w:r>
      <w:r w:rsidR="00E200FD" w:rsidRPr="00C73909">
        <w:rPr>
          <w:rFonts w:asciiTheme="minorHAnsi" w:eastAsia="SimSun" w:hAnsiTheme="minorHAnsi"/>
          <w:lang w:val="es-ES" w:eastAsia="zh-CN"/>
        </w:rPr>
        <w:t>C. Dispenza</w:t>
      </w:r>
      <w:r w:rsidR="00426703" w:rsidRPr="00C73909">
        <w:rPr>
          <w:rFonts w:asciiTheme="minorHAnsi" w:eastAsia="SimSun" w:hAnsiTheme="minorHAnsi"/>
          <w:lang w:val="es-ES" w:eastAsia="zh-CN"/>
        </w:rPr>
        <w:t xml:space="preserve">, M.L. Bondì, M.A. Sabatino, M.P. Casaletto, N. Grimaldi, S. Rigogliuso, </w:t>
      </w:r>
      <w:r w:rsidRPr="00C73909">
        <w:rPr>
          <w:rFonts w:asciiTheme="minorHAnsi" w:eastAsia="SimSun" w:hAnsiTheme="minorHAnsi"/>
          <w:lang w:val="es-ES" w:eastAsia="zh-CN"/>
        </w:rPr>
        <w:t xml:space="preserve">D. Bulone, G. Adamo, </w:t>
      </w:r>
      <w:r w:rsidR="00426703" w:rsidRPr="00C73909">
        <w:rPr>
          <w:rFonts w:asciiTheme="minorHAnsi" w:eastAsia="SimSun" w:hAnsiTheme="minorHAnsi"/>
          <w:lang w:val="es-ES" w:eastAsia="zh-CN"/>
        </w:rPr>
        <w:t>G. G</w:t>
      </w:r>
      <w:r w:rsidRPr="00C73909">
        <w:rPr>
          <w:rFonts w:asciiTheme="minorHAnsi" w:eastAsia="SimSun" w:hAnsiTheme="minorHAnsi"/>
          <w:lang w:val="es-ES" w:eastAsia="zh-CN"/>
        </w:rPr>
        <w:t>hersi</w:t>
      </w:r>
      <w:r>
        <w:rPr>
          <w:rFonts w:asciiTheme="minorHAnsi" w:eastAsia="SimSun" w:hAnsiTheme="minorHAnsi"/>
          <w:lang w:val="es-ES" w:eastAsia="zh-CN"/>
        </w:rPr>
        <w:t>,</w:t>
      </w:r>
      <w:r w:rsidR="00426703" w:rsidRPr="00C73909">
        <w:rPr>
          <w:rFonts w:asciiTheme="minorHAnsi" w:eastAsia="SimSun" w:hAnsiTheme="minorHAnsi"/>
          <w:lang w:val="es-ES" w:eastAsia="zh-CN"/>
        </w:rPr>
        <w:t xml:space="preserve"> Biomacromol</w:t>
      </w:r>
      <w:r w:rsidR="00E200FD" w:rsidRPr="00C73909">
        <w:rPr>
          <w:rFonts w:asciiTheme="minorHAnsi" w:eastAsia="SimSun" w:hAnsiTheme="minorHAnsi"/>
          <w:lang w:val="es-ES" w:eastAsia="zh-CN"/>
        </w:rPr>
        <w:t>ecules</w:t>
      </w:r>
      <w:r>
        <w:rPr>
          <w:rFonts w:asciiTheme="minorHAnsi" w:eastAsia="SimSun" w:hAnsiTheme="minorHAnsi"/>
          <w:lang w:val="es-ES" w:eastAsia="zh-CN"/>
        </w:rPr>
        <w:t xml:space="preserve"> 13 (2012)</w:t>
      </w:r>
      <w:r w:rsidR="00E200FD" w:rsidRPr="00C73909">
        <w:rPr>
          <w:rFonts w:asciiTheme="minorHAnsi" w:eastAsia="SimSun" w:hAnsiTheme="minorHAnsi"/>
          <w:lang w:val="es-ES" w:eastAsia="zh-CN"/>
        </w:rPr>
        <w:t xml:space="preserve"> 1805</w:t>
      </w:r>
      <w:r w:rsidRPr="00C73909">
        <w:rPr>
          <w:rFonts w:asciiTheme="minorHAnsi" w:hAnsiTheme="minorHAnsi"/>
          <w:color w:val="000000"/>
          <w:lang w:val="es-ES"/>
        </w:rPr>
        <w:t>–</w:t>
      </w:r>
      <w:r w:rsidR="00E200FD" w:rsidRPr="00C73909">
        <w:rPr>
          <w:rFonts w:asciiTheme="minorHAnsi" w:eastAsia="SimSun" w:hAnsiTheme="minorHAnsi"/>
          <w:lang w:val="es-ES" w:eastAsia="zh-CN"/>
        </w:rPr>
        <w:t>1817.</w:t>
      </w:r>
    </w:p>
    <w:p w:rsidR="00426703" w:rsidRPr="00C73909" w:rsidRDefault="00C73909" w:rsidP="00C7390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rPr>
          <w:rFonts w:asciiTheme="minorHAnsi" w:eastAsia="SimSun" w:hAnsiTheme="minorHAnsi"/>
          <w:lang w:val="it-IT" w:eastAsia="zh-CN"/>
        </w:rPr>
      </w:pPr>
      <w:r w:rsidRPr="00C73909">
        <w:rPr>
          <w:rFonts w:asciiTheme="minorHAnsi" w:eastAsia="SimSun" w:hAnsiTheme="minorHAnsi"/>
          <w:lang w:val="es-ES" w:eastAsia="zh-CN"/>
        </w:rPr>
        <w:t>[3]</w:t>
      </w:r>
      <w:r w:rsidRPr="00C73909">
        <w:rPr>
          <w:rFonts w:asciiTheme="minorHAnsi" w:eastAsia="SimSun" w:hAnsiTheme="minorHAnsi"/>
          <w:lang w:val="es-ES" w:eastAsia="zh-CN"/>
        </w:rPr>
        <w:tab/>
      </w:r>
      <w:r w:rsidR="00E200FD" w:rsidRPr="00C73909">
        <w:rPr>
          <w:rFonts w:asciiTheme="minorHAnsi" w:eastAsia="SimSun" w:hAnsiTheme="minorHAnsi"/>
          <w:lang w:val="es-ES" w:eastAsia="zh-CN"/>
        </w:rPr>
        <w:t>A. Galia</w:t>
      </w:r>
      <w:r w:rsidR="00426703" w:rsidRPr="00C73909">
        <w:rPr>
          <w:rFonts w:asciiTheme="minorHAnsi" w:eastAsia="SimSun" w:hAnsiTheme="minorHAnsi"/>
          <w:lang w:val="es-ES" w:eastAsia="zh-CN"/>
        </w:rPr>
        <w:t xml:space="preserve">, S. Lanzalaco, M.A. Sabatino, C. Dispenza, O. Scialdone, I. Sirés, </w:t>
      </w:r>
      <w:r>
        <w:rPr>
          <w:rFonts w:asciiTheme="minorHAnsi" w:eastAsia="SimSun" w:hAnsiTheme="minorHAnsi"/>
          <w:lang w:val="it-IT" w:eastAsia="zh-CN"/>
        </w:rPr>
        <w:t>Electrochem. Commun.</w:t>
      </w:r>
      <w:r w:rsidR="00426703" w:rsidRPr="00C73909">
        <w:rPr>
          <w:rFonts w:asciiTheme="minorHAnsi" w:eastAsia="SimSun" w:hAnsiTheme="minorHAnsi"/>
          <w:lang w:val="it-IT" w:eastAsia="zh-CN"/>
        </w:rPr>
        <w:t xml:space="preserve"> </w:t>
      </w:r>
      <w:r>
        <w:rPr>
          <w:rFonts w:asciiTheme="minorHAnsi" w:eastAsia="SimSun" w:hAnsiTheme="minorHAnsi"/>
          <w:lang w:val="it-IT" w:eastAsia="zh-CN"/>
        </w:rPr>
        <w:t xml:space="preserve">62 (2016) </w:t>
      </w:r>
      <w:r w:rsidR="00426703" w:rsidRPr="00C73909">
        <w:rPr>
          <w:rFonts w:asciiTheme="minorHAnsi" w:eastAsia="SimSun" w:hAnsiTheme="minorHAnsi"/>
          <w:lang w:val="it-IT" w:eastAsia="zh-CN"/>
        </w:rPr>
        <w:t>64</w:t>
      </w:r>
      <w:r w:rsidRPr="008D0BEB">
        <w:rPr>
          <w:rFonts w:asciiTheme="minorHAnsi" w:hAnsiTheme="minorHAnsi"/>
          <w:color w:val="000000"/>
        </w:rPr>
        <w:t>–</w:t>
      </w:r>
      <w:r w:rsidR="00426703" w:rsidRPr="00C73909">
        <w:rPr>
          <w:rFonts w:asciiTheme="minorHAnsi" w:eastAsia="SimSun" w:hAnsiTheme="minorHAnsi"/>
          <w:lang w:val="it-IT" w:eastAsia="zh-CN"/>
        </w:rPr>
        <w:t>68.</w:t>
      </w:r>
    </w:p>
    <w:p w:rsidR="001343BA" w:rsidRPr="00C73909" w:rsidRDefault="00C73909" w:rsidP="00C7390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rPr>
          <w:rFonts w:asciiTheme="minorHAnsi" w:eastAsia="SimSun" w:hAnsiTheme="minorHAnsi"/>
          <w:lang w:val="es-ES" w:eastAsia="zh-CN"/>
        </w:rPr>
      </w:pPr>
      <w:r w:rsidRPr="00C73909">
        <w:rPr>
          <w:rFonts w:asciiTheme="minorHAnsi" w:eastAsia="SimSun" w:hAnsiTheme="minorHAnsi"/>
          <w:bCs/>
          <w:lang w:val="es-ES" w:eastAsia="zh-CN"/>
        </w:rPr>
        <w:t>[4]</w:t>
      </w:r>
      <w:r w:rsidRPr="00C73909">
        <w:rPr>
          <w:rFonts w:asciiTheme="minorHAnsi" w:eastAsia="SimSun" w:hAnsiTheme="minorHAnsi"/>
          <w:bCs/>
          <w:lang w:val="es-ES" w:eastAsia="zh-CN"/>
        </w:rPr>
        <w:tab/>
      </w:r>
      <w:r w:rsidR="001343BA" w:rsidRPr="00C73909">
        <w:rPr>
          <w:rFonts w:asciiTheme="minorHAnsi" w:eastAsia="SimSun" w:hAnsiTheme="minorHAnsi"/>
          <w:bCs/>
          <w:lang w:val="es-ES" w:eastAsia="zh-CN"/>
        </w:rPr>
        <w:t xml:space="preserve">M. Teodorescu, M. Bercea, </w:t>
      </w:r>
      <w:r w:rsidRPr="00C73909">
        <w:rPr>
          <w:rFonts w:asciiTheme="minorHAnsi" w:eastAsia="SimSun" w:hAnsiTheme="minorHAnsi"/>
          <w:bCs/>
          <w:lang w:val="es-ES" w:eastAsia="zh-CN"/>
        </w:rPr>
        <w:t xml:space="preserve">Polym. </w:t>
      </w:r>
      <w:proofErr w:type="spellStart"/>
      <w:r w:rsidR="00E200FD" w:rsidRPr="00C73909">
        <w:rPr>
          <w:rFonts w:asciiTheme="minorHAnsi" w:eastAsia="SimSun" w:hAnsiTheme="minorHAnsi"/>
          <w:bCs/>
          <w:lang w:val="en-GB" w:eastAsia="zh-CN"/>
        </w:rPr>
        <w:t>P</w:t>
      </w:r>
      <w:r>
        <w:rPr>
          <w:rFonts w:asciiTheme="minorHAnsi" w:eastAsia="SimSun" w:hAnsiTheme="minorHAnsi"/>
          <w:bCs/>
          <w:lang w:val="en-GB" w:eastAsia="zh-CN"/>
        </w:rPr>
        <w:t>last</w:t>
      </w:r>
      <w:proofErr w:type="spellEnd"/>
      <w:r>
        <w:rPr>
          <w:rFonts w:asciiTheme="minorHAnsi" w:eastAsia="SimSun" w:hAnsiTheme="minorHAnsi"/>
          <w:bCs/>
          <w:lang w:val="en-GB" w:eastAsia="zh-CN"/>
        </w:rPr>
        <w:t xml:space="preserve">. Technol. </w:t>
      </w:r>
      <w:r w:rsidRPr="00C73909">
        <w:rPr>
          <w:rFonts w:asciiTheme="minorHAnsi" w:eastAsia="SimSun" w:hAnsiTheme="minorHAnsi"/>
          <w:bCs/>
          <w:lang w:val="es-ES" w:eastAsia="zh-CN"/>
        </w:rPr>
        <w:t>Eng.</w:t>
      </w:r>
      <w:r w:rsidR="00E200FD" w:rsidRPr="00C73909">
        <w:rPr>
          <w:rFonts w:asciiTheme="minorHAnsi" w:eastAsia="SimSun" w:hAnsiTheme="minorHAnsi"/>
          <w:bCs/>
          <w:lang w:val="es-ES" w:eastAsia="zh-CN"/>
        </w:rPr>
        <w:t xml:space="preserve"> </w:t>
      </w:r>
      <w:r w:rsidRPr="00C73909">
        <w:rPr>
          <w:rFonts w:asciiTheme="minorHAnsi" w:eastAsia="SimSun" w:hAnsiTheme="minorHAnsi"/>
          <w:bCs/>
          <w:lang w:val="es-ES" w:eastAsia="zh-CN"/>
        </w:rPr>
        <w:t>54 (2015)</w:t>
      </w:r>
      <w:r w:rsidR="001343BA" w:rsidRPr="00C73909">
        <w:rPr>
          <w:rFonts w:asciiTheme="minorHAnsi" w:eastAsia="SimSun" w:hAnsiTheme="minorHAnsi"/>
          <w:bCs/>
          <w:lang w:val="es-ES" w:eastAsia="zh-CN"/>
        </w:rPr>
        <w:t xml:space="preserve"> 923</w:t>
      </w:r>
      <w:r w:rsidRPr="00C73909">
        <w:rPr>
          <w:rFonts w:asciiTheme="minorHAnsi" w:hAnsiTheme="minorHAnsi"/>
          <w:color w:val="000000"/>
          <w:lang w:val="es-ES"/>
        </w:rPr>
        <w:t>–</w:t>
      </w:r>
      <w:r w:rsidR="001343BA" w:rsidRPr="00C73909">
        <w:rPr>
          <w:rFonts w:asciiTheme="minorHAnsi" w:eastAsia="SimSun" w:hAnsiTheme="minorHAnsi"/>
          <w:bCs/>
          <w:lang w:val="es-ES" w:eastAsia="zh-CN"/>
        </w:rPr>
        <w:t>943.</w:t>
      </w:r>
    </w:p>
    <w:p w:rsidR="001241A4" w:rsidRPr="00C73909" w:rsidRDefault="00830234" w:rsidP="00C7390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rPr>
          <w:rFonts w:asciiTheme="minorHAnsi" w:eastAsia="SimSun" w:hAnsiTheme="minorHAnsi"/>
          <w:lang w:val="es-ES" w:eastAsia="zh-CN"/>
        </w:rPr>
      </w:pPr>
      <w:r w:rsidRPr="00C73909">
        <w:rPr>
          <w:rFonts w:asciiTheme="minorHAnsi" w:eastAsia="SimSun" w:hAnsiTheme="minorHAnsi"/>
          <w:lang w:val="es-ES" w:eastAsia="zh-CN"/>
        </w:rPr>
        <w:t>[5</w:t>
      </w:r>
      <w:r w:rsidR="00C73909" w:rsidRPr="00C73909">
        <w:rPr>
          <w:rFonts w:asciiTheme="minorHAnsi" w:eastAsia="SimSun" w:hAnsiTheme="minorHAnsi"/>
          <w:lang w:val="es-ES" w:eastAsia="zh-CN"/>
        </w:rPr>
        <w:t>]</w:t>
      </w:r>
      <w:r w:rsidR="00C73909" w:rsidRPr="00C73909">
        <w:rPr>
          <w:rFonts w:asciiTheme="minorHAnsi" w:eastAsia="SimSun" w:hAnsiTheme="minorHAnsi"/>
          <w:lang w:val="es-ES" w:eastAsia="zh-CN"/>
        </w:rPr>
        <w:tab/>
      </w:r>
      <w:r w:rsidRPr="00C73909">
        <w:rPr>
          <w:rFonts w:asciiTheme="minorHAnsi" w:eastAsia="SimSun" w:hAnsiTheme="minorHAnsi"/>
          <w:lang w:val="es-ES" w:eastAsia="zh-CN"/>
        </w:rPr>
        <w:t xml:space="preserve">S. Lanzalaco, I. Sirés, M.A. Sabatino, C. Dispenza, O. Scialdone, A. Galia, </w:t>
      </w:r>
      <w:r w:rsidR="00C73909" w:rsidRPr="00C73909">
        <w:rPr>
          <w:rFonts w:asciiTheme="minorHAnsi" w:eastAsia="SimSun" w:hAnsiTheme="minorHAnsi"/>
          <w:lang w:val="es-ES" w:eastAsia="zh-CN"/>
        </w:rPr>
        <w:t xml:space="preserve">Electrochim. </w:t>
      </w:r>
      <w:r w:rsidR="00C73909">
        <w:rPr>
          <w:rFonts w:asciiTheme="minorHAnsi" w:eastAsia="SimSun" w:hAnsiTheme="minorHAnsi"/>
          <w:lang w:val="es-ES" w:eastAsia="zh-CN"/>
        </w:rPr>
        <w:t>Acta 246 (</w:t>
      </w:r>
      <w:r w:rsidRPr="00C73909">
        <w:rPr>
          <w:rFonts w:asciiTheme="minorHAnsi" w:eastAsia="SimSun" w:hAnsiTheme="minorHAnsi"/>
          <w:lang w:val="es-ES" w:eastAsia="zh-CN"/>
        </w:rPr>
        <w:t>2017</w:t>
      </w:r>
      <w:r w:rsidR="00C73909">
        <w:rPr>
          <w:rFonts w:asciiTheme="minorHAnsi" w:eastAsia="SimSun" w:hAnsiTheme="minorHAnsi"/>
          <w:lang w:val="es-ES" w:eastAsia="zh-CN"/>
        </w:rPr>
        <w:t>)</w:t>
      </w:r>
      <w:r w:rsidRPr="00C73909">
        <w:rPr>
          <w:rFonts w:asciiTheme="minorHAnsi" w:eastAsia="SimSun" w:hAnsiTheme="minorHAnsi"/>
          <w:lang w:val="it-IT" w:eastAsia="zh-CN"/>
        </w:rPr>
        <w:t xml:space="preserve"> 812</w:t>
      </w:r>
      <w:r w:rsidR="00C73909" w:rsidRPr="00C73909">
        <w:rPr>
          <w:rFonts w:asciiTheme="minorHAnsi" w:hAnsiTheme="minorHAnsi"/>
          <w:color w:val="000000"/>
          <w:lang w:val="es-ES"/>
        </w:rPr>
        <w:t>–</w:t>
      </w:r>
      <w:r w:rsidRPr="00C73909">
        <w:rPr>
          <w:rFonts w:asciiTheme="minorHAnsi" w:eastAsia="SimSun" w:hAnsiTheme="minorHAnsi"/>
          <w:lang w:val="it-IT" w:eastAsia="zh-CN"/>
        </w:rPr>
        <w:t>822.</w:t>
      </w:r>
    </w:p>
    <w:sectPr w:rsidR="001241A4" w:rsidRPr="00C73909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20" w:rsidRDefault="00885020" w:rsidP="004F5E36">
      <w:r>
        <w:separator/>
      </w:r>
    </w:p>
  </w:endnote>
  <w:endnote w:type="continuationSeparator" w:id="0">
    <w:p w:rsidR="00885020" w:rsidRDefault="0088502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20" w:rsidRDefault="00885020" w:rsidP="004F5E36">
      <w:r>
        <w:separator/>
      </w:r>
    </w:p>
  </w:footnote>
  <w:footnote w:type="continuationSeparator" w:id="0">
    <w:p w:rsidR="00885020" w:rsidRDefault="0088502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C2112F" w:rsidRDefault="00C2112F" w:rsidP="00C2112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3rd Workshop on Electrochemical Engineering: </w:t>
    </w:r>
  </w:p>
  <w:p w:rsidR="00704BDF" w:rsidRDefault="00C2112F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Industrial Electrochemistry and </w:t>
    </w:r>
    <w:proofErr w:type="spellStart"/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>Electrocatalysis</w:t>
    </w:r>
    <w:proofErr w:type="spellEnd"/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3DC8"/>
    <w:rsid w:val="000117CB"/>
    <w:rsid w:val="0003148D"/>
    <w:rsid w:val="00062A9A"/>
    <w:rsid w:val="0007509A"/>
    <w:rsid w:val="000A03B2"/>
    <w:rsid w:val="000D34BE"/>
    <w:rsid w:val="000E36F1"/>
    <w:rsid w:val="000E3A73"/>
    <w:rsid w:val="000E414A"/>
    <w:rsid w:val="001241A4"/>
    <w:rsid w:val="0013121F"/>
    <w:rsid w:val="001343BA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12AB"/>
    <w:rsid w:val="003A7D1C"/>
    <w:rsid w:val="00413851"/>
    <w:rsid w:val="00426703"/>
    <w:rsid w:val="0046164A"/>
    <w:rsid w:val="00462DCD"/>
    <w:rsid w:val="004D1162"/>
    <w:rsid w:val="004E036E"/>
    <w:rsid w:val="004E4DD6"/>
    <w:rsid w:val="004F5E36"/>
    <w:rsid w:val="005119A5"/>
    <w:rsid w:val="005278B7"/>
    <w:rsid w:val="005346C8"/>
    <w:rsid w:val="00594E9F"/>
    <w:rsid w:val="005A082C"/>
    <w:rsid w:val="005B61E6"/>
    <w:rsid w:val="005C77E1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A58D2"/>
    <w:rsid w:val="006C38A0"/>
    <w:rsid w:val="006C5579"/>
    <w:rsid w:val="00704BDF"/>
    <w:rsid w:val="00736B13"/>
    <w:rsid w:val="007447F3"/>
    <w:rsid w:val="007661C8"/>
    <w:rsid w:val="007D52CD"/>
    <w:rsid w:val="00813288"/>
    <w:rsid w:val="008168FC"/>
    <w:rsid w:val="00830234"/>
    <w:rsid w:val="008479A2"/>
    <w:rsid w:val="0087637F"/>
    <w:rsid w:val="00885020"/>
    <w:rsid w:val="008A1512"/>
    <w:rsid w:val="008D0BEB"/>
    <w:rsid w:val="008E566E"/>
    <w:rsid w:val="00901EB6"/>
    <w:rsid w:val="009450CE"/>
    <w:rsid w:val="0095164B"/>
    <w:rsid w:val="009601F6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47B0B"/>
    <w:rsid w:val="00B61DBF"/>
    <w:rsid w:val="00BC30C9"/>
    <w:rsid w:val="00BE3E58"/>
    <w:rsid w:val="00C01616"/>
    <w:rsid w:val="00C0162B"/>
    <w:rsid w:val="00C2112F"/>
    <w:rsid w:val="00C345B1"/>
    <w:rsid w:val="00C40142"/>
    <w:rsid w:val="00C57182"/>
    <w:rsid w:val="00C655FD"/>
    <w:rsid w:val="00C73909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00FD"/>
    <w:rsid w:val="00E23CA1"/>
    <w:rsid w:val="00E2618D"/>
    <w:rsid w:val="00E409A8"/>
    <w:rsid w:val="00E54CEC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643A-B1D3-485C-96FE-8F8338A7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Windows User</cp:lastModifiedBy>
  <cp:revision>2</cp:revision>
  <cp:lastPrinted>2015-05-12T18:31:00Z</cp:lastPrinted>
  <dcterms:created xsi:type="dcterms:W3CDTF">2019-02-27T08:54:00Z</dcterms:created>
  <dcterms:modified xsi:type="dcterms:W3CDTF">2019-02-27T08:54:00Z</dcterms:modified>
</cp:coreProperties>
</file>