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6874AC" w:rsidRPr="00DE0019" w:rsidRDefault="006874AC" w:rsidP="006874AC">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Investigation on the Limiting Oxygen Index of bitumen-</w:t>
      </w:r>
      <w:proofErr w:type="spellStart"/>
      <w:r>
        <w:rPr>
          <w:rFonts w:asciiTheme="minorHAnsi" w:eastAsia="MS PGothic" w:hAnsiTheme="minorHAnsi"/>
          <w:b/>
          <w:bCs/>
          <w:sz w:val="28"/>
          <w:szCs w:val="28"/>
          <w:lang w:val="en-US"/>
        </w:rPr>
        <w:t>organoclay</w:t>
      </w:r>
      <w:proofErr w:type="spellEnd"/>
      <w:r>
        <w:rPr>
          <w:rFonts w:asciiTheme="minorHAnsi" w:eastAsia="MS PGothic" w:hAnsiTheme="minorHAnsi"/>
          <w:b/>
          <w:bCs/>
          <w:sz w:val="28"/>
          <w:szCs w:val="28"/>
          <w:lang w:val="en-US"/>
        </w:rPr>
        <w:t xml:space="preserve"> nanocomposites</w:t>
      </w:r>
      <w:r w:rsidRPr="00DE0019">
        <w:rPr>
          <w:rFonts w:asciiTheme="minorHAnsi" w:eastAsia="MS PGothic" w:hAnsiTheme="minorHAnsi"/>
          <w:b/>
          <w:bCs/>
          <w:sz w:val="28"/>
          <w:szCs w:val="28"/>
          <w:lang w:val="en-US"/>
        </w:rPr>
        <w:t xml:space="preserve"> </w:t>
      </w:r>
    </w:p>
    <w:p w:rsidR="006874AC" w:rsidRPr="008406EB" w:rsidRDefault="006874AC" w:rsidP="006874AC">
      <w:pPr>
        <w:snapToGrid w:val="0"/>
        <w:spacing w:after="120"/>
        <w:jc w:val="center"/>
        <w:rPr>
          <w:rFonts w:eastAsia="SimSun"/>
          <w:color w:val="000000"/>
          <w:lang w:val="it-IT" w:eastAsia="zh-CN"/>
        </w:rPr>
      </w:pPr>
      <w:r w:rsidRPr="008406EB">
        <w:rPr>
          <w:rFonts w:asciiTheme="minorHAnsi" w:eastAsia="SimSun" w:hAnsiTheme="minorHAnsi"/>
          <w:color w:val="000000"/>
          <w:sz w:val="24"/>
          <w:szCs w:val="24"/>
          <w:lang w:val="it-IT" w:eastAsia="zh-CN"/>
        </w:rPr>
        <w:t>Miriam Cappello</w:t>
      </w:r>
      <w:r w:rsidR="001536BF">
        <w:rPr>
          <w:rFonts w:asciiTheme="minorHAnsi" w:eastAsia="SimSun" w:hAnsiTheme="minorHAnsi"/>
          <w:color w:val="000000"/>
          <w:sz w:val="24"/>
          <w:szCs w:val="24"/>
          <w:lang w:val="it-IT" w:eastAsia="zh-CN"/>
        </w:rPr>
        <w:t>,</w:t>
      </w:r>
      <w:r>
        <w:rPr>
          <w:rFonts w:asciiTheme="minorHAnsi" w:eastAsia="SimSun" w:hAnsiTheme="minorHAnsi"/>
          <w:color w:val="000000"/>
          <w:sz w:val="24"/>
          <w:szCs w:val="24"/>
          <w:lang w:val="it-IT" w:eastAsia="zh-CN"/>
        </w:rPr>
        <w:t xml:space="preserve"> Giovanni Polacco</w:t>
      </w:r>
      <w:r w:rsidR="001536BF">
        <w:rPr>
          <w:rFonts w:asciiTheme="minorHAnsi" w:eastAsia="SimSun" w:hAnsiTheme="minorHAnsi"/>
          <w:color w:val="000000"/>
          <w:sz w:val="24"/>
          <w:szCs w:val="24"/>
          <w:lang w:val="it-IT" w:eastAsia="zh-CN"/>
        </w:rPr>
        <w:t xml:space="preserve"> and </w:t>
      </w:r>
      <w:r w:rsidR="001536BF" w:rsidRPr="008406EB">
        <w:rPr>
          <w:rFonts w:asciiTheme="minorHAnsi" w:eastAsia="SimSun" w:hAnsiTheme="minorHAnsi"/>
          <w:color w:val="000000"/>
          <w:sz w:val="24"/>
          <w:szCs w:val="24"/>
          <w:u w:val="single"/>
          <w:lang w:val="it-IT" w:eastAsia="zh-CN"/>
        </w:rPr>
        <w:t>Sara Filippi</w:t>
      </w:r>
      <w:r w:rsidR="001536BF" w:rsidRPr="00B604AA">
        <w:rPr>
          <w:rFonts w:asciiTheme="minorHAnsi" w:eastAsia="SimSun" w:hAnsiTheme="minorHAnsi"/>
          <w:color w:val="000000"/>
          <w:sz w:val="24"/>
          <w:szCs w:val="24"/>
          <w:lang w:val="it-IT" w:eastAsia="zh-CN"/>
        </w:rPr>
        <w:t>*</w:t>
      </w:r>
    </w:p>
    <w:p w:rsidR="006874AC" w:rsidRPr="00125976" w:rsidRDefault="00125976" w:rsidP="006874AC">
      <w:pPr>
        <w:snapToGrid w:val="0"/>
        <w:spacing w:after="120"/>
        <w:jc w:val="center"/>
        <w:rPr>
          <w:rFonts w:asciiTheme="minorHAnsi" w:eastAsia="MS PGothic" w:hAnsiTheme="minorHAnsi" w:cstheme="minorHAnsi"/>
          <w:i/>
          <w:iCs/>
          <w:color w:val="000000"/>
          <w:sz w:val="20"/>
          <w:lang w:val="it-IT"/>
        </w:rPr>
      </w:pPr>
      <w:r>
        <w:rPr>
          <w:rFonts w:asciiTheme="minorHAnsi" w:eastAsia="MS PGothic" w:hAnsiTheme="minorHAnsi"/>
          <w:i/>
          <w:iCs/>
          <w:color w:val="000000"/>
          <w:sz w:val="20"/>
          <w:lang w:val="it-IT"/>
        </w:rPr>
        <w:t>Dipartimento di Ingegneria Civile e Industriale, Università di Pisa</w:t>
      </w:r>
      <w:r w:rsidRPr="00FA58A2">
        <w:rPr>
          <w:rFonts w:asciiTheme="minorHAnsi" w:eastAsia="MS PGothic" w:hAnsiTheme="minorHAnsi"/>
          <w:i/>
          <w:iCs/>
          <w:color w:val="000000"/>
          <w:sz w:val="20"/>
          <w:lang w:val="it-IT"/>
        </w:rPr>
        <w:t xml:space="preserve">, Largo Lucio Lazzarino 2, 56122 Pisa, </w:t>
      </w:r>
      <w:proofErr w:type="spellStart"/>
      <w:r w:rsidRPr="00FA58A2">
        <w:rPr>
          <w:rFonts w:asciiTheme="minorHAnsi" w:eastAsia="MS PGothic" w:hAnsiTheme="minorHAnsi"/>
          <w:i/>
          <w:iCs/>
          <w:color w:val="000000"/>
          <w:sz w:val="20"/>
          <w:lang w:val="it-IT"/>
        </w:rPr>
        <w:t>Italy</w:t>
      </w:r>
      <w:proofErr w:type="spellEnd"/>
    </w:p>
    <w:p w:rsidR="006874AC" w:rsidRPr="00DE0019" w:rsidRDefault="006874AC" w:rsidP="006874AC">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sara.filippi@unipi.it</w:t>
      </w:r>
    </w:p>
    <w:p w:rsidR="006874AC" w:rsidRPr="00EC66CC" w:rsidRDefault="006874AC" w:rsidP="006874AC">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6874AC" w:rsidRPr="00822BB1" w:rsidRDefault="006874AC" w:rsidP="006874AC">
      <w:pPr>
        <w:pStyle w:val="AbstractBody"/>
        <w:numPr>
          <w:ilvl w:val="0"/>
          <w:numId w:val="16"/>
        </w:numPr>
        <w:rPr>
          <w:rFonts w:asciiTheme="minorHAnsi" w:hAnsiTheme="minorHAnsi"/>
        </w:rPr>
      </w:pPr>
      <w:r>
        <w:rPr>
          <w:rFonts w:asciiTheme="minorHAnsi" w:hAnsiTheme="minorHAnsi"/>
          <w:lang w:val="en-GB"/>
        </w:rPr>
        <w:t>Two clays were used to obtain exfoliated or intercalated bitumen nanocomposites</w:t>
      </w:r>
    </w:p>
    <w:p w:rsidR="006874AC" w:rsidRDefault="006874AC" w:rsidP="006874AC">
      <w:pPr>
        <w:pStyle w:val="AbstractBody"/>
        <w:numPr>
          <w:ilvl w:val="0"/>
          <w:numId w:val="16"/>
        </w:numPr>
        <w:rPr>
          <w:rFonts w:asciiTheme="minorHAnsi" w:hAnsiTheme="minorHAnsi"/>
        </w:rPr>
      </w:pPr>
      <w:r>
        <w:rPr>
          <w:rFonts w:asciiTheme="minorHAnsi" w:hAnsiTheme="minorHAnsi"/>
          <w:lang w:val="en-GB"/>
        </w:rPr>
        <w:t xml:space="preserve">A reduction of the </w:t>
      </w:r>
      <w:r w:rsidRPr="00E51B4F">
        <w:rPr>
          <w:rFonts w:asciiTheme="minorHAnsi" w:hAnsiTheme="minorHAnsi"/>
          <w:lang w:val="en-GB"/>
        </w:rPr>
        <w:t xml:space="preserve">limiting oxygen index </w:t>
      </w:r>
      <w:r>
        <w:rPr>
          <w:rFonts w:asciiTheme="minorHAnsi" w:hAnsiTheme="minorHAnsi"/>
          <w:lang w:val="en-GB"/>
        </w:rPr>
        <w:t>LOI</w:t>
      </w:r>
      <w:r w:rsidRPr="00373E18">
        <w:rPr>
          <w:rFonts w:asciiTheme="minorHAnsi" w:hAnsiTheme="minorHAnsi"/>
          <w:lang w:val="en-GB"/>
        </w:rPr>
        <w:t xml:space="preserve"> was </w:t>
      </w:r>
      <w:r>
        <w:rPr>
          <w:rFonts w:asciiTheme="minorHAnsi" w:hAnsiTheme="minorHAnsi"/>
          <w:lang w:val="en-GB"/>
        </w:rPr>
        <w:t>observed</w:t>
      </w:r>
      <w:r w:rsidRPr="00373E18">
        <w:rPr>
          <w:rFonts w:asciiTheme="minorHAnsi" w:hAnsiTheme="minorHAnsi"/>
          <w:lang w:val="en-GB"/>
        </w:rPr>
        <w:t xml:space="preserve"> on </w:t>
      </w:r>
      <w:r>
        <w:rPr>
          <w:rFonts w:asciiTheme="minorHAnsi" w:hAnsiTheme="minorHAnsi"/>
          <w:lang w:val="en-GB"/>
        </w:rPr>
        <w:t>bitumen</w:t>
      </w:r>
      <w:r w:rsidRPr="00373E18">
        <w:rPr>
          <w:rFonts w:asciiTheme="minorHAnsi" w:hAnsiTheme="minorHAnsi"/>
          <w:lang w:val="en-GB"/>
        </w:rPr>
        <w:t xml:space="preserve"> mixtures</w:t>
      </w:r>
    </w:p>
    <w:p w:rsidR="006874AC" w:rsidRDefault="006874AC" w:rsidP="006874AC">
      <w:pPr>
        <w:pStyle w:val="AbstractBody"/>
        <w:numPr>
          <w:ilvl w:val="0"/>
          <w:numId w:val="16"/>
        </w:numPr>
        <w:rPr>
          <w:rFonts w:asciiTheme="minorHAnsi" w:hAnsiTheme="minorHAnsi"/>
        </w:rPr>
      </w:pPr>
      <w:r>
        <w:rPr>
          <w:rFonts w:asciiTheme="minorHAnsi" w:hAnsiTheme="minorHAnsi"/>
        </w:rPr>
        <w:t>TGA analysis showed</w:t>
      </w:r>
      <w:r w:rsidRPr="006C7F11">
        <w:rPr>
          <w:rFonts w:asciiTheme="minorHAnsi" w:hAnsiTheme="minorHAnsi"/>
        </w:rPr>
        <w:t xml:space="preserve"> </w:t>
      </w:r>
      <w:r w:rsidRPr="00E51B4F">
        <w:rPr>
          <w:rFonts w:asciiTheme="minorHAnsi" w:hAnsiTheme="minorHAnsi"/>
        </w:rPr>
        <w:t>strong variations in the decomposition kinetic of the bitumen</w:t>
      </w:r>
    </w:p>
    <w:p w:rsidR="006874AC" w:rsidRDefault="006874AC" w:rsidP="006874AC">
      <w:pPr>
        <w:pStyle w:val="AbstractBody"/>
        <w:numPr>
          <w:ilvl w:val="0"/>
          <w:numId w:val="16"/>
        </w:numPr>
        <w:rPr>
          <w:rFonts w:asciiTheme="minorHAnsi" w:hAnsiTheme="minorHAnsi"/>
        </w:rPr>
      </w:pPr>
      <w:proofErr w:type="spellStart"/>
      <w:r>
        <w:rPr>
          <w:rFonts w:asciiTheme="minorHAnsi" w:hAnsiTheme="minorHAnsi"/>
        </w:rPr>
        <w:t>Organo</w:t>
      </w:r>
      <w:r w:rsidRPr="00820C4F">
        <w:rPr>
          <w:rFonts w:asciiTheme="minorHAnsi" w:hAnsiTheme="minorHAnsi"/>
        </w:rPr>
        <w:t>clays</w:t>
      </w:r>
      <w:proofErr w:type="spellEnd"/>
      <w:r w:rsidRPr="00820C4F">
        <w:rPr>
          <w:rFonts w:asciiTheme="minorHAnsi" w:hAnsiTheme="minorHAnsi"/>
        </w:rPr>
        <w:t xml:space="preserve"> significantly interact with the binder, modifying its colloidal structure</w:t>
      </w:r>
    </w:p>
    <w:p w:rsidR="006874AC" w:rsidRDefault="006874AC" w:rsidP="006874AC">
      <w:pPr>
        <w:snapToGrid w:val="0"/>
        <w:spacing w:line="300" w:lineRule="auto"/>
        <w:rPr>
          <w:rFonts w:asciiTheme="minorHAnsi" w:eastAsia="MS PGothic" w:hAnsiTheme="minorHAnsi"/>
          <w:b/>
          <w:bCs/>
          <w:color w:val="000000"/>
          <w:sz w:val="22"/>
          <w:szCs w:val="22"/>
          <w:lang w:val="en-US"/>
        </w:rPr>
      </w:pPr>
    </w:p>
    <w:p w:rsidR="006874AC" w:rsidRPr="008D0BEB" w:rsidRDefault="006874AC" w:rsidP="006874AC">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6874AC" w:rsidRDefault="006874AC" w:rsidP="006874A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Bitumen is a complex mixture of </w:t>
      </w:r>
      <w:r w:rsidRPr="00D72CF0">
        <w:rPr>
          <w:rFonts w:asciiTheme="minorHAnsi" w:eastAsia="MS PGothic" w:hAnsiTheme="minorHAnsi"/>
          <w:color w:val="000000"/>
          <w:sz w:val="22"/>
          <w:szCs w:val="22"/>
          <w:lang w:val="en-US"/>
        </w:rPr>
        <w:t xml:space="preserve">hydrocarbons that are quite flammable and tend to produce smoke and poisonous gases while burning. This </w:t>
      </w:r>
      <w:r>
        <w:rPr>
          <w:rFonts w:asciiTheme="minorHAnsi" w:eastAsia="MS PGothic" w:hAnsiTheme="minorHAnsi"/>
          <w:color w:val="000000"/>
          <w:sz w:val="22"/>
          <w:szCs w:val="22"/>
          <w:lang w:val="en-US"/>
        </w:rPr>
        <w:t xml:space="preserve">is an important </w:t>
      </w:r>
      <w:r w:rsidRPr="00D72CF0">
        <w:rPr>
          <w:rFonts w:asciiTheme="minorHAnsi" w:eastAsia="MS PGothic" w:hAnsiTheme="minorHAnsi"/>
          <w:color w:val="000000"/>
          <w:sz w:val="22"/>
          <w:szCs w:val="22"/>
          <w:lang w:val="en-US"/>
        </w:rPr>
        <w:t>aspect in</w:t>
      </w:r>
      <w:r>
        <w:rPr>
          <w:rFonts w:asciiTheme="minorHAnsi" w:eastAsia="MS PGothic" w:hAnsiTheme="minorHAnsi"/>
          <w:color w:val="000000"/>
          <w:sz w:val="22"/>
          <w:szCs w:val="22"/>
          <w:lang w:val="en-US"/>
        </w:rPr>
        <w:t xml:space="preserve"> the case of</w:t>
      </w:r>
      <w:r w:rsidRPr="00D72CF0">
        <w:rPr>
          <w:rFonts w:asciiTheme="minorHAnsi" w:eastAsia="MS PGothic" w:hAnsiTheme="minorHAnsi"/>
          <w:color w:val="000000"/>
          <w:sz w:val="22"/>
          <w:szCs w:val="22"/>
          <w:lang w:val="en-US"/>
        </w:rPr>
        <w:t xml:space="preserve"> fire events in highway tunnels. </w:t>
      </w:r>
      <w:r w:rsidR="00852944">
        <w:rPr>
          <w:rFonts w:asciiTheme="minorHAnsi" w:eastAsia="MS PGothic" w:hAnsiTheme="minorHAnsi"/>
          <w:color w:val="000000"/>
          <w:sz w:val="22"/>
          <w:szCs w:val="22"/>
          <w:lang w:val="en-US"/>
        </w:rPr>
        <w:t>Organoclay</w:t>
      </w:r>
      <w:r w:rsidR="004649F8">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are well-known fire retardants in the polymer field and </w:t>
      </w:r>
      <w:proofErr w:type="gramStart"/>
      <w:r>
        <w:rPr>
          <w:rFonts w:asciiTheme="minorHAnsi" w:eastAsia="MS PGothic" w:hAnsiTheme="minorHAnsi"/>
          <w:color w:val="000000"/>
          <w:sz w:val="22"/>
          <w:szCs w:val="22"/>
          <w:lang w:val="en-US"/>
        </w:rPr>
        <w:t>have been recently introduced</w:t>
      </w:r>
      <w:proofErr w:type="gramEnd"/>
      <w:r>
        <w:rPr>
          <w:rFonts w:asciiTheme="minorHAnsi" w:eastAsia="MS PGothic" w:hAnsiTheme="minorHAnsi"/>
          <w:color w:val="000000"/>
          <w:sz w:val="22"/>
          <w:szCs w:val="22"/>
          <w:lang w:val="en-US"/>
        </w:rPr>
        <w:t xml:space="preserve"> in bituminous binders. The effect of n</w:t>
      </w:r>
      <w:r w:rsidRPr="00DF6170">
        <w:rPr>
          <w:rFonts w:asciiTheme="minorHAnsi" w:eastAsia="MS PGothic" w:hAnsiTheme="minorHAnsi"/>
          <w:color w:val="000000"/>
          <w:sz w:val="22"/>
          <w:szCs w:val="22"/>
          <w:lang w:val="en-US"/>
        </w:rPr>
        <w:t xml:space="preserve">ative and </w:t>
      </w:r>
      <w:proofErr w:type="spellStart"/>
      <w:r w:rsidRPr="00DF6170">
        <w:rPr>
          <w:rFonts w:asciiTheme="minorHAnsi" w:eastAsia="MS PGothic" w:hAnsiTheme="minorHAnsi"/>
          <w:color w:val="000000"/>
          <w:sz w:val="22"/>
          <w:szCs w:val="22"/>
          <w:lang w:val="en-US"/>
        </w:rPr>
        <w:t>organo</w:t>
      </w:r>
      <w:proofErr w:type="spellEnd"/>
      <w:r w:rsidRPr="00DF6170">
        <w:rPr>
          <w:rFonts w:asciiTheme="minorHAnsi" w:eastAsia="MS PGothic" w:hAnsiTheme="minorHAnsi"/>
          <w:color w:val="000000"/>
          <w:sz w:val="22"/>
          <w:szCs w:val="22"/>
          <w:lang w:val="en-US"/>
        </w:rPr>
        <w:t>-modified clay</w:t>
      </w:r>
      <w:r>
        <w:rPr>
          <w:rFonts w:asciiTheme="minorHAnsi" w:eastAsia="MS PGothic" w:hAnsiTheme="minorHAnsi"/>
          <w:color w:val="000000"/>
          <w:sz w:val="22"/>
          <w:szCs w:val="22"/>
          <w:lang w:val="en-US"/>
        </w:rPr>
        <w:t>s</w:t>
      </w:r>
      <w:r w:rsidRPr="00DF617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on the fire resistance has</w:t>
      </w:r>
      <w:r w:rsidRPr="00DF6170">
        <w:rPr>
          <w:rFonts w:asciiTheme="minorHAnsi" w:eastAsia="MS PGothic" w:hAnsiTheme="minorHAnsi"/>
          <w:color w:val="000000"/>
          <w:sz w:val="22"/>
          <w:szCs w:val="22"/>
          <w:lang w:val="en-US"/>
        </w:rPr>
        <w:t xml:space="preserve"> been evaluated </w:t>
      </w:r>
      <w:r w:rsidRPr="00DF6170">
        <w:rPr>
          <w:rFonts w:asciiTheme="minorHAnsi" w:eastAsia="MS PGothic" w:hAnsiTheme="minorHAnsi"/>
          <w:color w:val="000000"/>
          <w:sz w:val="22"/>
          <w:szCs w:val="22"/>
          <w:lang w:val="en-US"/>
        </w:rPr>
        <w:fldChar w:fldCharType="begin"/>
      </w:r>
      <w:r w:rsidRPr="00DF6170">
        <w:rPr>
          <w:rFonts w:asciiTheme="minorHAnsi" w:eastAsia="MS PGothic" w:hAnsiTheme="minorHAnsi"/>
          <w:color w:val="000000"/>
          <w:sz w:val="22"/>
          <w:szCs w:val="22"/>
          <w:lang w:val="en-US"/>
        </w:rPr>
        <w:instrText xml:space="preserve"> ADDIN ZOTERO_ITEM CSL_CITATION {"citationID":"bbgwdnLq","properties":{"formattedCitation":"[35\\uc0\\u8211{}41]","plainCitation":"[35–41]","noteIndex":0},"citationItems":[{"id":1819,"uris":["http://zotero.org/groups/943954/items/BIHXASW8"],"uri":["http://zotero.org/groups/943954/items/BIHXASW8"],"itemData":{"id":1819,"type":"article-journal","title":"A Novel Potential Flame-retarded Bitumen: Nanoclay Modified Bitumen","container-title":"Road Materials and Pavement Design","page":"115-128","volume":"10","issue":"sup1","source":"CrossRef","DOI":"10.1080/14680629.2009.9690239","ISSN":"1468-0629, 2164-7402","shortTitle":"A Novel Potential Flame-retarded Bitumen","language":"en","author":[{"family":"Wu","given":"Shaopeng"},{"family":"Zhang","given":"Yuan"},{"family":"Wang","given":"Jingang"}],"issued":{"date-parts":[["2009",1]]}}},{"id":1820,"uris":["http://zotero.org/groups/943954/items/DUUD46GT"],"uri":["http://zotero.org/groups/943954/items/DUUD46GT"],"itemData":{"id":1820,"type":"article-journal","title":"Effect of organic layered silicates on flame retardancy and aging properties of bitumen","container-title":"Construction and Building Materials","page":"1151-1155","volume":"40","source":"CrossRef","DOI":"10.1016/j.conbuildmat.2012.11.097","ISSN":"09500618","language":"en","author":[{"family":"Zhang","given":"Henglong"},{"family":"Shi","given":"Caijun"},{"family":"Han","given":"Jun"},{"family":"Yu","given":"Jianying"}],"issued":{"date-parts":[["2013",3]]}}},{"id":2077,"uris":["http://zotero.org/groups/943954/items/6VI3KPFJ"],"uri":["http://zotero.org/groups/943954/items/6VI3KPFJ"],"itemData":{"id":2077,"type":"article-journal","title":"Effects of the loading levels of organically modified montmorillonite on the flame-retardant properties of asphalt","container-title":"Journal of Applied Polymer Science","volume":"131","issue":"21","source":"Crossref","abstract":"The flame-retardant properties of asphalt for some building applications are very important. In this study, we mainly focused on the influence of organically modified montmorillonite (OMMT) on the flame-retardant and other properties of asphalt in a large content range and explored suitable contents of OMMT for modified asphalts. Modified asphalts with different contents of OMMT from 2 to 15 wt % were prepared by melt blending. The X-ray diffraction results revealed that the intercalated structure was formed in the OMMT-modified asphalt. Rubber processing analysis results indicated the formation of a filler–network structure in the OMMT-modified asphalt. The limiting oxygen index and cone calorimetry results suggested that OMMT could be used as efficient and ideal flame retardants of asphalt. The results also reveal that excess OMMT contents (i.e., &gt;10 wt %) depredated the flameretardant performance of the modified asphalt. We analyzed the mechanism by taking into account of the features of the modified agent for OMMT. The experimental data showed that the viscosity, softening point, and penetration index of the OMMT-modified asphalt increased with increasing OMMT content, but the ductility decreased slightly when the OMMT content was not beyond 7 wt %. VC 2014 Wiley Periodicals, Inc. J. Appl. Polym. Sci. 2014, 131, 10.1002/app.40972.","URL":"http://doi.wiley.com/10.1002/app.40972","DOI":"10.1002/app.40972","ISSN":"00218995","language":"en","author":[{"family":"Zhang","given":"Xiaojiao"},{"family":"Ren","given":"Fan"},{"family":"Zhang","given":"Liqun"},{"family":"Dong","given":"Dawei"},{"family":"Jiang","given":"Kuan"},{"family":"Lu","given":"Yonglai"}],"issued":{"date-parts":[["2014",11,5]]},"accessed":{"date-parts":[["2018",11,9]]}}},{"id":2049,"uris":["http://zotero.org/groups/943954/items/5JM62MAR"],"uri":["http://zotero.org/groups/943954/items/5JM62MAR"],"itemData":{"id":2049,"type":"article-journal","title":"Flame-retarding effects and combustion properties of asphalt binder blended with organo montmorillonite and alumina trihydrate","container-title":"Construction and Building Materials","page":"41-47","volume":"72","source":"Crossref","abstract":"The ﬂame-retarding effects, synergistic effect, and combustion properties of asphalt binder modiﬁed with organo montmorillonite (OMMT) and alumina trihydrate (ATH) were investigated on the basis of the limiting oxygen index (LOI) and a combination of thermogravimetry (TG) and Fourier transform infrared spectrometer (FTIR). The results indicated that there existed a synergist ﬂame-retarding effect between OMMT and ATH. Moreover, the ﬂammability of the OMMT/ATH compound was signiﬁcantly improved as compared to individually adding either OMMT or ATH into base asphalt. Considering the ﬂammability standard and synergy effect, the optimum content of OMMT and ATH was 1% and 3%, respectively. The amount of volatiles released from OMMT/ATH modiﬁed asphalt was much less than that from the base asphalt and the thermal stability of OMMT/ATH modiﬁed asphalt was superior to that of base asphalt. It is concluded that OMMT/ATH compound may be used as a new kind of environment-friendly ﬂame retardant and smoke suppressant for asphalt binder.","DOI":"10.1016/j.conbuildmat.2014.09.013","ISSN":"09500618","language":"en","author":[{"family":"Pei","given":"Jianzhong"},{"family":"Wen","given":"Yong"},{"family":"Li","given":"Yanwei"},{"family":"Shi","given":"Xin"},{"family":"Zhang","given":"Jiupeng"},{"family":"Li","given":"Rui"},{"family":"Du","given":"Qunle"}],"issued":{"date-parts":[["2014",12]]}}},{"id":2053,"uris":["http://zotero.org/groups/943954/items/4FQVGIZB"],"uri":["http://zotero.org/groups/943954/items/4FQVGIZB"],"itemData":{"id":2053,"type":"article-journal","title":"Flammability and thermal properties of bitumen with aluminium trihydroxide and expanded vermiculite","container-title":"Construction and Building Materials","page":"1114-1119","volume":"48","source":"Crossref","abstract":"Effects of aluminium trihydroxide (ATH), expanded vermiculite (EVMT), organic expanded vermiculite (OEVMT) and their mixtures (ATH/EVMT and ATH/OEVMT) on ﬂame retardancy of bitumen were investigated. The ﬂammability and thermal properties of the bitumen with different ﬂame retardants were evaluated by limiting oxygen index, thermogravimetry and differential scanning calorimetry tests. Results show that the mixed ﬂame retardant of ATH and EVMT shows a much more signiﬁcant inﬂuence on the ﬂame retardancy of bitumen than the single one. This unusual ﬂame retardancy arises from the positive synergetic effect between the ATH and EVMT components in this mixed ﬂame retardant, which provide the water vapor and protective barrier during the burning test of bitumen. The thermal analysis reveals that the addition of mixed ﬂame retardant (ATH and EVMT) improves the thermal degradation behavior of bitumen drastically, which also conﬁrms the synergetic effect of ATH and EVMT on the ﬂame retardancy of bitumen.","DOI":"10.1016/j.conbuildmat.2013.07.074","ISSN":"09500618","language":"en","author":[{"family":"Liang","given":"Yongsheng"},{"family":"Yu","given":"Jianying"},{"family":"Feng","given":"Zhengang"},{"family":"Ai","given":"Pingsong"}],"issued":{"date-parts":[["2013",11]]}}},{"id":1818,"uris":["http://zotero.org/groups/943954/items/6IUD68QP"],"uri":["http://zotero.org/groups/943954/items/6IUD68QP"],"itemData":{"id":1818,"type":"article-journal","title":"Investigations of the Montmorillonite and Aluminium Trihydrate Addition Effects on the Ignitability and Thermal Stability of Asphalt","container-title":"Journal of Chemistry","page":"1-8","volume":"2014","source":"CrossRef","DOI":"10.1155/2014/847435","ISSN":"2090-9063, 2090-9071","language":"en","author":[{"family":"Zhu","given":"Kai"},{"family":"Wu","given":"Ke"},{"family":"Wu","given":"Bin"},{"family":"Huang","given":"Zhiyi"}],"issued":{"date-parts":[["2014"]]}}},{"id":1513,"uris":["http://zotero.org/groups/943954/items/6V4U7JVA"],"uri":["http://zotero.org/groups/943954/items/6V4U7JVA"],"itemData":{"id":1513,"type":"article-journal","title":"Effect of nanoclay and conventional flame retardants on asphalt mixtures fire reaction","container-title":"Construction and Building Materials","page":"990-1000","volume":"47","source":"CrossRef","DOI":"10.1016/j.conbuildmat.2013.06.002","ISSN":"09500618","language":"en","author":[{"family":"Bonati","given":"Alice"},{"family":"Merusi","given":"Filippo"},{"family":"Bochicchio","given":"Giovanna"},{"family":"Tessadri","given":"Barbara"},{"family":"Polacco","given":"Giovanni"},{"family":"Filippi","given":"Sara"},{"family":"Giuliani","given":"Felice"}],"issued":{"date-parts":[["2013",10]]}}}],"schema":"https://github.com/citation-style-language/schema/raw/master/csl-citation.json"} </w:instrText>
      </w:r>
      <w:r w:rsidRPr="00DF6170">
        <w:rPr>
          <w:rFonts w:asciiTheme="minorHAnsi" w:eastAsia="MS PGothic" w:hAnsiTheme="minorHAnsi"/>
          <w:color w:val="000000"/>
          <w:sz w:val="22"/>
          <w:szCs w:val="22"/>
          <w:lang w:val="en-US"/>
        </w:rPr>
        <w:fldChar w:fldCharType="separate"/>
      </w:r>
      <w:r w:rsidRPr="00DF617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1</w:t>
      </w:r>
      <w:r w:rsidRPr="00DF6170">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4</w:t>
      </w:r>
      <w:r w:rsidRPr="00DF6170">
        <w:rPr>
          <w:rFonts w:asciiTheme="minorHAnsi" w:eastAsia="MS PGothic" w:hAnsiTheme="minorHAnsi"/>
          <w:color w:val="000000"/>
          <w:sz w:val="22"/>
          <w:szCs w:val="22"/>
          <w:lang w:val="en-US"/>
        </w:rPr>
        <w:t>]</w:t>
      </w:r>
      <w:r w:rsidRPr="00DF6170">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but </w:t>
      </w:r>
      <w:r w:rsidRPr="00DF6170">
        <w:rPr>
          <w:rFonts w:asciiTheme="minorHAnsi" w:eastAsia="MS PGothic" w:hAnsiTheme="minorHAnsi"/>
          <w:color w:val="000000"/>
          <w:sz w:val="22"/>
          <w:szCs w:val="22"/>
          <w:lang w:val="en-US"/>
        </w:rPr>
        <w:t>the chemical-physical interaction</w:t>
      </w:r>
      <w:r>
        <w:rPr>
          <w:rFonts w:asciiTheme="minorHAnsi" w:eastAsia="MS PGothic" w:hAnsiTheme="minorHAnsi"/>
          <w:color w:val="000000"/>
          <w:sz w:val="22"/>
          <w:szCs w:val="22"/>
          <w:lang w:val="en-US"/>
        </w:rPr>
        <w:t xml:space="preserve"> </w:t>
      </w:r>
      <w:r w:rsidRPr="00DF6170">
        <w:rPr>
          <w:rFonts w:asciiTheme="minorHAnsi" w:eastAsia="MS PGothic" w:hAnsiTheme="minorHAnsi"/>
          <w:color w:val="000000"/>
          <w:sz w:val="22"/>
          <w:szCs w:val="22"/>
          <w:lang w:val="en-US"/>
        </w:rPr>
        <w:t>mechanism between bitumen</w:t>
      </w:r>
      <w:r>
        <w:rPr>
          <w:rFonts w:asciiTheme="minorHAnsi" w:eastAsia="MS PGothic" w:hAnsiTheme="minorHAnsi"/>
          <w:color w:val="000000"/>
          <w:sz w:val="22"/>
          <w:szCs w:val="22"/>
          <w:lang w:val="en-US"/>
        </w:rPr>
        <w:t xml:space="preserve"> and clay</w:t>
      </w:r>
      <w:r w:rsidRPr="00DF6170">
        <w:rPr>
          <w:rFonts w:asciiTheme="minorHAnsi" w:eastAsia="MS PGothic" w:hAnsiTheme="minorHAnsi"/>
          <w:color w:val="000000"/>
          <w:sz w:val="22"/>
          <w:szCs w:val="22"/>
          <w:lang w:val="en-US"/>
        </w:rPr>
        <w:t xml:space="preserve"> has not been investigated yet. </w:t>
      </w:r>
      <w:r>
        <w:rPr>
          <w:rFonts w:asciiTheme="minorHAnsi" w:eastAsia="MS PGothic" w:hAnsiTheme="minorHAnsi"/>
          <w:color w:val="000000"/>
          <w:sz w:val="22"/>
          <w:szCs w:val="22"/>
          <w:lang w:val="en-US"/>
        </w:rPr>
        <w:t>Therefore, the</w:t>
      </w:r>
      <w:r w:rsidRPr="00DF6170">
        <w:rPr>
          <w:rFonts w:asciiTheme="minorHAnsi" w:eastAsia="MS PGothic" w:hAnsiTheme="minorHAnsi"/>
          <w:color w:val="000000"/>
          <w:sz w:val="22"/>
          <w:szCs w:val="22"/>
          <w:lang w:val="en-US"/>
        </w:rPr>
        <w:t xml:space="preserve"> main object of this study is to provide a first insight in this direction. </w:t>
      </w:r>
      <w:r w:rsidRPr="00E15E3E">
        <w:rPr>
          <w:rFonts w:asciiTheme="minorHAnsi" w:eastAsia="MS PGothic" w:hAnsiTheme="minorHAnsi"/>
          <w:color w:val="000000"/>
          <w:sz w:val="22"/>
          <w:szCs w:val="22"/>
        </w:rPr>
        <w:t>For this reason, t</w:t>
      </w:r>
      <w:r>
        <w:rPr>
          <w:rFonts w:asciiTheme="minorHAnsi" w:eastAsia="MS PGothic" w:hAnsiTheme="minorHAnsi"/>
          <w:color w:val="000000"/>
          <w:sz w:val="22"/>
          <w:szCs w:val="22"/>
        </w:rPr>
        <w:t>wo</w:t>
      </w:r>
      <w:r w:rsidRPr="00E15E3E">
        <w:rPr>
          <w:rFonts w:asciiTheme="minorHAnsi" w:eastAsia="MS PGothic" w:hAnsiTheme="minorHAnsi"/>
          <w:color w:val="000000"/>
          <w:sz w:val="22"/>
          <w:szCs w:val="22"/>
        </w:rPr>
        <w:t xml:space="preserve"> </w:t>
      </w:r>
      <w:proofErr w:type="spellStart"/>
      <w:r>
        <w:rPr>
          <w:rFonts w:asciiTheme="minorHAnsi" w:eastAsia="MS PGothic" w:hAnsiTheme="minorHAnsi"/>
          <w:color w:val="000000"/>
          <w:sz w:val="22"/>
          <w:szCs w:val="22"/>
        </w:rPr>
        <w:t>organoclays</w:t>
      </w:r>
      <w:proofErr w:type="spellEnd"/>
      <w:r w:rsidRPr="00E15E3E">
        <w:rPr>
          <w:rFonts w:asciiTheme="minorHAnsi" w:eastAsia="MS PGothic" w:hAnsiTheme="minorHAnsi"/>
          <w:color w:val="000000"/>
          <w:sz w:val="22"/>
          <w:szCs w:val="22"/>
        </w:rPr>
        <w:t xml:space="preserve"> with different degree of interaction with a base bitumen </w:t>
      </w:r>
      <w:proofErr w:type="gramStart"/>
      <w:r>
        <w:rPr>
          <w:rFonts w:asciiTheme="minorHAnsi" w:eastAsia="MS PGothic" w:hAnsiTheme="minorHAnsi"/>
          <w:color w:val="000000"/>
          <w:sz w:val="22"/>
          <w:szCs w:val="22"/>
        </w:rPr>
        <w:t>were</w:t>
      </w:r>
      <w:r w:rsidRPr="00E15E3E">
        <w:rPr>
          <w:rFonts w:asciiTheme="minorHAnsi" w:eastAsia="MS PGothic" w:hAnsiTheme="minorHAnsi"/>
          <w:color w:val="000000"/>
          <w:sz w:val="22"/>
          <w:szCs w:val="22"/>
        </w:rPr>
        <w:t xml:space="preserve"> used</w:t>
      </w:r>
      <w:proofErr w:type="gramEnd"/>
      <w:r>
        <w:rPr>
          <w:rFonts w:asciiTheme="minorHAnsi" w:eastAsia="MS PGothic" w:hAnsiTheme="minorHAnsi"/>
          <w:color w:val="000000"/>
          <w:sz w:val="22"/>
          <w:szCs w:val="22"/>
        </w:rPr>
        <w:t xml:space="preserve"> in order to obtain both exfoliated and intercalated nanocomposites. The blends </w:t>
      </w:r>
      <w:proofErr w:type="gramStart"/>
      <w:r>
        <w:rPr>
          <w:rFonts w:asciiTheme="minorHAnsi" w:eastAsia="MS PGothic" w:hAnsiTheme="minorHAnsi"/>
          <w:color w:val="000000"/>
          <w:sz w:val="22"/>
          <w:szCs w:val="22"/>
        </w:rPr>
        <w:t>were characterized</w:t>
      </w:r>
      <w:proofErr w:type="gramEnd"/>
      <w:r>
        <w:rPr>
          <w:rFonts w:asciiTheme="minorHAnsi" w:eastAsia="MS PGothic" w:hAnsiTheme="minorHAnsi"/>
          <w:color w:val="000000"/>
          <w:sz w:val="22"/>
          <w:szCs w:val="22"/>
        </w:rPr>
        <w:t xml:space="preserve"> by WAXD, Brookfield viscosity, LOI test and TGA analysis.</w:t>
      </w:r>
    </w:p>
    <w:p w:rsidR="006874AC" w:rsidRPr="008D0BEB" w:rsidRDefault="006874AC" w:rsidP="006874AC">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6874AC" w:rsidRPr="004D3470" w:rsidRDefault="006874AC" w:rsidP="006874AC">
      <w:pPr>
        <w:snapToGrid w:val="0"/>
        <w:spacing w:after="120"/>
        <w:rPr>
          <w:rFonts w:asciiTheme="minorHAnsi" w:eastAsia="MS PGothic" w:hAnsiTheme="minorHAnsi"/>
          <w:color w:val="000000"/>
          <w:sz w:val="22"/>
          <w:szCs w:val="22"/>
        </w:rPr>
      </w:pPr>
      <w:proofErr w:type="gramStart"/>
      <w:r w:rsidRPr="00AC0995">
        <w:rPr>
          <w:rFonts w:asciiTheme="minorHAnsi" w:eastAsia="MS PGothic" w:hAnsiTheme="minorHAnsi"/>
          <w:color w:val="000000"/>
          <w:sz w:val="22"/>
          <w:szCs w:val="22"/>
        </w:rPr>
        <w:t xml:space="preserve">The </w:t>
      </w:r>
      <w:r>
        <w:rPr>
          <w:rFonts w:asciiTheme="minorHAnsi" w:eastAsia="MS PGothic" w:hAnsiTheme="minorHAnsi"/>
          <w:color w:val="000000"/>
          <w:sz w:val="22"/>
          <w:szCs w:val="22"/>
        </w:rPr>
        <w:t>two</w:t>
      </w:r>
      <w:r w:rsidRPr="00AC0995">
        <w:rPr>
          <w:rFonts w:asciiTheme="minorHAnsi" w:eastAsia="MS PGothic" w:hAnsiTheme="minorHAnsi"/>
          <w:color w:val="000000"/>
          <w:sz w:val="22"/>
          <w:szCs w:val="22"/>
        </w:rPr>
        <w:t xml:space="preserve"> clays were </w:t>
      </w:r>
      <w:proofErr w:type="spellStart"/>
      <w:r w:rsidRPr="00AC0995">
        <w:rPr>
          <w:rFonts w:asciiTheme="minorHAnsi" w:eastAsia="MS PGothic" w:hAnsiTheme="minorHAnsi"/>
          <w:color w:val="000000"/>
          <w:sz w:val="22"/>
          <w:szCs w:val="22"/>
        </w:rPr>
        <w:t>Cloisite</w:t>
      </w:r>
      <w:proofErr w:type="spellEnd"/>
      <w:r w:rsidRPr="00AC0995">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20</w:t>
      </w:r>
      <w:r w:rsidRPr="00AC0995">
        <w:rPr>
          <w:rFonts w:asciiTheme="minorHAnsi" w:eastAsia="MS PGothic" w:hAnsiTheme="minorHAnsi"/>
          <w:color w:val="000000"/>
          <w:sz w:val="22"/>
          <w:szCs w:val="22"/>
        </w:rPr>
        <w:t>A</w:t>
      </w:r>
      <w:r>
        <w:rPr>
          <w:rFonts w:asciiTheme="minorHAnsi" w:eastAsia="MS PGothic" w:hAnsiTheme="minorHAnsi"/>
          <w:color w:val="000000"/>
          <w:sz w:val="22"/>
          <w:szCs w:val="22"/>
        </w:rPr>
        <w:t xml:space="preserve"> and </w:t>
      </w:r>
      <w:proofErr w:type="spellStart"/>
      <w:r>
        <w:rPr>
          <w:rFonts w:asciiTheme="minorHAnsi" w:eastAsia="MS PGothic" w:hAnsiTheme="minorHAnsi"/>
          <w:color w:val="000000"/>
          <w:sz w:val="22"/>
          <w:szCs w:val="22"/>
        </w:rPr>
        <w:t>Cloisite</w:t>
      </w:r>
      <w:proofErr w:type="spellEnd"/>
      <w:r>
        <w:rPr>
          <w:rFonts w:asciiTheme="minorHAnsi" w:eastAsia="MS PGothic" w:hAnsiTheme="minorHAnsi"/>
          <w:color w:val="000000"/>
          <w:sz w:val="22"/>
          <w:szCs w:val="22"/>
        </w:rPr>
        <w:t xml:space="preserve"> 30B</w:t>
      </w:r>
      <w:r w:rsidRPr="00AC0995">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(referred as </w:t>
      </w:r>
      <w:r w:rsidRPr="00AC0995">
        <w:rPr>
          <w:rFonts w:asciiTheme="minorHAnsi" w:eastAsia="MS PGothic" w:hAnsiTheme="minorHAnsi"/>
          <w:color w:val="000000"/>
          <w:sz w:val="22"/>
          <w:szCs w:val="22"/>
        </w:rPr>
        <w:t>2</w:t>
      </w:r>
      <w:r>
        <w:rPr>
          <w:rFonts w:asciiTheme="minorHAnsi" w:eastAsia="MS PGothic" w:hAnsiTheme="minorHAnsi"/>
          <w:color w:val="000000"/>
          <w:sz w:val="22"/>
          <w:szCs w:val="22"/>
        </w:rPr>
        <w:t>0A and 30B)</w:t>
      </w:r>
      <w:r w:rsidRPr="00AC0995">
        <w:rPr>
          <w:rFonts w:asciiTheme="minorHAnsi" w:eastAsia="MS PGothic" w:hAnsiTheme="minorHAnsi"/>
          <w:color w:val="000000"/>
          <w:sz w:val="22"/>
          <w:szCs w:val="22"/>
        </w:rPr>
        <w:t xml:space="preserve"> from Southern Clay Products and derive from a sodium montmorillonite by treatment with dimethyl-</w:t>
      </w:r>
      <w:proofErr w:type="spellStart"/>
      <w:r w:rsidRPr="00AC0995">
        <w:rPr>
          <w:rFonts w:asciiTheme="minorHAnsi" w:eastAsia="MS PGothic" w:hAnsiTheme="minorHAnsi"/>
          <w:color w:val="000000"/>
          <w:sz w:val="22"/>
          <w:szCs w:val="22"/>
        </w:rPr>
        <w:t>dihydrogenated</w:t>
      </w:r>
      <w:proofErr w:type="spellEnd"/>
      <w:r w:rsidRPr="00AC0995">
        <w:rPr>
          <w:rFonts w:asciiTheme="minorHAnsi" w:eastAsia="MS PGothic" w:hAnsiTheme="minorHAnsi"/>
          <w:color w:val="000000"/>
          <w:sz w:val="22"/>
          <w:szCs w:val="22"/>
        </w:rPr>
        <w:t xml:space="preserve">-tallow ammonium chloride (20A), and </w:t>
      </w:r>
      <w:r>
        <w:rPr>
          <w:rFonts w:asciiTheme="minorHAnsi" w:eastAsia="MS PGothic" w:hAnsiTheme="minorHAnsi"/>
          <w:color w:val="000000"/>
          <w:sz w:val="22"/>
          <w:szCs w:val="22"/>
        </w:rPr>
        <w:t>m</w:t>
      </w:r>
      <w:r w:rsidRPr="00AC0995">
        <w:rPr>
          <w:rFonts w:asciiTheme="minorHAnsi" w:eastAsia="MS PGothic" w:hAnsiTheme="minorHAnsi"/>
          <w:color w:val="000000"/>
          <w:sz w:val="22"/>
          <w:szCs w:val="22"/>
        </w:rPr>
        <w:t>ethyl-tallow-bis-2-hydroxyethyl ammonium chloride (30B).</w:t>
      </w:r>
      <w:proofErr w:type="gramEnd"/>
      <w:r>
        <w:rPr>
          <w:rFonts w:asciiTheme="minorHAnsi" w:eastAsia="MS PGothic" w:hAnsiTheme="minorHAnsi"/>
          <w:color w:val="000000"/>
          <w:sz w:val="22"/>
          <w:szCs w:val="22"/>
        </w:rPr>
        <w:t xml:space="preserve"> Bitumen is a </w:t>
      </w:r>
      <w:r w:rsidRPr="004D3470">
        <w:rPr>
          <w:rFonts w:asciiTheme="minorHAnsi" w:eastAsia="MS PGothic" w:hAnsiTheme="minorHAnsi"/>
          <w:color w:val="000000"/>
          <w:sz w:val="22"/>
          <w:szCs w:val="22"/>
        </w:rPr>
        <w:t xml:space="preserve">50/70 </w:t>
      </w:r>
      <w:proofErr w:type="gramStart"/>
      <w:r w:rsidRPr="004D3470">
        <w:rPr>
          <w:rFonts w:asciiTheme="minorHAnsi" w:eastAsia="MS PGothic" w:hAnsiTheme="minorHAnsi"/>
          <w:color w:val="000000"/>
          <w:sz w:val="22"/>
          <w:szCs w:val="22"/>
        </w:rPr>
        <w:t>penetration grade base bitumen</w:t>
      </w:r>
      <w:proofErr w:type="gramEnd"/>
      <w:r w:rsidRPr="004D3470">
        <w:rPr>
          <w:rFonts w:asciiTheme="minorHAnsi" w:eastAsia="MS PGothic" w:hAnsiTheme="minorHAnsi"/>
          <w:color w:val="000000"/>
          <w:sz w:val="22"/>
          <w:szCs w:val="22"/>
        </w:rPr>
        <w:t xml:space="preserve">, referred </w:t>
      </w:r>
      <w:r>
        <w:rPr>
          <w:rFonts w:asciiTheme="minorHAnsi" w:eastAsia="MS PGothic" w:hAnsiTheme="minorHAnsi"/>
          <w:color w:val="000000"/>
          <w:sz w:val="22"/>
          <w:szCs w:val="22"/>
        </w:rPr>
        <w:t xml:space="preserve">as </w:t>
      </w:r>
      <w:r w:rsidRPr="004D3470">
        <w:rPr>
          <w:rFonts w:asciiTheme="minorHAnsi" w:eastAsia="MS PGothic" w:hAnsiTheme="minorHAnsi"/>
          <w:color w:val="000000"/>
          <w:sz w:val="22"/>
          <w:szCs w:val="22"/>
        </w:rPr>
        <w:t>B</w:t>
      </w:r>
      <w:r>
        <w:rPr>
          <w:rFonts w:asciiTheme="minorHAnsi" w:eastAsia="MS PGothic" w:hAnsiTheme="minorHAnsi"/>
          <w:color w:val="000000"/>
          <w:sz w:val="22"/>
          <w:szCs w:val="22"/>
        </w:rPr>
        <w:t>,</w:t>
      </w:r>
      <w:r w:rsidRPr="004D3470">
        <w:rPr>
          <w:rFonts w:asciiTheme="minorHAnsi" w:eastAsia="MS PGothic" w:hAnsiTheme="minorHAnsi"/>
          <w:color w:val="000000"/>
          <w:sz w:val="22"/>
          <w:szCs w:val="22"/>
        </w:rPr>
        <w:t xml:space="preserve"> kindly furnished by Eni. </w:t>
      </w:r>
      <w:r>
        <w:rPr>
          <w:rFonts w:asciiTheme="minorHAnsi" w:eastAsia="MS PGothic" w:hAnsiTheme="minorHAnsi"/>
          <w:color w:val="000000"/>
          <w:sz w:val="22"/>
          <w:szCs w:val="22"/>
        </w:rPr>
        <w:t>Bitumen-clay</w:t>
      </w:r>
      <w:r w:rsidRPr="004D347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mixtures </w:t>
      </w:r>
      <w:r w:rsidRPr="004D3470">
        <w:rPr>
          <w:rFonts w:asciiTheme="minorHAnsi" w:eastAsia="MS PGothic" w:hAnsiTheme="minorHAnsi"/>
          <w:color w:val="000000"/>
          <w:sz w:val="22"/>
          <w:szCs w:val="22"/>
        </w:rPr>
        <w:t xml:space="preserve">were prepared with a high shear mixer </w:t>
      </w:r>
      <w:proofErr w:type="spellStart"/>
      <w:r w:rsidRPr="004D3470">
        <w:rPr>
          <w:rFonts w:asciiTheme="minorHAnsi" w:eastAsia="MS PGothic" w:hAnsiTheme="minorHAnsi"/>
          <w:color w:val="000000"/>
          <w:sz w:val="22"/>
          <w:szCs w:val="22"/>
        </w:rPr>
        <w:t>Silverson</w:t>
      </w:r>
      <w:proofErr w:type="spellEnd"/>
      <w:r w:rsidRPr="004D3470">
        <w:rPr>
          <w:rFonts w:asciiTheme="minorHAnsi" w:eastAsia="MS PGothic" w:hAnsiTheme="minorHAnsi"/>
          <w:color w:val="000000"/>
          <w:sz w:val="22"/>
          <w:szCs w:val="22"/>
        </w:rPr>
        <w:t xml:space="preserve"> L</w:t>
      </w:r>
      <w:r w:rsidR="00852944">
        <w:rPr>
          <w:rFonts w:asciiTheme="minorHAnsi" w:eastAsia="MS PGothic" w:hAnsiTheme="minorHAnsi"/>
          <w:color w:val="000000"/>
          <w:sz w:val="22"/>
          <w:szCs w:val="22"/>
        </w:rPr>
        <w:t>5T</w:t>
      </w:r>
      <w:r w:rsidRPr="004D347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at</w:t>
      </w:r>
      <w:r w:rsidRPr="004D3470">
        <w:rPr>
          <w:rFonts w:asciiTheme="minorHAnsi" w:eastAsia="MS PGothic" w:hAnsiTheme="minorHAnsi"/>
          <w:color w:val="000000"/>
          <w:sz w:val="22"/>
          <w:szCs w:val="22"/>
        </w:rPr>
        <w:t xml:space="preserve"> 4000 rpm</w:t>
      </w:r>
      <w:r>
        <w:rPr>
          <w:rFonts w:asciiTheme="minorHAnsi" w:eastAsia="MS PGothic" w:hAnsiTheme="minorHAnsi"/>
          <w:color w:val="000000"/>
          <w:sz w:val="22"/>
          <w:szCs w:val="22"/>
        </w:rPr>
        <w:t>, 140 °C for 30 minutes.</w:t>
      </w:r>
      <w:r w:rsidRPr="004D3470">
        <w:rPr>
          <w:rFonts w:asciiTheme="minorHAnsi" w:eastAsia="MS PGothic" w:hAnsiTheme="minorHAnsi"/>
          <w:color w:val="000000"/>
          <w:sz w:val="22"/>
          <w:szCs w:val="22"/>
        </w:rPr>
        <w:t xml:space="preserve"> Wide angle X-ray diffraction (WAXD) </w:t>
      </w:r>
      <w:proofErr w:type="gramStart"/>
      <w:r w:rsidRPr="004D3470">
        <w:rPr>
          <w:rFonts w:asciiTheme="minorHAnsi" w:eastAsia="MS PGothic" w:hAnsiTheme="minorHAnsi"/>
          <w:color w:val="000000"/>
          <w:sz w:val="22"/>
          <w:szCs w:val="22"/>
        </w:rPr>
        <w:t>was made</w:t>
      </w:r>
      <w:proofErr w:type="gramEnd"/>
      <w:r w:rsidRPr="004D3470">
        <w:rPr>
          <w:rFonts w:asciiTheme="minorHAnsi" w:eastAsia="MS PGothic" w:hAnsiTheme="minorHAnsi"/>
          <w:color w:val="000000"/>
          <w:sz w:val="22"/>
          <w:szCs w:val="22"/>
        </w:rPr>
        <w:t xml:space="preserve"> in reflection mode by a Siemens D500 </w:t>
      </w:r>
      <w:proofErr w:type="spellStart"/>
      <w:r w:rsidRPr="004D3470">
        <w:rPr>
          <w:rFonts w:asciiTheme="minorHAnsi" w:eastAsia="MS PGothic" w:hAnsiTheme="minorHAnsi"/>
          <w:color w:val="000000"/>
          <w:sz w:val="22"/>
          <w:szCs w:val="22"/>
        </w:rPr>
        <w:t>Krystalloflex</w:t>
      </w:r>
      <w:proofErr w:type="spellEnd"/>
      <w:r w:rsidRPr="004D3470">
        <w:rPr>
          <w:rFonts w:asciiTheme="minorHAnsi" w:eastAsia="MS PGothic" w:hAnsiTheme="minorHAnsi"/>
          <w:color w:val="000000"/>
          <w:sz w:val="22"/>
          <w:szCs w:val="22"/>
        </w:rPr>
        <w:t xml:space="preserve"> 810 apparatus, with a wavelength of 0.1542 nm at a scan rate of 2.0 °/min.</w:t>
      </w:r>
      <w:r>
        <w:rPr>
          <w:rFonts w:asciiTheme="minorHAnsi" w:eastAsia="MS PGothic" w:hAnsiTheme="minorHAnsi"/>
          <w:color w:val="000000"/>
          <w:sz w:val="22"/>
          <w:szCs w:val="22"/>
        </w:rPr>
        <w:t xml:space="preserve"> </w:t>
      </w:r>
      <w:r w:rsidRPr="004D3470">
        <w:rPr>
          <w:rFonts w:asciiTheme="minorHAnsi" w:eastAsia="MS PGothic" w:hAnsiTheme="minorHAnsi"/>
          <w:color w:val="000000"/>
          <w:sz w:val="22"/>
          <w:szCs w:val="22"/>
        </w:rPr>
        <w:t xml:space="preserve">Viscosity was measured </w:t>
      </w:r>
      <w:r>
        <w:rPr>
          <w:rFonts w:asciiTheme="minorHAnsi" w:eastAsia="MS PGothic" w:hAnsiTheme="minorHAnsi"/>
          <w:color w:val="000000"/>
          <w:sz w:val="22"/>
          <w:szCs w:val="22"/>
        </w:rPr>
        <w:t>at 135 °C</w:t>
      </w:r>
      <w:r w:rsidR="00BF5BE2">
        <w:rPr>
          <w:rFonts w:asciiTheme="minorHAnsi" w:eastAsia="MS PGothic" w:hAnsiTheme="minorHAnsi"/>
          <w:color w:val="000000"/>
          <w:sz w:val="22"/>
          <w:szCs w:val="22"/>
        </w:rPr>
        <w:t xml:space="preserve"> </w:t>
      </w:r>
      <w:r w:rsidRPr="004D3470">
        <w:rPr>
          <w:rFonts w:asciiTheme="minorHAnsi" w:eastAsia="MS PGothic" w:hAnsiTheme="minorHAnsi"/>
          <w:color w:val="000000"/>
          <w:sz w:val="22"/>
          <w:szCs w:val="22"/>
        </w:rPr>
        <w:t>by a Brookfield viscometer</w:t>
      </w:r>
      <w:r w:rsidR="00BF5BE2">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w:t>
      </w:r>
      <w:proofErr w:type="gramStart"/>
      <w:r w:rsidRPr="004D3470">
        <w:rPr>
          <w:rFonts w:asciiTheme="minorHAnsi" w:eastAsia="MS PGothic" w:hAnsiTheme="minorHAnsi"/>
          <w:color w:val="000000"/>
          <w:sz w:val="22"/>
          <w:szCs w:val="22"/>
        </w:rPr>
        <w:t xml:space="preserve">Thermo-Gravimetric Analysis (TGA) was performed </w:t>
      </w:r>
      <w:r>
        <w:rPr>
          <w:rFonts w:asciiTheme="minorHAnsi" w:eastAsia="MS PGothic" w:hAnsiTheme="minorHAnsi"/>
          <w:color w:val="000000"/>
          <w:sz w:val="22"/>
          <w:szCs w:val="22"/>
        </w:rPr>
        <w:t xml:space="preserve">in air </w:t>
      </w:r>
      <w:r w:rsidRPr="004D3470">
        <w:rPr>
          <w:rFonts w:asciiTheme="minorHAnsi" w:eastAsia="MS PGothic" w:hAnsiTheme="minorHAnsi"/>
          <w:color w:val="000000"/>
          <w:sz w:val="22"/>
          <w:szCs w:val="22"/>
        </w:rPr>
        <w:t>using a Q500 by TA Instruments</w:t>
      </w:r>
      <w:proofErr w:type="gramEnd"/>
      <w:r>
        <w:rPr>
          <w:rFonts w:asciiTheme="minorHAnsi" w:eastAsia="MS PGothic" w:hAnsiTheme="minorHAnsi"/>
          <w:color w:val="000000"/>
          <w:sz w:val="22"/>
          <w:szCs w:val="22"/>
        </w:rPr>
        <w:t xml:space="preserve">. </w:t>
      </w:r>
      <w:r w:rsidRPr="003B20B9">
        <w:rPr>
          <w:rFonts w:asciiTheme="minorHAnsi" w:eastAsia="MS PGothic" w:hAnsiTheme="minorHAnsi"/>
          <w:color w:val="000000"/>
          <w:sz w:val="22"/>
          <w:szCs w:val="22"/>
        </w:rPr>
        <w:t xml:space="preserve">The LOI test </w:t>
      </w:r>
      <w:proofErr w:type="gramStart"/>
      <w:r w:rsidRPr="003B20B9">
        <w:rPr>
          <w:rFonts w:asciiTheme="minorHAnsi" w:eastAsia="MS PGothic" w:hAnsiTheme="minorHAnsi"/>
          <w:color w:val="000000"/>
          <w:sz w:val="22"/>
          <w:szCs w:val="22"/>
        </w:rPr>
        <w:t>was performed</w:t>
      </w:r>
      <w:proofErr w:type="gramEnd"/>
      <w:r w:rsidRPr="003B20B9">
        <w:rPr>
          <w:rFonts w:asciiTheme="minorHAnsi" w:eastAsia="MS PGothic" w:hAnsiTheme="minorHAnsi"/>
          <w:color w:val="000000"/>
          <w:sz w:val="22"/>
          <w:szCs w:val="22"/>
        </w:rPr>
        <w:t xml:space="preserve"> by LOI-Smoke-230, from </w:t>
      </w:r>
      <w:proofErr w:type="spellStart"/>
      <w:r w:rsidRPr="003B20B9">
        <w:rPr>
          <w:rFonts w:asciiTheme="minorHAnsi" w:eastAsia="MS PGothic" w:hAnsiTheme="minorHAnsi"/>
          <w:color w:val="000000"/>
          <w:sz w:val="22"/>
          <w:szCs w:val="22"/>
        </w:rPr>
        <w:t>Dynisco</w:t>
      </w:r>
      <w:proofErr w:type="spellEnd"/>
      <w:r w:rsidRPr="003B20B9">
        <w:rPr>
          <w:rFonts w:asciiTheme="minorHAnsi" w:eastAsia="MS PGothic" w:hAnsiTheme="minorHAnsi"/>
          <w:color w:val="000000"/>
          <w:sz w:val="22"/>
          <w:szCs w:val="22"/>
        </w:rPr>
        <w:t xml:space="preserve"> &amp; Alpha Technologies, USA.</w:t>
      </w:r>
    </w:p>
    <w:p w:rsidR="006874AC" w:rsidRPr="008D0BEB" w:rsidRDefault="006874AC" w:rsidP="006874AC">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6874AC" w:rsidRDefault="006874AC" w:rsidP="006874A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From WAXD, after mixing with bitumen</w:t>
      </w:r>
      <w:r w:rsidR="00CA133E">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20A has an intercalated structure with interlayer distance of 4.3 nm and 30B has a prevailingly exfoliated structure (Fig. 1). In the case of polymer nanocomposites, clay exfoliation means high interaction between the matrix and the filler, good </w:t>
      </w:r>
      <w:r>
        <w:rPr>
          <w:rFonts w:asciiTheme="minorHAnsi" w:eastAsia="MS PGothic" w:hAnsiTheme="minorHAnsi"/>
          <w:color w:val="000000"/>
          <w:sz w:val="22"/>
          <w:szCs w:val="22"/>
        </w:rPr>
        <w:lastRenderedPageBreak/>
        <w:t>interfacial adhesion, increased viscosity. Moreover, exfoliation improves the flame retardant properties of the materials because the delaminated platelets produce a labyrinth path to oxygen diffusion, thus decreasing the combustion kinetic. Surprisingly, the B</w:t>
      </w:r>
      <w:r w:rsidR="00F16EA4">
        <w:rPr>
          <w:rFonts w:asciiTheme="minorHAnsi" w:eastAsia="MS PGothic" w:hAnsiTheme="minorHAnsi"/>
          <w:color w:val="000000"/>
          <w:sz w:val="22"/>
          <w:szCs w:val="22"/>
        </w:rPr>
        <w:t>/</w:t>
      </w:r>
      <w:r>
        <w:rPr>
          <w:rFonts w:asciiTheme="minorHAnsi" w:eastAsia="MS PGothic" w:hAnsiTheme="minorHAnsi"/>
          <w:color w:val="000000"/>
          <w:sz w:val="22"/>
          <w:szCs w:val="22"/>
        </w:rPr>
        <w:t>30B mixtures, which have a dominating exfoliated structure, did not show a significant viscosity increas</w:t>
      </w:r>
      <w:r w:rsidR="00F16EA4">
        <w:rPr>
          <w:rFonts w:asciiTheme="minorHAnsi" w:eastAsia="MS PGothic" w:hAnsiTheme="minorHAnsi"/>
          <w:color w:val="000000"/>
          <w:sz w:val="22"/>
          <w:szCs w:val="22"/>
        </w:rPr>
        <w:t>ing</w:t>
      </w:r>
      <w:r>
        <w:rPr>
          <w:rFonts w:asciiTheme="minorHAnsi" w:eastAsia="MS PGothic" w:hAnsiTheme="minorHAnsi"/>
          <w:color w:val="000000"/>
          <w:sz w:val="22"/>
          <w:szCs w:val="22"/>
        </w:rPr>
        <w:t xml:space="preserve"> (Table 1). On the contrary, B</w:t>
      </w:r>
      <w:r w:rsidR="00F16EA4">
        <w:rPr>
          <w:rFonts w:asciiTheme="minorHAnsi" w:eastAsia="MS PGothic" w:hAnsiTheme="minorHAnsi"/>
          <w:color w:val="000000"/>
          <w:sz w:val="22"/>
          <w:szCs w:val="22"/>
        </w:rPr>
        <w:t>/</w:t>
      </w:r>
      <w:r>
        <w:rPr>
          <w:rFonts w:asciiTheme="minorHAnsi" w:eastAsia="MS PGothic" w:hAnsiTheme="minorHAnsi"/>
          <w:color w:val="000000"/>
          <w:sz w:val="22"/>
          <w:szCs w:val="22"/>
        </w:rPr>
        <w:t xml:space="preserve">20A mixtures, which have an intercalated structure, </w:t>
      </w:r>
      <w:r w:rsidR="00CA133E">
        <w:rPr>
          <w:rFonts w:asciiTheme="minorHAnsi" w:eastAsia="MS PGothic" w:hAnsiTheme="minorHAnsi"/>
          <w:color w:val="000000"/>
          <w:sz w:val="22"/>
          <w:szCs w:val="22"/>
        </w:rPr>
        <w:t>showed</w:t>
      </w:r>
      <w:r>
        <w:rPr>
          <w:rFonts w:asciiTheme="minorHAnsi" w:eastAsia="MS PGothic" w:hAnsiTheme="minorHAnsi"/>
          <w:color w:val="000000"/>
          <w:sz w:val="22"/>
          <w:szCs w:val="22"/>
        </w:rPr>
        <w:t xml:space="preserve"> a high increase in the binder viscosity. Both clays decrea</w:t>
      </w:r>
      <w:r w:rsidR="00CA133E">
        <w:rPr>
          <w:rFonts w:asciiTheme="minorHAnsi" w:eastAsia="MS PGothic" w:hAnsiTheme="minorHAnsi"/>
          <w:color w:val="000000"/>
          <w:sz w:val="22"/>
          <w:szCs w:val="22"/>
        </w:rPr>
        <w:t>se the LOI value (Table 1)</w:t>
      </w:r>
      <w:r>
        <w:rPr>
          <w:rFonts w:asciiTheme="minorHAnsi" w:eastAsia="MS PGothic" w:hAnsiTheme="minorHAnsi"/>
          <w:color w:val="000000"/>
          <w:sz w:val="22"/>
          <w:szCs w:val="22"/>
        </w:rPr>
        <w:t xml:space="preserve"> and this effect </w:t>
      </w:r>
      <w:proofErr w:type="gramStart"/>
      <w:r>
        <w:rPr>
          <w:rFonts w:asciiTheme="minorHAnsi" w:eastAsia="MS PGothic" w:hAnsiTheme="minorHAnsi"/>
          <w:color w:val="000000"/>
          <w:sz w:val="22"/>
          <w:szCs w:val="22"/>
        </w:rPr>
        <w:t>is more pronounced</w:t>
      </w:r>
      <w:proofErr w:type="gramEnd"/>
      <w:r>
        <w:rPr>
          <w:rFonts w:asciiTheme="minorHAnsi" w:eastAsia="MS PGothic" w:hAnsiTheme="minorHAnsi"/>
          <w:color w:val="000000"/>
          <w:sz w:val="22"/>
          <w:szCs w:val="22"/>
        </w:rPr>
        <w:t xml:space="preserve"> with clay 20A. The TGA derivative weight curves as a function of temperature </w:t>
      </w:r>
      <w:proofErr w:type="gramStart"/>
      <w:r>
        <w:rPr>
          <w:rFonts w:asciiTheme="minorHAnsi" w:eastAsia="MS PGothic" w:hAnsiTheme="minorHAnsi"/>
          <w:color w:val="000000"/>
          <w:sz w:val="22"/>
          <w:szCs w:val="22"/>
        </w:rPr>
        <w:t>are reported</w:t>
      </w:r>
      <w:proofErr w:type="gramEnd"/>
      <w:r>
        <w:rPr>
          <w:rFonts w:asciiTheme="minorHAnsi" w:eastAsia="MS PGothic" w:hAnsiTheme="minorHAnsi"/>
          <w:color w:val="000000"/>
          <w:sz w:val="22"/>
          <w:szCs w:val="22"/>
        </w:rPr>
        <w:t xml:space="preserve"> in </w:t>
      </w:r>
      <w:r w:rsidR="00CA133E">
        <w:rPr>
          <w:rFonts w:asciiTheme="minorHAnsi" w:eastAsia="MS PGothic" w:hAnsiTheme="minorHAnsi"/>
          <w:color w:val="000000"/>
          <w:sz w:val="22"/>
          <w:szCs w:val="22"/>
        </w:rPr>
        <w:br/>
      </w:r>
      <w:r>
        <w:rPr>
          <w:rFonts w:asciiTheme="minorHAnsi" w:eastAsia="MS PGothic" w:hAnsiTheme="minorHAnsi"/>
          <w:color w:val="000000"/>
          <w:sz w:val="22"/>
          <w:szCs w:val="22"/>
        </w:rPr>
        <w:t>Figure 2 for B, B/20A-4 and B</w:t>
      </w:r>
      <w:r w:rsidR="00F16EA4">
        <w:rPr>
          <w:rFonts w:asciiTheme="minorHAnsi" w:eastAsia="MS PGothic" w:hAnsiTheme="minorHAnsi"/>
          <w:color w:val="000000"/>
          <w:sz w:val="22"/>
          <w:szCs w:val="22"/>
        </w:rPr>
        <w:t>/</w:t>
      </w:r>
      <w:r>
        <w:rPr>
          <w:rFonts w:asciiTheme="minorHAnsi" w:eastAsia="MS PGothic" w:hAnsiTheme="minorHAnsi"/>
          <w:color w:val="000000"/>
          <w:sz w:val="22"/>
          <w:szCs w:val="22"/>
        </w:rPr>
        <w:t>30B-4. T</w:t>
      </w:r>
      <w:r w:rsidRPr="00716C70">
        <w:rPr>
          <w:rFonts w:asciiTheme="minorHAnsi" w:eastAsia="MS PGothic" w:hAnsiTheme="minorHAnsi"/>
          <w:color w:val="000000"/>
          <w:sz w:val="22"/>
          <w:szCs w:val="22"/>
        </w:rPr>
        <w:t xml:space="preserve">he TGA spectra </w:t>
      </w:r>
      <w:proofErr w:type="gramStart"/>
      <w:r w:rsidRPr="00716C70">
        <w:rPr>
          <w:rFonts w:asciiTheme="minorHAnsi" w:eastAsia="MS PGothic" w:hAnsiTheme="minorHAnsi"/>
          <w:color w:val="000000"/>
          <w:sz w:val="22"/>
          <w:szCs w:val="22"/>
        </w:rPr>
        <w:t xml:space="preserve">are </w:t>
      </w:r>
      <w:r>
        <w:rPr>
          <w:rFonts w:asciiTheme="minorHAnsi" w:eastAsia="MS PGothic" w:hAnsiTheme="minorHAnsi"/>
          <w:color w:val="000000"/>
          <w:sz w:val="22"/>
          <w:szCs w:val="22"/>
        </w:rPr>
        <w:t>significantly</w:t>
      </w:r>
      <w:r w:rsidRPr="00716C70">
        <w:rPr>
          <w:rFonts w:asciiTheme="minorHAnsi" w:eastAsia="MS PGothic" w:hAnsiTheme="minorHAnsi"/>
          <w:color w:val="000000"/>
          <w:sz w:val="22"/>
          <w:szCs w:val="22"/>
        </w:rPr>
        <w:t xml:space="preserve"> altered</w:t>
      </w:r>
      <w:proofErr w:type="gramEnd"/>
      <w:r w:rsidRPr="00716C70">
        <w:rPr>
          <w:rFonts w:asciiTheme="minorHAnsi" w:eastAsia="MS PGothic" w:hAnsiTheme="minorHAnsi"/>
          <w:color w:val="000000"/>
          <w:sz w:val="22"/>
          <w:szCs w:val="22"/>
        </w:rPr>
        <w:t xml:space="preserve"> with respect to base bitumen even in the presence of small clay quantities</w:t>
      </w:r>
      <w:r>
        <w:rPr>
          <w:rFonts w:asciiTheme="minorHAnsi" w:eastAsia="MS PGothic" w:hAnsiTheme="minorHAnsi"/>
          <w:color w:val="000000"/>
          <w:sz w:val="22"/>
          <w:szCs w:val="22"/>
        </w:rPr>
        <w:t>. Moreover, there seems to be a direct correlation between LOI and the weight loss path of the binders</w:t>
      </w:r>
      <w:r w:rsidRPr="00716C70">
        <w:rPr>
          <w:rFonts w:asciiTheme="minorHAnsi" w:eastAsia="MS PGothic" w:hAnsiTheme="minorHAnsi"/>
          <w:color w:val="000000"/>
          <w:sz w:val="22"/>
          <w:szCs w:val="22"/>
        </w:rPr>
        <w:t>.</w:t>
      </w:r>
    </w:p>
    <w:p w:rsidR="006874AC" w:rsidRDefault="006874AC" w:rsidP="006874AC">
      <w:pPr>
        <w:snapToGrid w:val="0"/>
        <w:spacing w:after="120"/>
        <w:jc w:val="left"/>
        <w:rPr>
          <w:rFonts w:asciiTheme="minorHAnsi" w:eastAsia="MS PGothic" w:hAnsiTheme="minorHAnsi"/>
          <w:color w:val="000000"/>
          <w:sz w:val="22"/>
          <w:szCs w:val="22"/>
        </w:rPr>
      </w:pPr>
      <w:r>
        <w:rPr>
          <w:rFonts w:eastAsia="MS PGothic"/>
        </w:rPr>
        <w:t xml:space="preserve">                  </w:t>
      </w:r>
      <w:r w:rsidR="00334385" w:rsidRPr="00334385">
        <w:rPr>
          <w:rFonts w:eastAsia="MS PGothic"/>
          <w:noProof/>
          <w:lang w:val="it-IT" w:eastAsia="it-IT"/>
        </w:rPr>
        <w:drawing>
          <wp:inline distT="0" distB="0" distL="0" distR="0">
            <wp:extent cx="1347500" cy="20955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13250" t="10573" r="9463" b="5506"/>
                    <a:stretch/>
                  </pic:blipFill>
                  <pic:spPr bwMode="auto">
                    <a:xfrm>
                      <a:off x="0" y="0"/>
                      <a:ext cx="1358706" cy="2112927"/>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MS PGothic"/>
        </w:rPr>
        <w:t xml:space="preserve">               </w:t>
      </w:r>
      <w:r w:rsidR="00334385">
        <w:rPr>
          <w:rFonts w:eastAsia="MS PGothic"/>
        </w:rPr>
        <w:t xml:space="preserve">   </w:t>
      </w:r>
      <w:r>
        <w:rPr>
          <w:rFonts w:eastAsia="MS PGothic"/>
        </w:rPr>
        <w:t xml:space="preserve">      </w:t>
      </w:r>
      <w:r w:rsidR="00334385">
        <w:rPr>
          <w:rFonts w:eastAsia="MS PGothic"/>
        </w:rPr>
        <w:t xml:space="preserve"> </w:t>
      </w:r>
      <w:r>
        <w:rPr>
          <w:rFonts w:eastAsia="MS PGothic"/>
        </w:rPr>
        <w:t xml:space="preserve">     </w:t>
      </w:r>
      <w:r w:rsidRPr="00AC1648">
        <w:rPr>
          <w:rFonts w:eastAsia="MS PGothic"/>
        </w:rPr>
        <w:t xml:space="preserve"> </w:t>
      </w:r>
      <w:r w:rsidR="00A71148" w:rsidRPr="00A71148">
        <w:rPr>
          <w:rFonts w:eastAsia="MS PGothic"/>
          <w:noProof/>
          <w:lang w:val="it-IT" w:eastAsia="it-IT"/>
        </w:rPr>
        <w:drawing>
          <wp:inline distT="0" distB="0" distL="0" distR="0">
            <wp:extent cx="2476023" cy="2105360"/>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1575" t="9394" r="11111" b="4545"/>
                    <a:stretch/>
                  </pic:blipFill>
                  <pic:spPr bwMode="auto">
                    <a:xfrm>
                      <a:off x="0" y="0"/>
                      <a:ext cx="2489766" cy="2117046"/>
                    </a:xfrm>
                    <a:prstGeom prst="rect">
                      <a:avLst/>
                    </a:prstGeom>
                    <a:noFill/>
                    <a:ln>
                      <a:noFill/>
                    </a:ln>
                    <a:extLst>
                      <a:ext uri="{53640926-AAD7-44D8-BBD7-CCE9431645EC}">
                        <a14:shadowObscured xmlns:a14="http://schemas.microsoft.com/office/drawing/2010/main"/>
                      </a:ext>
                    </a:extLst>
                  </pic:spPr>
                </pic:pic>
              </a:graphicData>
            </a:graphic>
          </wp:inline>
        </w:drawing>
      </w:r>
    </w:p>
    <w:p w:rsidR="006874AC" w:rsidRPr="00DE0019" w:rsidRDefault="006874AC" w:rsidP="006874AC">
      <w:pPr>
        <w:snapToGrid w:val="0"/>
        <w:spacing w:after="120"/>
        <w:jc w:val="left"/>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CA133E">
        <w:rPr>
          <w:rFonts w:asciiTheme="minorHAnsi" w:eastAsia="MS PGothic" w:hAnsiTheme="minorHAnsi"/>
          <w:color w:val="000000"/>
          <w:szCs w:val="18"/>
          <w:lang w:val="en-US"/>
        </w:rPr>
        <w:t>WAXD</w:t>
      </w:r>
      <w:r>
        <w:rPr>
          <w:rFonts w:asciiTheme="minorHAnsi" w:eastAsia="MS PGothic" w:hAnsiTheme="minorHAnsi"/>
          <w:color w:val="000000"/>
          <w:szCs w:val="18"/>
          <w:lang w:val="en-US"/>
        </w:rPr>
        <w:t xml:space="preserve"> of B, 20A, 30B, B/20A-4 and B/30B-4.</w:t>
      </w:r>
      <w:r w:rsidR="00CA133E">
        <w:rPr>
          <w:rFonts w:asciiTheme="minorHAnsi" w:eastAsia="MS PGothic" w:hAnsiTheme="minorHAnsi"/>
          <w:color w:val="000000"/>
          <w:szCs w:val="18"/>
          <w:lang w:val="en-US"/>
        </w:rPr>
        <w:t xml:space="preserve">          </w:t>
      </w:r>
      <w:r>
        <w:rPr>
          <w:rFonts w:asciiTheme="minorHAnsi" w:eastAsia="MS PGothic" w:hAnsiTheme="minorHAnsi"/>
          <w:color w:val="000000"/>
          <w:szCs w:val="18"/>
          <w:lang w:val="en-US"/>
        </w:rPr>
        <w:t xml:space="preserve">     </w:t>
      </w: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A0772B">
        <w:rPr>
          <w:rFonts w:asciiTheme="minorHAnsi" w:eastAsia="MS PGothic" w:hAnsiTheme="minorHAnsi"/>
          <w:color w:val="000000"/>
          <w:szCs w:val="18"/>
        </w:rPr>
        <w:t xml:space="preserve">TGA derivative weight curves </w:t>
      </w:r>
      <w:r w:rsidR="00CA133E">
        <w:rPr>
          <w:rFonts w:asciiTheme="minorHAnsi" w:eastAsia="MS PGothic" w:hAnsiTheme="minorHAnsi"/>
          <w:color w:val="000000"/>
          <w:szCs w:val="18"/>
        </w:rPr>
        <w:t>as a</w:t>
      </w:r>
      <w:r w:rsidRPr="00A0772B">
        <w:rPr>
          <w:rFonts w:asciiTheme="minorHAnsi" w:eastAsia="MS PGothic" w:hAnsiTheme="minorHAnsi"/>
          <w:color w:val="000000"/>
          <w:szCs w:val="18"/>
        </w:rPr>
        <w:t xml:space="preserve"> function of </w:t>
      </w:r>
      <w:r>
        <w:rPr>
          <w:rFonts w:asciiTheme="minorHAnsi" w:eastAsia="MS PGothic" w:hAnsiTheme="minorHAnsi"/>
          <w:color w:val="000000"/>
          <w:szCs w:val="18"/>
        </w:rPr>
        <w:t xml:space="preserve">  </w:t>
      </w:r>
      <w:r>
        <w:rPr>
          <w:rFonts w:asciiTheme="minorHAnsi" w:eastAsia="MS PGothic" w:hAnsiTheme="minorHAnsi"/>
          <w:color w:val="000000"/>
          <w:szCs w:val="18"/>
        </w:rPr>
        <w:br/>
        <w:t xml:space="preserve">                                                                                                                        </w:t>
      </w:r>
      <w:r w:rsidR="00334385">
        <w:rPr>
          <w:rFonts w:asciiTheme="minorHAnsi" w:eastAsia="MS PGothic" w:hAnsiTheme="minorHAnsi"/>
          <w:color w:val="000000"/>
          <w:szCs w:val="18"/>
        </w:rPr>
        <w:t xml:space="preserve"> </w:t>
      </w:r>
      <w:r>
        <w:rPr>
          <w:rFonts w:asciiTheme="minorHAnsi" w:eastAsia="MS PGothic" w:hAnsiTheme="minorHAnsi"/>
          <w:color w:val="000000"/>
          <w:szCs w:val="18"/>
        </w:rPr>
        <w:t xml:space="preserve"> </w:t>
      </w:r>
      <w:r w:rsidR="00CA133E">
        <w:rPr>
          <w:rFonts w:asciiTheme="minorHAnsi" w:eastAsia="MS PGothic" w:hAnsiTheme="minorHAnsi"/>
          <w:color w:val="000000"/>
          <w:szCs w:val="18"/>
        </w:rPr>
        <w:t xml:space="preserve">   </w:t>
      </w:r>
      <w:r>
        <w:rPr>
          <w:rFonts w:asciiTheme="minorHAnsi" w:eastAsia="MS PGothic" w:hAnsiTheme="minorHAnsi"/>
          <w:color w:val="000000"/>
          <w:szCs w:val="18"/>
        </w:rPr>
        <w:t xml:space="preserve">     </w:t>
      </w:r>
      <w:r w:rsidRPr="00A0772B">
        <w:rPr>
          <w:rFonts w:asciiTheme="minorHAnsi" w:eastAsia="MS PGothic" w:hAnsiTheme="minorHAnsi"/>
          <w:color w:val="000000"/>
          <w:szCs w:val="18"/>
        </w:rPr>
        <w:t xml:space="preserve">temperature </w:t>
      </w:r>
      <w:r>
        <w:rPr>
          <w:rFonts w:asciiTheme="minorHAnsi" w:eastAsia="MS PGothic" w:hAnsiTheme="minorHAnsi"/>
          <w:color w:val="000000"/>
          <w:szCs w:val="18"/>
        </w:rPr>
        <w:t>for</w:t>
      </w:r>
      <w:r w:rsidRPr="00A0772B">
        <w:rPr>
          <w:rFonts w:asciiTheme="minorHAnsi" w:eastAsia="MS PGothic" w:hAnsiTheme="minorHAnsi"/>
          <w:color w:val="000000"/>
          <w:szCs w:val="18"/>
        </w:rPr>
        <w:t xml:space="preserve"> B, B/</w:t>
      </w:r>
      <w:r>
        <w:rPr>
          <w:rFonts w:asciiTheme="minorHAnsi" w:eastAsia="MS PGothic" w:hAnsiTheme="minorHAnsi"/>
          <w:color w:val="000000"/>
          <w:szCs w:val="18"/>
        </w:rPr>
        <w:t>3</w:t>
      </w:r>
      <w:r w:rsidRPr="00A0772B">
        <w:rPr>
          <w:rFonts w:asciiTheme="minorHAnsi" w:eastAsia="MS PGothic" w:hAnsiTheme="minorHAnsi"/>
          <w:color w:val="000000"/>
          <w:szCs w:val="18"/>
        </w:rPr>
        <w:t>0A-4 and B</w:t>
      </w:r>
      <w:r w:rsidR="00F16EA4">
        <w:rPr>
          <w:rFonts w:asciiTheme="minorHAnsi" w:eastAsia="MS PGothic" w:hAnsiTheme="minorHAnsi"/>
          <w:color w:val="000000"/>
          <w:szCs w:val="18"/>
        </w:rPr>
        <w:t>/</w:t>
      </w:r>
      <w:r>
        <w:rPr>
          <w:rFonts w:asciiTheme="minorHAnsi" w:eastAsia="MS PGothic" w:hAnsiTheme="minorHAnsi"/>
          <w:color w:val="000000"/>
          <w:szCs w:val="18"/>
        </w:rPr>
        <w:t>2</w:t>
      </w:r>
      <w:r w:rsidRPr="00A0772B">
        <w:rPr>
          <w:rFonts w:asciiTheme="minorHAnsi" w:eastAsia="MS PGothic" w:hAnsiTheme="minorHAnsi"/>
          <w:color w:val="000000"/>
          <w:szCs w:val="18"/>
        </w:rPr>
        <w:t>0</w:t>
      </w:r>
      <w:r>
        <w:rPr>
          <w:rFonts w:asciiTheme="minorHAnsi" w:eastAsia="MS PGothic" w:hAnsiTheme="minorHAnsi"/>
          <w:color w:val="000000"/>
          <w:szCs w:val="18"/>
        </w:rPr>
        <w:t>A</w:t>
      </w:r>
      <w:r w:rsidRPr="00A0772B">
        <w:rPr>
          <w:rFonts w:asciiTheme="minorHAnsi" w:eastAsia="MS PGothic" w:hAnsiTheme="minorHAnsi"/>
          <w:color w:val="000000"/>
          <w:szCs w:val="18"/>
        </w:rPr>
        <w:t>-4</w:t>
      </w:r>
    </w:p>
    <w:p w:rsidR="006874AC" w:rsidRPr="00601437" w:rsidRDefault="006874AC" w:rsidP="006874AC">
      <w:pPr>
        <w:rPr>
          <w:rFonts w:asciiTheme="minorHAnsi" w:hAnsiTheme="minorHAnsi" w:cstheme="minorHAnsi"/>
        </w:rPr>
      </w:pPr>
      <w:r w:rsidRPr="006874AC">
        <w:rPr>
          <w:rFonts w:asciiTheme="minorHAnsi" w:hAnsiTheme="minorHAnsi" w:cstheme="minorHAnsi"/>
          <w:b/>
        </w:rPr>
        <w:t xml:space="preserve">Table </w:t>
      </w:r>
      <w:proofErr w:type="gramStart"/>
      <w:r w:rsidRPr="006874AC">
        <w:rPr>
          <w:rFonts w:asciiTheme="minorHAnsi" w:hAnsiTheme="minorHAnsi" w:cstheme="minorHAnsi"/>
          <w:b/>
        </w:rPr>
        <w:t>1</w:t>
      </w:r>
      <w:proofErr w:type="gramEnd"/>
      <w:r w:rsidRPr="00601437">
        <w:rPr>
          <w:rFonts w:asciiTheme="minorHAnsi" w:hAnsiTheme="minorHAnsi" w:cstheme="minorHAnsi"/>
        </w:rPr>
        <w:t xml:space="preserve"> – LOI, viscosity and TGA data for the binary mixes.</w:t>
      </w:r>
    </w:p>
    <w:tbl>
      <w:tblPr>
        <w:tblW w:w="0" w:type="auto"/>
        <w:tblBorders>
          <w:top w:val="single" w:sz="4" w:space="0" w:color="000000"/>
          <w:bottom w:val="single" w:sz="4" w:space="0" w:color="000000"/>
        </w:tblBorders>
        <w:tblLook w:val="04A0" w:firstRow="1" w:lastRow="0" w:firstColumn="1" w:lastColumn="0" w:noHBand="0" w:noVBand="1"/>
      </w:tblPr>
      <w:tblGrid>
        <w:gridCol w:w="1134"/>
        <w:gridCol w:w="1854"/>
        <w:gridCol w:w="927"/>
        <w:gridCol w:w="1906"/>
      </w:tblGrid>
      <w:tr w:rsidR="006874AC" w:rsidRPr="008465AD" w:rsidTr="00316713">
        <w:tc>
          <w:tcPr>
            <w:tcW w:w="1134" w:type="dxa"/>
            <w:tcBorders>
              <w:top w:val="single" w:sz="4" w:space="0" w:color="000000"/>
              <w:bottom w:val="single" w:sz="4" w:space="0" w:color="000000"/>
            </w:tcBorders>
            <w:shd w:val="clear" w:color="auto" w:fill="auto"/>
          </w:tcPr>
          <w:p w:rsidR="006874AC" w:rsidRPr="008465AD" w:rsidRDefault="006874AC" w:rsidP="00316713">
            <w:pPr>
              <w:rPr>
                <w:rFonts w:ascii="Calibri" w:eastAsia="Calibri" w:hAnsi="Calibri"/>
                <w:b/>
                <w:bCs/>
                <w:color w:val="000000"/>
              </w:rPr>
            </w:pPr>
            <w:r w:rsidRPr="008465AD">
              <w:rPr>
                <w:rFonts w:ascii="Calibri" w:eastAsia="Calibri" w:hAnsi="Calibri"/>
                <w:b/>
                <w:bCs/>
                <w:color w:val="000000"/>
              </w:rPr>
              <w:t>Blend</w:t>
            </w:r>
          </w:p>
        </w:tc>
        <w:tc>
          <w:tcPr>
            <w:tcW w:w="1854" w:type="dxa"/>
            <w:tcBorders>
              <w:top w:val="single" w:sz="4" w:space="0" w:color="000000"/>
              <w:bottom w:val="single" w:sz="4" w:space="0" w:color="000000"/>
            </w:tcBorders>
          </w:tcPr>
          <w:p w:rsidR="006874AC" w:rsidRDefault="006874AC" w:rsidP="00316713">
            <w:pPr>
              <w:jc w:val="center"/>
              <w:rPr>
                <w:rFonts w:ascii="Calibri" w:eastAsia="Calibri" w:hAnsi="Calibri"/>
                <w:b/>
                <w:bCs/>
                <w:color w:val="000000"/>
              </w:rPr>
            </w:pPr>
            <w:r>
              <w:rPr>
                <w:rFonts w:ascii="Calibri" w:eastAsia="Calibri" w:hAnsi="Calibri"/>
                <w:b/>
                <w:bCs/>
                <w:color w:val="000000"/>
              </w:rPr>
              <w:t>Clay content</w:t>
            </w:r>
          </w:p>
          <w:p w:rsidR="006874AC" w:rsidRPr="008465AD" w:rsidRDefault="006874AC" w:rsidP="00316713">
            <w:pPr>
              <w:jc w:val="center"/>
              <w:rPr>
                <w:rFonts w:ascii="Calibri" w:eastAsia="Calibri" w:hAnsi="Calibri"/>
                <w:b/>
                <w:bCs/>
                <w:color w:val="000000"/>
              </w:rPr>
            </w:pPr>
            <w:r>
              <w:rPr>
                <w:rFonts w:ascii="Calibri" w:eastAsia="Calibri" w:hAnsi="Calibri"/>
                <w:b/>
                <w:bCs/>
                <w:color w:val="000000"/>
              </w:rPr>
              <w:t>(</w:t>
            </w:r>
            <w:proofErr w:type="spellStart"/>
            <w:proofErr w:type="gramStart"/>
            <w:r>
              <w:rPr>
                <w:rFonts w:ascii="Calibri" w:eastAsia="Calibri" w:hAnsi="Calibri"/>
                <w:b/>
                <w:bCs/>
                <w:color w:val="000000"/>
              </w:rPr>
              <w:t>wt</w:t>
            </w:r>
            <w:proofErr w:type="spellEnd"/>
            <w:proofErr w:type="gramEnd"/>
            <w:r>
              <w:rPr>
                <w:rFonts w:ascii="Calibri" w:eastAsia="Calibri" w:hAnsi="Calibri"/>
                <w:b/>
                <w:bCs/>
                <w:color w:val="000000"/>
              </w:rPr>
              <w:t xml:space="preserve"> %)</w:t>
            </w:r>
          </w:p>
        </w:tc>
        <w:tc>
          <w:tcPr>
            <w:tcW w:w="927" w:type="dxa"/>
            <w:tcBorders>
              <w:top w:val="single" w:sz="4" w:space="0" w:color="000000"/>
              <w:bottom w:val="single" w:sz="4" w:space="0" w:color="000000"/>
            </w:tcBorders>
            <w:shd w:val="clear" w:color="auto" w:fill="auto"/>
          </w:tcPr>
          <w:p w:rsidR="006874AC" w:rsidRPr="008465AD" w:rsidRDefault="006874AC" w:rsidP="00316713">
            <w:pPr>
              <w:jc w:val="center"/>
              <w:rPr>
                <w:rFonts w:ascii="Calibri" w:eastAsia="Calibri" w:hAnsi="Calibri"/>
                <w:b/>
                <w:bCs/>
                <w:color w:val="000000"/>
              </w:rPr>
            </w:pPr>
            <w:r w:rsidRPr="008465AD">
              <w:rPr>
                <w:rFonts w:ascii="Calibri" w:eastAsia="Calibri" w:hAnsi="Calibri"/>
                <w:b/>
                <w:bCs/>
                <w:color w:val="000000"/>
              </w:rPr>
              <w:t>LOI</w:t>
            </w:r>
          </w:p>
        </w:tc>
        <w:tc>
          <w:tcPr>
            <w:tcW w:w="1906" w:type="dxa"/>
            <w:tcBorders>
              <w:top w:val="single" w:sz="4" w:space="0" w:color="000000"/>
              <w:bottom w:val="single" w:sz="4" w:space="0" w:color="000000"/>
            </w:tcBorders>
            <w:shd w:val="clear" w:color="auto" w:fill="auto"/>
          </w:tcPr>
          <w:p w:rsidR="006874AC" w:rsidRPr="008465AD" w:rsidRDefault="006874AC" w:rsidP="00316713">
            <w:pPr>
              <w:jc w:val="center"/>
              <w:rPr>
                <w:rFonts w:ascii="Calibri" w:eastAsia="Calibri" w:hAnsi="Calibri"/>
                <w:b/>
                <w:bCs/>
                <w:color w:val="000000"/>
              </w:rPr>
            </w:pPr>
            <w:r w:rsidRPr="008465AD">
              <w:rPr>
                <w:rFonts w:ascii="Calibri" w:eastAsia="Calibri" w:hAnsi="Calibri"/>
                <w:b/>
                <w:bCs/>
                <w:color w:val="000000"/>
              </w:rPr>
              <w:t>Viscosity</w:t>
            </w:r>
            <w:r>
              <w:rPr>
                <w:rFonts w:ascii="Calibri" w:eastAsia="Calibri" w:hAnsi="Calibri"/>
                <w:b/>
                <w:bCs/>
                <w:color w:val="000000"/>
              </w:rPr>
              <w:t xml:space="preserve">  </w:t>
            </w:r>
            <w:r w:rsidRPr="008465AD">
              <w:rPr>
                <w:rFonts w:ascii="Calibri" w:eastAsia="Calibri" w:hAnsi="Calibri"/>
                <w:b/>
                <w:bCs/>
                <w:color w:val="000000"/>
              </w:rPr>
              <w:t xml:space="preserve">(135 °C, </w:t>
            </w:r>
            <w:proofErr w:type="spellStart"/>
            <w:r w:rsidRPr="008465AD">
              <w:rPr>
                <w:rFonts w:ascii="Calibri" w:eastAsia="Calibri" w:hAnsi="Calibri"/>
                <w:b/>
                <w:bCs/>
                <w:color w:val="000000"/>
              </w:rPr>
              <w:t>cP</w:t>
            </w:r>
            <w:proofErr w:type="spellEnd"/>
            <w:r w:rsidRPr="008465AD">
              <w:rPr>
                <w:rFonts w:ascii="Calibri" w:eastAsia="Calibri" w:hAnsi="Calibri"/>
                <w:b/>
                <w:bCs/>
                <w:color w:val="000000"/>
              </w:rPr>
              <w:t>)</w:t>
            </w:r>
          </w:p>
        </w:tc>
      </w:tr>
      <w:tr w:rsidR="006874AC" w:rsidRPr="00DE030C" w:rsidTr="00316713">
        <w:tc>
          <w:tcPr>
            <w:tcW w:w="1134" w:type="dxa"/>
            <w:tcBorders>
              <w:top w:val="single" w:sz="4" w:space="0" w:color="000000"/>
              <w:bottom w:val="single" w:sz="4" w:space="0" w:color="auto"/>
            </w:tcBorders>
            <w:shd w:val="clear" w:color="auto" w:fill="auto"/>
          </w:tcPr>
          <w:p w:rsidR="006874AC" w:rsidRPr="00DE030C" w:rsidRDefault="006874AC" w:rsidP="00316713">
            <w:pPr>
              <w:rPr>
                <w:rFonts w:ascii="Calibri" w:eastAsia="Calibri" w:hAnsi="Calibri"/>
                <w:b/>
                <w:bCs/>
                <w:color w:val="000000"/>
                <w:vertAlign w:val="superscript"/>
              </w:rPr>
            </w:pPr>
            <w:r>
              <w:rPr>
                <w:rFonts w:ascii="Calibri" w:eastAsia="Calibri" w:hAnsi="Calibri"/>
                <w:b/>
                <w:bCs/>
                <w:color w:val="000000"/>
              </w:rPr>
              <w:t>B</w:t>
            </w:r>
          </w:p>
        </w:tc>
        <w:tc>
          <w:tcPr>
            <w:tcW w:w="1854" w:type="dxa"/>
            <w:tcBorders>
              <w:top w:val="single" w:sz="4" w:space="0" w:color="000000"/>
              <w:bottom w:val="single" w:sz="4" w:space="0" w:color="auto"/>
            </w:tcBorders>
          </w:tcPr>
          <w:p w:rsidR="006874AC" w:rsidRPr="009965E8" w:rsidRDefault="006874AC" w:rsidP="00316713">
            <w:pPr>
              <w:jc w:val="center"/>
              <w:rPr>
                <w:rFonts w:ascii="Calibri" w:eastAsia="Calibri" w:hAnsi="Calibri"/>
                <w:color w:val="000000"/>
              </w:rPr>
            </w:pPr>
            <w:r>
              <w:rPr>
                <w:rFonts w:ascii="Calibri" w:eastAsia="Calibri" w:hAnsi="Calibri"/>
                <w:color w:val="000000"/>
              </w:rPr>
              <w:t>0</w:t>
            </w:r>
          </w:p>
        </w:tc>
        <w:tc>
          <w:tcPr>
            <w:tcW w:w="927" w:type="dxa"/>
            <w:tcBorders>
              <w:top w:val="single" w:sz="4" w:space="0" w:color="000000"/>
              <w:bottom w:val="single" w:sz="4" w:space="0" w:color="auto"/>
            </w:tcBorders>
            <w:shd w:val="clear" w:color="auto" w:fill="auto"/>
          </w:tcPr>
          <w:p w:rsidR="006874AC" w:rsidRPr="009965E8" w:rsidRDefault="006874AC" w:rsidP="00316713">
            <w:pPr>
              <w:jc w:val="center"/>
              <w:rPr>
                <w:rFonts w:ascii="Calibri" w:eastAsia="Calibri" w:hAnsi="Calibri"/>
                <w:color w:val="000000"/>
              </w:rPr>
            </w:pPr>
            <w:r w:rsidRPr="009965E8">
              <w:rPr>
                <w:rFonts w:ascii="Calibri" w:eastAsia="Calibri" w:hAnsi="Calibri"/>
                <w:color w:val="000000"/>
              </w:rPr>
              <w:t>28</w:t>
            </w:r>
          </w:p>
        </w:tc>
        <w:tc>
          <w:tcPr>
            <w:tcW w:w="1906" w:type="dxa"/>
            <w:tcBorders>
              <w:top w:val="single" w:sz="4" w:space="0" w:color="000000"/>
              <w:bottom w:val="single" w:sz="4" w:space="0" w:color="auto"/>
            </w:tcBorders>
            <w:shd w:val="clear" w:color="auto" w:fill="auto"/>
          </w:tcPr>
          <w:p w:rsidR="006874AC" w:rsidRPr="009965E8" w:rsidRDefault="006874AC" w:rsidP="00316713">
            <w:pPr>
              <w:jc w:val="center"/>
              <w:rPr>
                <w:rFonts w:ascii="Calibri" w:eastAsia="Calibri" w:hAnsi="Calibri"/>
                <w:color w:val="000000"/>
              </w:rPr>
            </w:pPr>
            <w:r w:rsidRPr="009965E8">
              <w:rPr>
                <w:rFonts w:ascii="Calibri" w:eastAsia="Calibri" w:hAnsi="Calibri"/>
                <w:color w:val="000000"/>
              </w:rPr>
              <w:t>450</w:t>
            </w:r>
          </w:p>
        </w:tc>
      </w:tr>
      <w:tr w:rsidR="006874AC" w:rsidRPr="00DC25A6" w:rsidTr="00316713">
        <w:tc>
          <w:tcPr>
            <w:tcW w:w="1134" w:type="dxa"/>
            <w:tcBorders>
              <w:top w:val="single" w:sz="4" w:space="0" w:color="auto"/>
              <w:bottom w:val="nil"/>
            </w:tcBorders>
            <w:shd w:val="clear" w:color="auto" w:fill="auto"/>
          </w:tcPr>
          <w:p w:rsidR="006874AC" w:rsidRPr="00DC25A6" w:rsidRDefault="006874AC" w:rsidP="00316713">
            <w:pPr>
              <w:rPr>
                <w:rFonts w:ascii="Calibri" w:eastAsia="Calibri" w:hAnsi="Calibri"/>
                <w:b/>
                <w:bCs/>
                <w:color w:val="000000"/>
              </w:rPr>
            </w:pPr>
            <w:r>
              <w:rPr>
                <w:rFonts w:ascii="Calibri" w:eastAsia="Calibri" w:hAnsi="Calibri"/>
                <w:b/>
                <w:bCs/>
                <w:color w:val="000000"/>
              </w:rPr>
              <w:t>B/</w:t>
            </w:r>
            <w:r w:rsidRPr="00DC25A6">
              <w:rPr>
                <w:rFonts w:ascii="Calibri" w:eastAsia="Calibri" w:hAnsi="Calibri"/>
                <w:b/>
                <w:bCs/>
                <w:color w:val="000000"/>
              </w:rPr>
              <w:t>20</w:t>
            </w:r>
            <w:r>
              <w:rPr>
                <w:rFonts w:ascii="Calibri" w:eastAsia="Calibri" w:hAnsi="Calibri"/>
                <w:b/>
                <w:bCs/>
                <w:color w:val="000000"/>
              </w:rPr>
              <w:t>A-2</w:t>
            </w:r>
          </w:p>
        </w:tc>
        <w:tc>
          <w:tcPr>
            <w:tcW w:w="1854" w:type="dxa"/>
            <w:tcBorders>
              <w:top w:val="single" w:sz="4" w:space="0" w:color="auto"/>
              <w:bottom w:val="nil"/>
            </w:tcBorders>
          </w:tcPr>
          <w:p w:rsidR="006874AC" w:rsidRPr="00DC25A6" w:rsidRDefault="006874AC" w:rsidP="00316713">
            <w:pPr>
              <w:jc w:val="center"/>
              <w:rPr>
                <w:rFonts w:ascii="Calibri" w:eastAsia="Calibri" w:hAnsi="Calibri"/>
                <w:color w:val="000000"/>
              </w:rPr>
            </w:pPr>
            <w:r>
              <w:rPr>
                <w:rFonts w:ascii="Calibri" w:eastAsia="Calibri" w:hAnsi="Calibri"/>
                <w:color w:val="000000"/>
              </w:rPr>
              <w:t>2</w:t>
            </w:r>
          </w:p>
        </w:tc>
        <w:tc>
          <w:tcPr>
            <w:tcW w:w="927" w:type="dxa"/>
            <w:tcBorders>
              <w:top w:val="single" w:sz="4" w:space="0" w:color="auto"/>
              <w:bottom w:val="nil"/>
            </w:tcBorders>
            <w:shd w:val="clear" w:color="auto" w:fill="auto"/>
          </w:tcPr>
          <w:p w:rsidR="006874AC" w:rsidRPr="00DC25A6" w:rsidRDefault="00F16EA4" w:rsidP="00316713">
            <w:pPr>
              <w:jc w:val="center"/>
              <w:rPr>
                <w:rFonts w:ascii="Calibri" w:eastAsia="Calibri" w:hAnsi="Calibri"/>
                <w:color w:val="000000"/>
              </w:rPr>
            </w:pPr>
            <w:r>
              <w:rPr>
                <w:rFonts w:ascii="Calibri" w:eastAsia="Calibri" w:hAnsi="Calibri"/>
                <w:color w:val="000000"/>
              </w:rPr>
              <w:t>26</w:t>
            </w:r>
          </w:p>
        </w:tc>
        <w:tc>
          <w:tcPr>
            <w:tcW w:w="1906" w:type="dxa"/>
            <w:tcBorders>
              <w:top w:val="single" w:sz="4" w:space="0" w:color="auto"/>
              <w:bottom w:val="nil"/>
            </w:tcBorders>
            <w:shd w:val="clear" w:color="auto" w:fill="auto"/>
          </w:tcPr>
          <w:p w:rsidR="006874AC" w:rsidRPr="00DC25A6" w:rsidRDefault="00CA133E" w:rsidP="00316713">
            <w:pPr>
              <w:jc w:val="center"/>
              <w:rPr>
                <w:rFonts w:ascii="Calibri" w:eastAsia="Calibri" w:hAnsi="Calibri"/>
                <w:color w:val="000000"/>
              </w:rPr>
            </w:pPr>
            <w:r>
              <w:rPr>
                <w:rFonts w:ascii="Calibri" w:eastAsia="Calibri" w:hAnsi="Calibri"/>
                <w:color w:val="000000"/>
              </w:rPr>
              <w:t>608</w:t>
            </w:r>
          </w:p>
        </w:tc>
      </w:tr>
      <w:tr w:rsidR="006874AC" w:rsidRPr="00DC25A6" w:rsidTr="00316713">
        <w:tc>
          <w:tcPr>
            <w:tcW w:w="1134" w:type="dxa"/>
            <w:tcBorders>
              <w:top w:val="nil"/>
              <w:bottom w:val="nil"/>
            </w:tcBorders>
            <w:shd w:val="clear" w:color="auto" w:fill="auto"/>
          </w:tcPr>
          <w:p w:rsidR="006874AC" w:rsidRPr="00DC25A6" w:rsidRDefault="006874AC" w:rsidP="00316713">
            <w:pPr>
              <w:rPr>
                <w:rFonts w:ascii="Calibri" w:eastAsia="Calibri" w:hAnsi="Calibri"/>
                <w:b/>
                <w:bCs/>
                <w:color w:val="000000"/>
              </w:rPr>
            </w:pPr>
            <w:r>
              <w:rPr>
                <w:rFonts w:ascii="Calibri" w:eastAsia="Calibri" w:hAnsi="Calibri"/>
                <w:b/>
                <w:bCs/>
                <w:color w:val="000000"/>
              </w:rPr>
              <w:t>B/</w:t>
            </w:r>
            <w:r w:rsidRPr="00DC25A6">
              <w:rPr>
                <w:rFonts w:ascii="Calibri" w:eastAsia="Calibri" w:hAnsi="Calibri"/>
                <w:b/>
                <w:bCs/>
                <w:color w:val="000000"/>
              </w:rPr>
              <w:t>20</w:t>
            </w:r>
            <w:r>
              <w:rPr>
                <w:rFonts w:ascii="Calibri" w:eastAsia="Calibri" w:hAnsi="Calibri"/>
                <w:b/>
                <w:bCs/>
                <w:color w:val="000000"/>
              </w:rPr>
              <w:t>A-4</w:t>
            </w:r>
          </w:p>
        </w:tc>
        <w:tc>
          <w:tcPr>
            <w:tcW w:w="1854" w:type="dxa"/>
            <w:tcBorders>
              <w:top w:val="nil"/>
              <w:bottom w:val="nil"/>
            </w:tcBorders>
          </w:tcPr>
          <w:p w:rsidR="006874AC" w:rsidRPr="00DC25A6" w:rsidRDefault="006874AC" w:rsidP="00316713">
            <w:pPr>
              <w:jc w:val="center"/>
              <w:rPr>
                <w:rFonts w:ascii="Calibri" w:eastAsia="Calibri" w:hAnsi="Calibri"/>
                <w:color w:val="000000"/>
              </w:rPr>
            </w:pPr>
            <w:r>
              <w:rPr>
                <w:rFonts w:ascii="Calibri" w:eastAsia="Calibri" w:hAnsi="Calibri"/>
                <w:color w:val="000000"/>
              </w:rPr>
              <w:t>4</w:t>
            </w:r>
          </w:p>
        </w:tc>
        <w:tc>
          <w:tcPr>
            <w:tcW w:w="927" w:type="dxa"/>
            <w:tcBorders>
              <w:top w:val="nil"/>
              <w:bottom w:val="nil"/>
            </w:tcBorders>
            <w:shd w:val="clear" w:color="auto" w:fill="auto"/>
          </w:tcPr>
          <w:p w:rsidR="006874AC" w:rsidRPr="00DC25A6" w:rsidRDefault="006874AC" w:rsidP="00316713">
            <w:pPr>
              <w:jc w:val="center"/>
              <w:rPr>
                <w:rFonts w:ascii="Calibri" w:eastAsia="Calibri" w:hAnsi="Calibri"/>
                <w:color w:val="000000"/>
              </w:rPr>
            </w:pPr>
            <w:r w:rsidRPr="00DC25A6">
              <w:rPr>
                <w:rFonts w:ascii="Calibri" w:eastAsia="Calibri" w:hAnsi="Calibri"/>
                <w:color w:val="000000"/>
              </w:rPr>
              <w:t>25</w:t>
            </w:r>
          </w:p>
        </w:tc>
        <w:tc>
          <w:tcPr>
            <w:tcW w:w="1906" w:type="dxa"/>
            <w:tcBorders>
              <w:top w:val="nil"/>
              <w:bottom w:val="nil"/>
            </w:tcBorders>
            <w:shd w:val="clear" w:color="auto" w:fill="auto"/>
          </w:tcPr>
          <w:p w:rsidR="006874AC" w:rsidRPr="00DC25A6" w:rsidRDefault="006874AC" w:rsidP="00316713">
            <w:pPr>
              <w:jc w:val="center"/>
              <w:rPr>
                <w:rFonts w:ascii="Calibri" w:eastAsia="Calibri" w:hAnsi="Calibri"/>
                <w:color w:val="000000"/>
              </w:rPr>
            </w:pPr>
            <w:r>
              <w:rPr>
                <w:rFonts w:ascii="Calibri" w:eastAsia="Calibri" w:hAnsi="Calibri"/>
                <w:color w:val="000000"/>
              </w:rPr>
              <w:t>2304</w:t>
            </w:r>
          </w:p>
        </w:tc>
      </w:tr>
      <w:tr w:rsidR="006874AC" w:rsidRPr="00DC25A6" w:rsidTr="00316713">
        <w:tc>
          <w:tcPr>
            <w:tcW w:w="1134" w:type="dxa"/>
            <w:tcBorders>
              <w:top w:val="nil"/>
              <w:bottom w:val="nil"/>
            </w:tcBorders>
            <w:shd w:val="clear" w:color="auto" w:fill="auto"/>
          </w:tcPr>
          <w:p w:rsidR="006874AC" w:rsidRPr="00DC25A6" w:rsidRDefault="006874AC" w:rsidP="00316713">
            <w:pPr>
              <w:rPr>
                <w:rFonts w:ascii="Calibri" w:eastAsia="Calibri" w:hAnsi="Calibri"/>
                <w:b/>
                <w:bCs/>
                <w:color w:val="000000"/>
              </w:rPr>
            </w:pPr>
            <w:r>
              <w:rPr>
                <w:rFonts w:ascii="Calibri" w:eastAsia="Calibri" w:hAnsi="Calibri"/>
                <w:b/>
                <w:bCs/>
                <w:color w:val="000000"/>
              </w:rPr>
              <w:t>B/</w:t>
            </w:r>
            <w:r w:rsidRPr="00DC25A6">
              <w:rPr>
                <w:rFonts w:ascii="Calibri" w:eastAsia="Calibri" w:hAnsi="Calibri"/>
                <w:b/>
                <w:bCs/>
                <w:color w:val="000000"/>
              </w:rPr>
              <w:t>20</w:t>
            </w:r>
            <w:r>
              <w:rPr>
                <w:rFonts w:ascii="Calibri" w:eastAsia="Calibri" w:hAnsi="Calibri"/>
                <w:b/>
                <w:bCs/>
                <w:color w:val="000000"/>
              </w:rPr>
              <w:t>A-8</w:t>
            </w:r>
          </w:p>
        </w:tc>
        <w:tc>
          <w:tcPr>
            <w:tcW w:w="1854" w:type="dxa"/>
            <w:tcBorders>
              <w:top w:val="nil"/>
              <w:bottom w:val="nil"/>
            </w:tcBorders>
          </w:tcPr>
          <w:p w:rsidR="006874AC" w:rsidRPr="00DC25A6" w:rsidRDefault="006874AC" w:rsidP="00316713">
            <w:pPr>
              <w:jc w:val="center"/>
              <w:rPr>
                <w:rFonts w:ascii="Calibri" w:eastAsia="Calibri" w:hAnsi="Calibri"/>
                <w:color w:val="000000"/>
              </w:rPr>
            </w:pPr>
            <w:r>
              <w:rPr>
                <w:rFonts w:ascii="Calibri" w:eastAsia="Calibri" w:hAnsi="Calibri"/>
                <w:color w:val="000000"/>
              </w:rPr>
              <w:t>8</w:t>
            </w:r>
          </w:p>
        </w:tc>
        <w:tc>
          <w:tcPr>
            <w:tcW w:w="927" w:type="dxa"/>
            <w:tcBorders>
              <w:top w:val="nil"/>
              <w:bottom w:val="nil"/>
            </w:tcBorders>
            <w:shd w:val="clear" w:color="auto" w:fill="auto"/>
          </w:tcPr>
          <w:p w:rsidR="006874AC" w:rsidRPr="00DC25A6" w:rsidRDefault="006874AC" w:rsidP="00316713">
            <w:pPr>
              <w:jc w:val="center"/>
              <w:rPr>
                <w:rFonts w:ascii="Calibri" w:eastAsia="Calibri" w:hAnsi="Calibri"/>
                <w:color w:val="000000"/>
              </w:rPr>
            </w:pPr>
            <w:r w:rsidRPr="00DC25A6">
              <w:rPr>
                <w:rFonts w:ascii="Calibri" w:eastAsia="Calibri" w:hAnsi="Calibri"/>
                <w:color w:val="000000"/>
              </w:rPr>
              <w:t>22</w:t>
            </w:r>
          </w:p>
        </w:tc>
        <w:tc>
          <w:tcPr>
            <w:tcW w:w="1906" w:type="dxa"/>
            <w:tcBorders>
              <w:top w:val="nil"/>
              <w:bottom w:val="nil"/>
            </w:tcBorders>
            <w:shd w:val="clear" w:color="auto" w:fill="auto"/>
          </w:tcPr>
          <w:p w:rsidR="006874AC" w:rsidRPr="00DC25A6" w:rsidRDefault="006874AC" w:rsidP="00316713">
            <w:pPr>
              <w:jc w:val="center"/>
              <w:rPr>
                <w:rFonts w:ascii="Calibri" w:eastAsia="Calibri" w:hAnsi="Calibri"/>
                <w:color w:val="000000"/>
              </w:rPr>
            </w:pPr>
            <w:r>
              <w:rPr>
                <w:rFonts w:ascii="Calibri" w:eastAsia="Calibri" w:hAnsi="Calibri"/>
                <w:color w:val="000000"/>
              </w:rPr>
              <w:t>17000</w:t>
            </w:r>
          </w:p>
        </w:tc>
      </w:tr>
      <w:tr w:rsidR="006874AC" w:rsidRPr="00DC25A6" w:rsidTr="00316713">
        <w:tc>
          <w:tcPr>
            <w:tcW w:w="1134" w:type="dxa"/>
            <w:tcBorders>
              <w:top w:val="single" w:sz="4" w:space="0" w:color="auto"/>
              <w:bottom w:val="nil"/>
            </w:tcBorders>
            <w:shd w:val="clear" w:color="auto" w:fill="auto"/>
          </w:tcPr>
          <w:p w:rsidR="006874AC" w:rsidRPr="00DC25A6" w:rsidRDefault="006874AC" w:rsidP="00316713">
            <w:pPr>
              <w:rPr>
                <w:rFonts w:ascii="Calibri" w:eastAsia="Calibri" w:hAnsi="Calibri"/>
                <w:b/>
                <w:bCs/>
                <w:color w:val="000000"/>
              </w:rPr>
            </w:pPr>
            <w:r>
              <w:rPr>
                <w:rFonts w:ascii="Calibri" w:eastAsia="Calibri" w:hAnsi="Calibri"/>
                <w:b/>
                <w:bCs/>
                <w:color w:val="000000"/>
              </w:rPr>
              <w:t>B/</w:t>
            </w:r>
            <w:r w:rsidRPr="00DC25A6">
              <w:rPr>
                <w:rFonts w:ascii="Calibri" w:eastAsia="Calibri" w:hAnsi="Calibri"/>
                <w:b/>
                <w:bCs/>
                <w:color w:val="000000"/>
              </w:rPr>
              <w:t>30B</w:t>
            </w:r>
            <w:r>
              <w:rPr>
                <w:rFonts w:ascii="Calibri" w:eastAsia="Calibri" w:hAnsi="Calibri"/>
                <w:b/>
                <w:bCs/>
                <w:color w:val="000000"/>
              </w:rPr>
              <w:t>-2</w:t>
            </w:r>
          </w:p>
        </w:tc>
        <w:tc>
          <w:tcPr>
            <w:tcW w:w="1854" w:type="dxa"/>
            <w:tcBorders>
              <w:top w:val="single" w:sz="4" w:space="0" w:color="auto"/>
              <w:bottom w:val="nil"/>
            </w:tcBorders>
          </w:tcPr>
          <w:p w:rsidR="006874AC" w:rsidRPr="00DC25A6" w:rsidRDefault="006874AC" w:rsidP="00316713">
            <w:pPr>
              <w:jc w:val="center"/>
              <w:rPr>
                <w:rFonts w:ascii="Calibri" w:eastAsia="Calibri" w:hAnsi="Calibri"/>
                <w:color w:val="000000"/>
              </w:rPr>
            </w:pPr>
            <w:r>
              <w:rPr>
                <w:rFonts w:ascii="Calibri" w:eastAsia="Calibri" w:hAnsi="Calibri"/>
                <w:color w:val="000000"/>
              </w:rPr>
              <w:t>2</w:t>
            </w:r>
          </w:p>
        </w:tc>
        <w:tc>
          <w:tcPr>
            <w:tcW w:w="927" w:type="dxa"/>
            <w:tcBorders>
              <w:top w:val="single" w:sz="4" w:space="0" w:color="auto"/>
              <w:bottom w:val="nil"/>
            </w:tcBorders>
            <w:shd w:val="clear" w:color="auto" w:fill="auto"/>
          </w:tcPr>
          <w:p w:rsidR="006874AC" w:rsidRPr="00DC25A6" w:rsidRDefault="006874AC" w:rsidP="00316713">
            <w:pPr>
              <w:jc w:val="center"/>
              <w:rPr>
                <w:rFonts w:ascii="Calibri" w:eastAsia="Calibri" w:hAnsi="Calibri"/>
                <w:color w:val="000000"/>
              </w:rPr>
            </w:pPr>
            <w:r w:rsidRPr="00DC25A6">
              <w:rPr>
                <w:rFonts w:ascii="Calibri" w:eastAsia="Calibri" w:hAnsi="Calibri"/>
                <w:color w:val="000000"/>
              </w:rPr>
              <w:t>28</w:t>
            </w:r>
          </w:p>
        </w:tc>
        <w:tc>
          <w:tcPr>
            <w:tcW w:w="1906" w:type="dxa"/>
            <w:tcBorders>
              <w:top w:val="single" w:sz="4" w:space="0" w:color="auto"/>
              <w:bottom w:val="nil"/>
            </w:tcBorders>
            <w:shd w:val="clear" w:color="auto" w:fill="auto"/>
          </w:tcPr>
          <w:p w:rsidR="006874AC" w:rsidRPr="00DC25A6" w:rsidRDefault="006874AC" w:rsidP="00316713">
            <w:pPr>
              <w:jc w:val="center"/>
              <w:rPr>
                <w:rFonts w:ascii="Calibri" w:eastAsia="Calibri" w:hAnsi="Calibri"/>
                <w:color w:val="000000"/>
              </w:rPr>
            </w:pPr>
            <w:r>
              <w:rPr>
                <w:rFonts w:ascii="Calibri" w:eastAsia="Calibri" w:hAnsi="Calibri"/>
                <w:color w:val="000000"/>
              </w:rPr>
              <w:t>471</w:t>
            </w:r>
          </w:p>
        </w:tc>
      </w:tr>
      <w:tr w:rsidR="006874AC" w:rsidRPr="00DC25A6" w:rsidTr="00316713">
        <w:tc>
          <w:tcPr>
            <w:tcW w:w="1134" w:type="dxa"/>
            <w:tcBorders>
              <w:top w:val="nil"/>
              <w:bottom w:val="nil"/>
            </w:tcBorders>
            <w:shd w:val="clear" w:color="auto" w:fill="auto"/>
          </w:tcPr>
          <w:p w:rsidR="006874AC" w:rsidRPr="00DC25A6" w:rsidRDefault="006874AC" w:rsidP="00316713">
            <w:pPr>
              <w:rPr>
                <w:rFonts w:ascii="Calibri" w:eastAsia="Calibri" w:hAnsi="Calibri"/>
                <w:b/>
                <w:bCs/>
                <w:color w:val="000000"/>
              </w:rPr>
            </w:pPr>
            <w:r>
              <w:rPr>
                <w:rFonts w:ascii="Calibri" w:eastAsia="Calibri" w:hAnsi="Calibri"/>
                <w:b/>
                <w:bCs/>
                <w:color w:val="000000"/>
              </w:rPr>
              <w:t>B/</w:t>
            </w:r>
            <w:r w:rsidRPr="00DC25A6">
              <w:rPr>
                <w:rFonts w:ascii="Calibri" w:eastAsia="Calibri" w:hAnsi="Calibri"/>
                <w:b/>
                <w:bCs/>
                <w:color w:val="000000"/>
              </w:rPr>
              <w:t>30B</w:t>
            </w:r>
            <w:r>
              <w:rPr>
                <w:rFonts w:ascii="Calibri" w:eastAsia="Calibri" w:hAnsi="Calibri"/>
                <w:b/>
                <w:bCs/>
                <w:color w:val="000000"/>
              </w:rPr>
              <w:t>-4</w:t>
            </w:r>
          </w:p>
        </w:tc>
        <w:tc>
          <w:tcPr>
            <w:tcW w:w="1854" w:type="dxa"/>
            <w:tcBorders>
              <w:top w:val="nil"/>
              <w:bottom w:val="nil"/>
            </w:tcBorders>
          </w:tcPr>
          <w:p w:rsidR="006874AC" w:rsidRPr="00DC25A6" w:rsidRDefault="006874AC" w:rsidP="00316713">
            <w:pPr>
              <w:jc w:val="center"/>
              <w:rPr>
                <w:rFonts w:ascii="Calibri" w:eastAsia="Calibri" w:hAnsi="Calibri"/>
                <w:color w:val="000000"/>
              </w:rPr>
            </w:pPr>
            <w:r>
              <w:rPr>
                <w:rFonts w:ascii="Calibri" w:eastAsia="Calibri" w:hAnsi="Calibri"/>
                <w:color w:val="000000"/>
              </w:rPr>
              <w:t>4</w:t>
            </w:r>
          </w:p>
        </w:tc>
        <w:tc>
          <w:tcPr>
            <w:tcW w:w="927" w:type="dxa"/>
            <w:tcBorders>
              <w:top w:val="nil"/>
              <w:bottom w:val="nil"/>
            </w:tcBorders>
            <w:shd w:val="clear" w:color="auto" w:fill="auto"/>
          </w:tcPr>
          <w:p w:rsidR="006874AC" w:rsidRPr="00DC25A6" w:rsidRDefault="006874AC" w:rsidP="00316713">
            <w:pPr>
              <w:jc w:val="center"/>
              <w:rPr>
                <w:rFonts w:ascii="Calibri" w:eastAsia="Calibri" w:hAnsi="Calibri"/>
                <w:color w:val="000000"/>
              </w:rPr>
            </w:pPr>
            <w:r w:rsidRPr="00DC25A6">
              <w:rPr>
                <w:rFonts w:ascii="Calibri" w:eastAsia="Calibri" w:hAnsi="Calibri"/>
                <w:color w:val="000000"/>
              </w:rPr>
              <w:t>29</w:t>
            </w:r>
          </w:p>
        </w:tc>
        <w:tc>
          <w:tcPr>
            <w:tcW w:w="1906" w:type="dxa"/>
            <w:tcBorders>
              <w:top w:val="nil"/>
              <w:bottom w:val="nil"/>
            </w:tcBorders>
            <w:shd w:val="clear" w:color="auto" w:fill="auto"/>
          </w:tcPr>
          <w:p w:rsidR="006874AC" w:rsidRPr="00DC25A6" w:rsidRDefault="006874AC" w:rsidP="00316713">
            <w:pPr>
              <w:jc w:val="center"/>
              <w:rPr>
                <w:rFonts w:ascii="Calibri" w:eastAsia="Calibri" w:hAnsi="Calibri"/>
                <w:color w:val="000000"/>
              </w:rPr>
            </w:pPr>
            <w:r>
              <w:rPr>
                <w:rFonts w:ascii="Calibri" w:eastAsia="Calibri" w:hAnsi="Calibri"/>
                <w:color w:val="000000"/>
              </w:rPr>
              <w:t>542</w:t>
            </w:r>
          </w:p>
        </w:tc>
      </w:tr>
      <w:tr w:rsidR="006874AC" w:rsidRPr="00DC25A6" w:rsidTr="00316713">
        <w:tc>
          <w:tcPr>
            <w:tcW w:w="1134" w:type="dxa"/>
            <w:tcBorders>
              <w:top w:val="nil"/>
              <w:bottom w:val="single" w:sz="4" w:space="0" w:color="auto"/>
            </w:tcBorders>
            <w:shd w:val="clear" w:color="auto" w:fill="auto"/>
          </w:tcPr>
          <w:p w:rsidR="006874AC" w:rsidRPr="00DC25A6" w:rsidRDefault="006874AC" w:rsidP="00316713">
            <w:pPr>
              <w:rPr>
                <w:rFonts w:ascii="Calibri" w:eastAsia="Calibri" w:hAnsi="Calibri"/>
                <w:b/>
                <w:bCs/>
                <w:color w:val="000000"/>
              </w:rPr>
            </w:pPr>
            <w:r>
              <w:rPr>
                <w:rFonts w:ascii="Calibri" w:eastAsia="Calibri" w:hAnsi="Calibri"/>
                <w:b/>
                <w:bCs/>
                <w:color w:val="000000"/>
              </w:rPr>
              <w:t>B/</w:t>
            </w:r>
            <w:r w:rsidRPr="00DC25A6">
              <w:rPr>
                <w:rFonts w:ascii="Calibri" w:eastAsia="Calibri" w:hAnsi="Calibri"/>
                <w:b/>
                <w:bCs/>
                <w:color w:val="000000"/>
              </w:rPr>
              <w:t>30B</w:t>
            </w:r>
            <w:r>
              <w:rPr>
                <w:rFonts w:ascii="Calibri" w:eastAsia="Calibri" w:hAnsi="Calibri"/>
                <w:b/>
                <w:bCs/>
                <w:color w:val="000000"/>
              </w:rPr>
              <w:t>-8</w:t>
            </w:r>
          </w:p>
        </w:tc>
        <w:tc>
          <w:tcPr>
            <w:tcW w:w="1854" w:type="dxa"/>
            <w:tcBorders>
              <w:top w:val="nil"/>
              <w:bottom w:val="single" w:sz="4" w:space="0" w:color="auto"/>
            </w:tcBorders>
          </w:tcPr>
          <w:p w:rsidR="006874AC" w:rsidRPr="00DC25A6" w:rsidRDefault="006874AC" w:rsidP="00316713">
            <w:pPr>
              <w:jc w:val="center"/>
              <w:rPr>
                <w:rFonts w:ascii="Calibri" w:eastAsia="Calibri" w:hAnsi="Calibri"/>
                <w:color w:val="000000"/>
              </w:rPr>
            </w:pPr>
            <w:r>
              <w:rPr>
                <w:rFonts w:ascii="Calibri" w:eastAsia="Calibri" w:hAnsi="Calibri"/>
                <w:color w:val="000000"/>
              </w:rPr>
              <w:t>8</w:t>
            </w:r>
          </w:p>
        </w:tc>
        <w:tc>
          <w:tcPr>
            <w:tcW w:w="927" w:type="dxa"/>
            <w:tcBorders>
              <w:top w:val="nil"/>
              <w:bottom w:val="single" w:sz="4" w:space="0" w:color="auto"/>
            </w:tcBorders>
            <w:shd w:val="clear" w:color="auto" w:fill="auto"/>
          </w:tcPr>
          <w:p w:rsidR="006874AC" w:rsidRPr="00DC25A6" w:rsidRDefault="006874AC" w:rsidP="00316713">
            <w:pPr>
              <w:jc w:val="center"/>
              <w:rPr>
                <w:rFonts w:ascii="Calibri" w:eastAsia="Calibri" w:hAnsi="Calibri"/>
                <w:color w:val="000000"/>
              </w:rPr>
            </w:pPr>
            <w:r w:rsidRPr="00DC25A6">
              <w:rPr>
                <w:rFonts w:ascii="Calibri" w:eastAsia="Calibri" w:hAnsi="Calibri"/>
                <w:color w:val="000000"/>
              </w:rPr>
              <w:t>24</w:t>
            </w:r>
          </w:p>
        </w:tc>
        <w:tc>
          <w:tcPr>
            <w:tcW w:w="1906" w:type="dxa"/>
            <w:tcBorders>
              <w:top w:val="nil"/>
              <w:bottom w:val="single" w:sz="4" w:space="0" w:color="auto"/>
            </w:tcBorders>
            <w:shd w:val="clear" w:color="auto" w:fill="auto"/>
          </w:tcPr>
          <w:p w:rsidR="006874AC" w:rsidRPr="00DC25A6" w:rsidRDefault="006874AC" w:rsidP="00316713">
            <w:pPr>
              <w:jc w:val="center"/>
              <w:rPr>
                <w:rFonts w:ascii="Calibri" w:eastAsia="Calibri" w:hAnsi="Calibri"/>
                <w:color w:val="000000"/>
              </w:rPr>
            </w:pPr>
            <w:r>
              <w:rPr>
                <w:rFonts w:ascii="Calibri" w:eastAsia="Calibri" w:hAnsi="Calibri"/>
                <w:color w:val="000000"/>
              </w:rPr>
              <w:t>850</w:t>
            </w:r>
          </w:p>
        </w:tc>
      </w:tr>
    </w:tbl>
    <w:p w:rsidR="006874AC" w:rsidRPr="008D0BEB" w:rsidRDefault="006874AC" w:rsidP="006874AC">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874AC" w:rsidRPr="008D0BEB" w:rsidRDefault="006874AC" w:rsidP="006874A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proofErr w:type="spellStart"/>
      <w:r>
        <w:rPr>
          <w:rFonts w:asciiTheme="minorHAnsi" w:eastAsia="MS PGothic" w:hAnsiTheme="minorHAnsi"/>
          <w:color w:val="000000"/>
          <w:sz w:val="22"/>
          <w:szCs w:val="22"/>
          <w:lang w:val="en-US"/>
        </w:rPr>
        <w:t>organoclays</w:t>
      </w:r>
      <w:proofErr w:type="spellEnd"/>
      <w:r>
        <w:rPr>
          <w:rFonts w:asciiTheme="minorHAnsi" w:eastAsia="MS PGothic" w:hAnsiTheme="minorHAnsi"/>
          <w:color w:val="000000"/>
          <w:sz w:val="22"/>
          <w:szCs w:val="22"/>
          <w:lang w:val="en-US"/>
        </w:rPr>
        <w:t xml:space="preserve"> significantly interact</w:t>
      </w:r>
      <w:r w:rsidRPr="00716C70">
        <w:rPr>
          <w:rFonts w:asciiTheme="minorHAnsi" w:eastAsia="MS PGothic" w:hAnsiTheme="minorHAnsi"/>
          <w:color w:val="000000"/>
          <w:sz w:val="22"/>
          <w:szCs w:val="22"/>
          <w:lang w:val="en-US"/>
        </w:rPr>
        <w:t xml:space="preserve"> with the binder, </w:t>
      </w:r>
      <w:r>
        <w:rPr>
          <w:rFonts w:asciiTheme="minorHAnsi" w:eastAsia="MS PGothic" w:hAnsiTheme="minorHAnsi"/>
          <w:color w:val="000000"/>
          <w:sz w:val="22"/>
          <w:szCs w:val="22"/>
          <w:lang w:val="en-US"/>
        </w:rPr>
        <w:t xml:space="preserve">thus </w:t>
      </w:r>
      <w:r w:rsidRPr="00716C70">
        <w:rPr>
          <w:rFonts w:asciiTheme="minorHAnsi" w:eastAsia="MS PGothic" w:hAnsiTheme="minorHAnsi"/>
          <w:color w:val="000000"/>
          <w:sz w:val="22"/>
          <w:szCs w:val="22"/>
          <w:lang w:val="en-US"/>
        </w:rPr>
        <w:t>modifying its colloidal structure</w:t>
      </w:r>
      <w:r>
        <w:rPr>
          <w:rFonts w:asciiTheme="minorHAnsi" w:eastAsia="MS PGothic" w:hAnsiTheme="minorHAnsi"/>
          <w:color w:val="000000"/>
          <w:sz w:val="22"/>
          <w:szCs w:val="22"/>
          <w:lang w:val="en-US"/>
        </w:rPr>
        <w:t>. This effect prevails on the above-mentioned labyrinth-effect related to the presence of exfoliated or intercalated platelets in the bitumen matrix.</w:t>
      </w:r>
    </w:p>
    <w:p w:rsidR="00C20F54" w:rsidRPr="00C20F54" w:rsidRDefault="006874AC" w:rsidP="00C20F54">
      <w:pPr>
        <w:snapToGrid w:val="0"/>
        <w:spacing w:before="240" w:line="300" w:lineRule="auto"/>
        <w:rPr>
          <w:rStyle w:val="Collegamentoipertestuale"/>
          <w:rFonts w:asciiTheme="minorHAnsi" w:eastAsia="SimSun" w:hAnsiTheme="minorHAnsi"/>
          <w:b/>
          <w:bCs/>
          <w:color w:val="000000"/>
          <w:sz w:val="20"/>
          <w:u w:val="none"/>
          <w:lang w:val="en-US" w:eastAsia="zh-CN"/>
        </w:rPr>
      </w:pPr>
      <w:r>
        <w:rPr>
          <w:rFonts w:asciiTheme="minorHAnsi" w:eastAsia="MS PGothic" w:hAnsiTheme="minorHAnsi"/>
          <w:b/>
          <w:bCs/>
          <w:color w:val="000000"/>
          <w:sz w:val="20"/>
          <w:lang w:val="en-US"/>
        </w:rPr>
        <w:t>References</w:t>
      </w:r>
      <w:r w:rsidR="00C20F54" w:rsidRPr="00C20F54">
        <w:rPr>
          <w:rFonts w:asciiTheme="minorHAnsi" w:hAnsiTheme="minorHAnsi"/>
          <w:color w:val="000000"/>
          <w:sz w:val="20"/>
          <w:lang w:val="it-IT"/>
        </w:rPr>
        <w:fldChar w:fldCharType="begin"/>
      </w:r>
      <w:r w:rsidR="00C20F54" w:rsidRPr="00C20F54">
        <w:rPr>
          <w:rFonts w:asciiTheme="minorHAnsi" w:hAnsiTheme="minorHAnsi"/>
          <w:color w:val="000000"/>
          <w:sz w:val="20"/>
          <w:lang w:val="it-IT"/>
        </w:rPr>
        <w:instrText xml:space="preserve"> HYPERLINK "http://125.234.102.146:8080/dspace/bitstream/DNULIB_52011/6785/1/flame%20_retardants_polymer_blends_composites_and_nanocomposites.pdf" </w:instrText>
      </w:r>
      <w:r w:rsidR="00C20F54" w:rsidRPr="00C20F54">
        <w:rPr>
          <w:rFonts w:asciiTheme="minorHAnsi" w:hAnsiTheme="minorHAnsi"/>
          <w:color w:val="000000"/>
          <w:sz w:val="20"/>
          <w:lang w:val="it-IT"/>
        </w:rPr>
        <w:fldChar w:fldCharType="separate"/>
      </w:r>
    </w:p>
    <w:p w:rsidR="00C20F54" w:rsidRPr="00C20F54" w:rsidRDefault="00C20F54" w:rsidP="00C20F54">
      <w:pPr>
        <w:pStyle w:val="FirstParagraph"/>
        <w:numPr>
          <w:ilvl w:val="0"/>
          <w:numId w:val="17"/>
        </w:numPr>
        <w:tabs>
          <w:tab w:val="left" w:pos="426"/>
        </w:tabs>
        <w:rPr>
          <w:rStyle w:val="Collegamentoipertestuale"/>
          <w:rFonts w:asciiTheme="minorHAnsi" w:hAnsiTheme="minorHAnsi"/>
          <w:color w:val="000000" w:themeColor="text1"/>
          <w:u w:val="none"/>
          <w:lang w:val="en-GB"/>
        </w:rPr>
      </w:pPr>
      <w:r w:rsidRPr="00C20F54">
        <w:rPr>
          <w:rStyle w:val="Collegamentoipertestuale"/>
          <w:rFonts w:asciiTheme="minorHAnsi" w:hAnsiTheme="minorHAnsi"/>
          <w:color w:val="000000" w:themeColor="text1"/>
          <w:u w:val="none"/>
          <w:lang w:val="en-GB"/>
        </w:rPr>
        <w:t xml:space="preserve">P.M. </w:t>
      </w:r>
      <w:proofErr w:type="spellStart"/>
      <w:r w:rsidRPr="00C20F54">
        <w:rPr>
          <w:rStyle w:val="Collegamentoipertestuale"/>
          <w:rFonts w:asciiTheme="minorHAnsi" w:hAnsiTheme="minorHAnsi"/>
          <w:color w:val="000000" w:themeColor="text1"/>
          <w:u w:val="none"/>
          <w:lang w:val="en-GB"/>
        </w:rPr>
        <w:t>Visakh</w:t>
      </w:r>
      <w:proofErr w:type="spellEnd"/>
      <w:r w:rsidRPr="00C20F54">
        <w:rPr>
          <w:rStyle w:val="Collegamentoipertestuale"/>
          <w:rFonts w:asciiTheme="minorHAnsi" w:hAnsiTheme="minorHAnsi"/>
          <w:color w:val="000000" w:themeColor="text1"/>
          <w:u w:val="none"/>
          <w:lang w:val="en-GB"/>
        </w:rPr>
        <w:t xml:space="preserve"> Yoshihiko </w:t>
      </w:r>
      <w:proofErr w:type="spellStart"/>
      <w:r w:rsidRPr="00C20F54">
        <w:rPr>
          <w:rStyle w:val="Collegamentoipertestuale"/>
          <w:rFonts w:asciiTheme="minorHAnsi" w:hAnsiTheme="minorHAnsi"/>
          <w:color w:val="000000" w:themeColor="text1"/>
          <w:u w:val="none"/>
          <w:lang w:val="en-GB"/>
        </w:rPr>
        <w:t>Arao</w:t>
      </w:r>
      <w:proofErr w:type="spellEnd"/>
      <w:r>
        <w:rPr>
          <w:rStyle w:val="Collegamentoipertestuale"/>
          <w:rFonts w:asciiTheme="minorHAnsi" w:hAnsiTheme="minorHAnsi"/>
          <w:color w:val="000000" w:themeColor="text1"/>
          <w:u w:val="none"/>
          <w:lang w:val="en-GB"/>
        </w:rPr>
        <w:t>,</w:t>
      </w:r>
      <w:r w:rsidRPr="00C20F54">
        <w:rPr>
          <w:rStyle w:val="Collegamentoipertestuale"/>
          <w:rFonts w:asciiTheme="minorHAnsi" w:hAnsiTheme="minorHAnsi"/>
          <w:color w:val="000000" w:themeColor="text1"/>
          <w:u w:val="none"/>
          <w:lang w:val="en-GB"/>
        </w:rPr>
        <w:t xml:space="preserve"> </w:t>
      </w:r>
      <w:r>
        <w:rPr>
          <w:rStyle w:val="Collegamentoipertestuale"/>
          <w:rFonts w:asciiTheme="minorHAnsi" w:hAnsiTheme="minorHAnsi"/>
          <w:color w:val="000000" w:themeColor="text1"/>
          <w:u w:val="none"/>
          <w:lang w:val="en-GB"/>
        </w:rPr>
        <w:t>Flame Retardant</w:t>
      </w:r>
      <w:r w:rsidRPr="00C20F54">
        <w:rPr>
          <w:rStyle w:val="Collegamentoipertestuale"/>
          <w:rFonts w:asciiTheme="minorHAnsi" w:hAnsiTheme="minorHAnsi"/>
          <w:color w:val="000000" w:themeColor="text1"/>
          <w:u w:val="none"/>
          <w:lang w:val="en-GB"/>
        </w:rPr>
        <w:t xml:space="preserve"> Polymer Blends, Composites and </w:t>
      </w:r>
      <w:r>
        <w:rPr>
          <w:rStyle w:val="Collegamentoipertestuale"/>
          <w:rFonts w:asciiTheme="minorHAnsi" w:hAnsiTheme="minorHAnsi"/>
          <w:color w:val="000000" w:themeColor="text1"/>
          <w:u w:val="none"/>
          <w:lang w:val="en-GB"/>
        </w:rPr>
        <w:t xml:space="preserve">Nanocomposites, </w:t>
      </w:r>
      <w:r w:rsidRPr="00C20F54">
        <w:rPr>
          <w:rStyle w:val="Collegamentoipertestuale"/>
          <w:rFonts w:asciiTheme="minorHAnsi" w:hAnsiTheme="minorHAnsi"/>
          <w:color w:val="000000" w:themeColor="text1"/>
          <w:u w:val="none"/>
          <w:lang w:val="en-GB"/>
        </w:rPr>
        <w:t>Springer International Publishing</w:t>
      </w:r>
      <w:r>
        <w:rPr>
          <w:rStyle w:val="Collegamentoipertestuale"/>
          <w:rFonts w:asciiTheme="minorHAnsi" w:hAnsiTheme="minorHAnsi"/>
          <w:color w:val="000000" w:themeColor="text1"/>
          <w:u w:val="none"/>
          <w:lang w:val="en-GB"/>
        </w:rPr>
        <w:t>,</w:t>
      </w:r>
      <w:r w:rsidRPr="00C20F54">
        <w:rPr>
          <w:rStyle w:val="Collegamentoipertestuale"/>
          <w:rFonts w:asciiTheme="minorHAnsi" w:hAnsiTheme="minorHAnsi"/>
          <w:color w:val="000000" w:themeColor="text1"/>
          <w:u w:val="none"/>
          <w:lang w:val="en-GB"/>
        </w:rPr>
        <w:t xml:space="preserve"> Switzerland</w:t>
      </w:r>
      <w:r>
        <w:rPr>
          <w:rStyle w:val="Collegamentoipertestuale"/>
          <w:rFonts w:asciiTheme="minorHAnsi" w:hAnsiTheme="minorHAnsi"/>
          <w:color w:val="000000" w:themeColor="text1"/>
          <w:u w:val="none"/>
          <w:lang w:val="en-GB"/>
        </w:rPr>
        <w:t>,</w:t>
      </w:r>
      <w:r w:rsidRPr="00C20F54">
        <w:rPr>
          <w:rStyle w:val="Collegamentoipertestuale"/>
          <w:rFonts w:asciiTheme="minorHAnsi" w:hAnsiTheme="minorHAnsi"/>
          <w:color w:val="000000" w:themeColor="text1"/>
          <w:u w:val="none"/>
          <w:lang w:val="en-GB"/>
        </w:rPr>
        <w:t xml:space="preserve"> 2015</w:t>
      </w:r>
    </w:p>
    <w:p w:rsidR="00704BDF" w:rsidRDefault="00C20F54" w:rsidP="00C20F54">
      <w:pPr>
        <w:pStyle w:val="FirstParagraph"/>
        <w:numPr>
          <w:ilvl w:val="0"/>
          <w:numId w:val="17"/>
        </w:numPr>
        <w:tabs>
          <w:tab w:val="left" w:pos="426"/>
        </w:tabs>
        <w:spacing w:line="240" w:lineRule="auto"/>
        <w:rPr>
          <w:rFonts w:asciiTheme="minorHAnsi" w:hAnsiTheme="minorHAnsi"/>
          <w:color w:val="000000"/>
        </w:rPr>
      </w:pPr>
      <w:r w:rsidRPr="00C20F54">
        <w:rPr>
          <w:rFonts w:asciiTheme="minorHAnsi" w:hAnsiTheme="minorHAnsi"/>
          <w:color w:val="000000"/>
        </w:rPr>
        <w:fldChar w:fldCharType="end"/>
      </w:r>
      <w:r w:rsidRPr="00C20F54">
        <w:rPr>
          <w:rFonts w:asciiTheme="minorHAnsi" w:hAnsiTheme="minorHAnsi"/>
          <w:color w:val="000000"/>
        </w:rPr>
        <w:t>C</w:t>
      </w:r>
      <w:r>
        <w:rPr>
          <w:rFonts w:asciiTheme="minorHAnsi" w:hAnsiTheme="minorHAnsi"/>
          <w:color w:val="000000"/>
        </w:rPr>
        <w:t>.</w:t>
      </w:r>
      <w:r w:rsidRPr="00C20F54">
        <w:rPr>
          <w:rFonts w:asciiTheme="minorHAnsi" w:hAnsiTheme="minorHAnsi"/>
          <w:color w:val="000000"/>
        </w:rPr>
        <w:t xml:space="preserve">A. </w:t>
      </w:r>
      <w:proofErr w:type="spellStart"/>
      <w:r w:rsidRPr="00C20F54">
        <w:rPr>
          <w:rFonts w:asciiTheme="minorHAnsi" w:hAnsiTheme="minorHAnsi"/>
          <w:color w:val="000000"/>
        </w:rPr>
        <w:t>Wilkie</w:t>
      </w:r>
      <w:proofErr w:type="spellEnd"/>
      <w:r w:rsidRPr="00C20F54">
        <w:rPr>
          <w:rFonts w:asciiTheme="minorHAnsi" w:hAnsiTheme="minorHAnsi"/>
          <w:color w:val="000000"/>
        </w:rPr>
        <w:t xml:space="preserve">, Morgan AB. Fire </w:t>
      </w:r>
      <w:proofErr w:type="spellStart"/>
      <w:r w:rsidRPr="00C20F54">
        <w:rPr>
          <w:rFonts w:asciiTheme="minorHAnsi" w:hAnsiTheme="minorHAnsi"/>
          <w:color w:val="000000"/>
        </w:rPr>
        <w:t>retardancy</w:t>
      </w:r>
      <w:proofErr w:type="spellEnd"/>
      <w:r w:rsidRPr="00C20F54">
        <w:rPr>
          <w:rFonts w:asciiTheme="minorHAnsi" w:hAnsiTheme="minorHAnsi"/>
          <w:color w:val="000000"/>
        </w:rPr>
        <w:t xml:space="preserve"> of polymeric materials</w:t>
      </w:r>
      <w:r>
        <w:rPr>
          <w:rFonts w:asciiTheme="minorHAnsi" w:hAnsiTheme="minorHAnsi"/>
          <w:color w:val="000000"/>
        </w:rPr>
        <w:t>, s</w:t>
      </w:r>
      <w:r w:rsidRPr="00C20F54">
        <w:rPr>
          <w:rFonts w:asciiTheme="minorHAnsi" w:hAnsiTheme="minorHAnsi"/>
          <w:color w:val="000000"/>
        </w:rPr>
        <w:t>econd ed</w:t>
      </w:r>
      <w:r>
        <w:rPr>
          <w:rFonts w:asciiTheme="minorHAnsi" w:hAnsiTheme="minorHAnsi"/>
          <w:color w:val="000000"/>
        </w:rPr>
        <w:t>.,</w:t>
      </w:r>
      <w:r w:rsidRPr="00C20F54">
        <w:rPr>
          <w:rFonts w:asciiTheme="minorHAnsi" w:hAnsiTheme="minorHAnsi"/>
          <w:color w:val="000000"/>
        </w:rPr>
        <w:t xml:space="preserve"> CRC Press</w:t>
      </w:r>
      <w:r>
        <w:rPr>
          <w:rFonts w:asciiTheme="minorHAnsi" w:hAnsiTheme="minorHAnsi"/>
          <w:color w:val="000000"/>
        </w:rPr>
        <w:t>,</w:t>
      </w:r>
      <w:r w:rsidR="00AC1A7C">
        <w:rPr>
          <w:rFonts w:asciiTheme="minorHAnsi" w:hAnsiTheme="minorHAnsi"/>
          <w:color w:val="000000"/>
        </w:rPr>
        <w:t xml:space="preserve"> USA,</w:t>
      </w:r>
      <w:r w:rsidRPr="00C20F54">
        <w:rPr>
          <w:rFonts w:asciiTheme="minorHAnsi" w:hAnsiTheme="minorHAnsi"/>
          <w:color w:val="000000"/>
        </w:rPr>
        <w:t xml:space="preserve"> 2010.</w:t>
      </w:r>
    </w:p>
    <w:p w:rsidR="006874AC" w:rsidRDefault="006874AC" w:rsidP="006874AC">
      <w:pPr>
        <w:pStyle w:val="Paragrafoelenco"/>
        <w:numPr>
          <w:ilvl w:val="0"/>
          <w:numId w:val="17"/>
        </w:numPr>
        <w:rPr>
          <w:rFonts w:asciiTheme="minorHAnsi" w:hAnsiTheme="minorHAnsi"/>
          <w:color w:val="000000"/>
          <w:sz w:val="20"/>
          <w:lang w:val="it-IT"/>
        </w:rPr>
      </w:pPr>
      <w:r w:rsidRPr="006874AC">
        <w:rPr>
          <w:rFonts w:asciiTheme="minorHAnsi" w:hAnsiTheme="minorHAnsi"/>
          <w:color w:val="000000"/>
          <w:sz w:val="20"/>
          <w:lang w:val="it-IT"/>
        </w:rPr>
        <w:t xml:space="preserve">A. Bonati, F. Merusi, G. Polacco, S. Filippi, F. Giuliani, </w:t>
      </w:r>
      <w:proofErr w:type="spellStart"/>
      <w:r w:rsidR="002477DF">
        <w:rPr>
          <w:rFonts w:asciiTheme="minorHAnsi" w:hAnsiTheme="minorHAnsi"/>
          <w:color w:val="000000"/>
          <w:sz w:val="20"/>
          <w:lang w:val="it-IT"/>
        </w:rPr>
        <w:t>Constr</w:t>
      </w:r>
      <w:proofErr w:type="spellEnd"/>
      <w:r w:rsidR="002477DF">
        <w:rPr>
          <w:rFonts w:asciiTheme="minorHAnsi" w:hAnsiTheme="minorHAnsi"/>
          <w:color w:val="000000"/>
          <w:sz w:val="20"/>
          <w:lang w:val="it-IT"/>
        </w:rPr>
        <w:t xml:space="preserve">. </w:t>
      </w:r>
      <w:proofErr w:type="spellStart"/>
      <w:r w:rsidR="002477DF">
        <w:rPr>
          <w:rFonts w:asciiTheme="minorHAnsi" w:hAnsiTheme="minorHAnsi"/>
          <w:color w:val="000000"/>
          <w:sz w:val="20"/>
          <w:lang w:val="it-IT"/>
        </w:rPr>
        <w:t>Build</w:t>
      </w:r>
      <w:proofErr w:type="spellEnd"/>
      <w:r w:rsidR="002477DF">
        <w:rPr>
          <w:rFonts w:asciiTheme="minorHAnsi" w:hAnsiTheme="minorHAnsi"/>
          <w:color w:val="000000"/>
          <w:sz w:val="20"/>
          <w:lang w:val="it-IT"/>
        </w:rPr>
        <w:t xml:space="preserve">. </w:t>
      </w:r>
      <w:proofErr w:type="spellStart"/>
      <w:r w:rsidR="002477DF">
        <w:rPr>
          <w:rFonts w:asciiTheme="minorHAnsi" w:hAnsiTheme="minorHAnsi"/>
          <w:color w:val="000000"/>
          <w:sz w:val="20"/>
          <w:lang w:val="it-IT"/>
        </w:rPr>
        <w:t>Mat</w:t>
      </w:r>
      <w:proofErr w:type="spellEnd"/>
      <w:r w:rsidR="002477DF">
        <w:rPr>
          <w:rFonts w:asciiTheme="minorHAnsi" w:hAnsiTheme="minorHAnsi"/>
          <w:color w:val="000000"/>
          <w:sz w:val="20"/>
          <w:lang w:val="it-IT"/>
        </w:rPr>
        <w:t>. 37</w:t>
      </w:r>
      <w:r w:rsidRPr="006874AC">
        <w:rPr>
          <w:rFonts w:asciiTheme="minorHAnsi" w:hAnsiTheme="minorHAnsi"/>
          <w:color w:val="000000"/>
          <w:sz w:val="20"/>
          <w:lang w:val="it-IT"/>
        </w:rPr>
        <w:t xml:space="preserve"> </w:t>
      </w:r>
      <w:r>
        <w:rPr>
          <w:rFonts w:asciiTheme="minorHAnsi" w:hAnsiTheme="minorHAnsi"/>
          <w:color w:val="000000"/>
          <w:sz w:val="20"/>
          <w:lang w:val="it-IT"/>
        </w:rPr>
        <w:t xml:space="preserve">(2012) </w:t>
      </w:r>
      <w:r w:rsidRPr="006874AC">
        <w:rPr>
          <w:rFonts w:asciiTheme="minorHAnsi" w:hAnsiTheme="minorHAnsi"/>
          <w:color w:val="000000"/>
          <w:sz w:val="20"/>
          <w:lang w:val="it-IT"/>
        </w:rPr>
        <w:t>660-668</w:t>
      </w:r>
      <w:r>
        <w:rPr>
          <w:rFonts w:asciiTheme="minorHAnsi" w:hAnsiTheme="minorHAnsi"/>
          <w:color w:val="000000"/>
          <w:sz w:val="20"/>
          <w:lang w:val="it-IT"/>
        </w:rPr>
        <w:t>.</w:t>
      </w:r>
    </w:p>
    <w:p w:rsidR="006874AC" w:rsidRPr="006874AC" w:rsidRDefault="006874AC" w:rsidP="00C43BC5">
      <w:pPr>
        <w:pStyle w:val="Paragrafoelenco"/>
        <w:numPr>
          <w:ilvl w:val="0"/>
          <w:numId w:val="17"/>
        </w:numPr>
        <w:rPr>
          <w:rFonts w:asciiTheme="minorHAnsi" w:hAnsiTheme="minorHAnsi"/>
          <w:color w:val="000000"/>
          <w:sz w:val="20"/>
          <w:lang w:val="it-IT"/>
        </w:rPr>
      </w:pPr>
      <w:r w:rsidRPr="006874AC">
        <w:rPr>
          <w:rFonts w:asciiTheme="minorHAnsi" w:hAnsiTheme="minorHAnsi"/>
          <w:color w:val="000000"/>
          <w:sz w:val="20"/>
          <w:lang w:val="it-IT"/>
        </w:rPr>
        <w:t xml:space="preserve">A. Bonati, F. </w:t>
      </w:r>
      <w:proofErr w:type="spellStart"/>
      <w:r w:rsidRPr="006874AC">
        <w:rPr>
          <w:rFonts w:asciiTheme="minorHAnsi" w:hAnsiTheme="minorHAnsi"/>
          <w:color w:val="000000"/>
          <w:sz w:val="20"/>
          <w:lang w:val="it-IT"/>
        </w:rPr>
        <w:t>Merusi</w:t>
      </w:r>
      <w:proofErr w:type="spellEnd"/>
      <w:r w:rsidRPr="006874AC">
        <w:rPr>
          <w:rFonts w:asciiTheme="minorHAnsi" w:hAnsiTheme="minorHAnsi"/>
          <w:color w:val="000000"/>
          <w:sz w:val="20"/>
          <w:lang w:val="it-IT"/>
        </w:rPr>
        <w:t xml:space="preserve">, G. </w:t>
      </w:r>
      <w:proofErr w:type="spellStart"/>
      <w:r w:rsidRPr="006874AC">
        <w:rPr>
          <w:rFonts w:asciiTheme="minorHAnsi" w:hAnsiTheme="minorHAnsi"/>
          <w:color w:val="000000"/>
          <w:sz w:val="20"/>
          <w:lang w:val="it-IT"/>
        </w:rPr>
        <w:t>Bochicchio</w:t>
      </w:r>
      <w:proofErr w:type="spellEnd"/>
      <w:r w:rsidRPr="006874AC">
        <w:rPr>
          <w:rFonts w:asciiTheme="minorHAnsi" w:hAnsiTheme="minorHAnsi"/>
          <w:color w:val="000000"/>
          <w:sz w:val="20"/>
          <w:lang w:val="it-IT"/>
        </w:rPr>
        <w:t>,</w:t>
      </w:r>
      <w:r w:rsidR="0068700C">
        <w:rPr>
          <w:rFonts w:asciiTheme="minorHAnsi" w:hAnsiTheme="minorHAnsi"/>
          <w:color w:val="000000"/>
          <w:sz w:val="20"/>
          <w:lang w:val="it-IT"/>
        </w:rPr>
        <w:t xml:space="preserve"> </w:t>
      </w:r>
      <w:bookmarkStart w:id="0" w:name="_GoBack"/>
      <w:bookmarkEnd w:id="0"/>
      <w:r w:rsidRPr="006874AC">
        <w:rPr>
          <w:rFonts w:asciiTheme="minorHAnsi" w:hAnsiTheme="minorHAnsi"/>
          <w:color w:val="000000"/>
          <w:sz w:val="20"/>
          <w:lang w:val="it-IT"/>
        </w:rPr>
        <w:t xml:space="preserve">B. </w:t>
      </w:r>
      <w:proofErr w:type="spellStart"/>
      <w:r w:rsidRPr="006874AC">
        <w:rPr>
          <w:rFonts w:asciiTheme="minorHAnsi" w:hAnsiTheme="minorHAnsi"/>
          <w:color w:val="000000"/>
          <w:sz w:val="20"/>
          <w:lang w:val="it-IT"/>
        </w:rPr>
        <w:t>Tessadri</w:t>
      </w:r>
      <w:proofErr w:type="spellEnd"/>
      <w:r w:rsidRPr="006874AC">
        <w:rPr>
          <w:rFonts w:asciiTheme="minorHAnsi" w:hAnsiTheme="minorHAnsi"/>
          <w:color w:val="000000"/>
          <w:sz w:val="20"/>
          <w:lang w:val="it-IT"/>
        </w:rPr>
        <w:t xml:space="preserve">, G. </w:t>
      </w:r>
      <w:proofErr w:type="spellStart"/>
      <w:r w:rsidRPr="006874AC">
        <w:rPr>
          <w:rFonts w:asciiTheme="minorHAnsi" w:hAnsiTheme="minorHAnsi"/>
          <w:color w:val="000000"/>
          <w:sz w:val="20"/>
          <w:lang w:val="it-IT"/>
        </w:rPr>
        <w:t>Polacco,S</w:t>
      </w:r>
      <w:proofErr w:type="spellEnd"/>
      <w:r w:rsidRPr="006874AC">
        <w:rPr>
          <w:rFonts w:asciiTheme="minorHAnsi" w:hAnsiTheme="minorHAnsi"/>
          <w:color w:val="000000"/>
          <w:sz w:val="20"/>
          <w:lang w:val="it-IT"/>
        </w:rPr>
        <w:t xml:space="preserve">. Filippi, et al. </w:t>
      </w:r>
      <w:proofErr w:type="spellStart"/>
      <w:r w:rsidRPr="006874AC">
        <w:rPr>
          <w:rFonts w:asciiTheme="minorHAnsi" w:hAnsiTheme="minorHAnsi"/>
          <w:color w:val="000000"/>
          <w:sz w:val="20"/>
          <w:lang w:val="it-IT"/>
        </w:rPr>
        <w:t>Constr</w:t>
      </w:r>
      <w:proofErr w:type="spellEnd"/>
      <w:r w:rsidRPr="006874AC">
        <w:rPr>
          <w:rFonts w:asciiTheme="minorHAnsi" w:hAnsiTheme="minorHAnsi"/>
          <w:color w:val="000000"/>
          <w:sz w:val="20"/>
          <w:lang w:val="it-IT"/>
        </w:rPr>
        <w:t xml:space="preserve">. </w:t>
      </w:r>
      <w:proofErr w:type="spellStart"/>
      <w:r w:rsidRPr="006874AC">
        <w:rPr>
          <w:rFonts w:asciiTheme="minorHAnsi" w:hAnsiTheme="minorHAnsi"/>
          <w:color w:val="000000"/>
          <w:sz w:val="20"/>
          <w:lang w:val="it-IT"/>
        </w:rPr>
        <w:t>Build</w:t>
      </w:r>
      <w:proofErr w:type="spellEnd"/>
      <w:r w:rsidRPr="006874AC">
        <w:rPr>
          <w:rFonts w:asciiTheme="minorHAnsi" w:hAnsiTheme="minorHAnsi"/>
          <w:color w:val="000000"/>
          <w:sz w:val="20"/>
          <w:lang w:val="it-IT"/>
        </w:rPr>
        <w:t xml:space="preserve">. </w:t>
      </w:r>
      <w:proofErr w:type="spellStart"/>
      <w:r w:rsidRPr="006874AC">
        <w:rPr>
          <w:rFonts w:asciiTheme="minorHAnsi" w:hAnsiTheme="minorHAnsi"/>
          <w:color w:val="000000"/>
          <w:sz w:val="20"/>
          <w:lang w:val="it-IT"/>
        </w:rPr>
        <w:t>Mat</w:t>
      </w:r>
      <w:proofErr w:type="spellEnd"/>
      <w:r w:rsidR="002477DF">
        <w:rPr>
          <w:rFonts w:asciiTheme="minorHAnsi" w:hAnsiTheme="minorHAnsi"/>
          <w:color w:val="000000"/>
          <w:sz w:val="20"/>
          <w:lang w:val="it-IT"/>
        </w:rPr>
        <w:t>.</w:t>
      </w:r>
      <w:r w:rsidRPr="006874AC">
        <w:rPr>
          <w:rFonts w:asciiTheme="minorHAnsi" w:hAnsiTheme="minorHAnsi"/>
          <w:color w:val="000000"/>
          <w:sz w:val="20"/>
          <w:lang w:val="it-IT"/>
        </w:rPr>
        <w:t xml:space="preserve"> 47 (2013) 990-1000.</w:t>
      </w:r>
    </w:p>
    <w:sectPr w:rsidR="006874AC" w:rsidRPr="006874A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CC2" w:rsidRDefault="00E30CC2" w:rsidP="004F5E36">
      <w:r>
        <w:separator/>
      </w:r>
    </w:p>
  </w:endnote>
  <w:endnote w:type="continuationSeparator" w:id="0">
    <w:p w:rsidR="00E30CC2" w:rsidRDefault="00E30CC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7"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CC2" w:rsidRDefault="00E30CC2" w:rsidP="004F5E36">
      <w:r>
        <w:separator/>
      </w:r>
    </w:p>
  </w:footnote>
  <w:footnote w:type="continuationSeparator" w:id="0">
    <w:p w:rsidR="00E30CC2" w:rsidRDefault="00E30CC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7D" w:rsidRDefault="00A93C7D">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7D" w:rsidRPr="00DE0019" w:rsidRDefault="00A93C7D"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A93C7D" w:rsidRDefault="00A93C7D">
    <w:pPr>
      <w:pStyle w:val="Intestazione"/>
    </w:pPr>
  </w:p>
  <w:p w:rsidR="00A93C7D" w:rsidRDefault="00A93C7D">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454716D"/>
    <w:multiLevelType w:val="hybridMultilevel"/>
    <w:tmpl w:val="882EF37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2773DF"/>
    <w:multiLevelType w:val="hybridMultilevel"/>
    <w:tmpl w:val="0954203E"/>
    <w:lvl w:ilvl="0" w:tplc="04100001">
      <w:start w:val="1"/>
      <w:numFmt w:val="bullet"/>
      <w:lvlText w:val=""/>
      <w:lvlJc w:val="left"/>
      <w:pPr>
        <w:ind w:left="1755" w:hanging="360"/>
      </w:pPr>
      <w:rPr>
        <w:rFonts w:ascii="Symbol" w:hAnsi="Symbol" w:hint="default"/>
      </w:rPr>
    </w:lvl>
    <w:lvl w:ilvl="1" w:tplc="04100003" w:tentative="1">
      <w:start w:val="1"/>
      <w:numFmt w:val="bullet"/>
      <w:lvlText w:val="o"/>
      <w:lvlJc w:val="left"/>
      <w:pPr>
        <w:ind w:left="2475" w:hanging="360"/>
      </w:pPr>
      <w:rPr>
        <w:rFonts w:ascii="Courier New" w:hAnsi="Courier New" w:cs="Courier New" w:hint="default"/>
      </w:rPr>
    </w:lvl>
    <w:lvl w:ilvl="2" w:tplc="04100005" w:tentative="1">
      <w:start w:val="1"/>
      <w:numFmt w:val="bullet"/>
      <w:lvlText w:val=""/>
      <w:lvlJc w:val="left"/>
      <w:pPr>
        <w:ind w:left="3195" w:hanging="360"/>
      </w:pPr>
      <w:rPr>
        <w:rFonts w:ascii="Wingdings" w:hAnsi="Wingdings" w:hint="default"/>
      </w:rPr>
    </w:lvl>
    <w:lvl w:ilvl="3" w:tplc="04100001" w:tentative="1">
      <w:start w:val="1"/>
      <w:numFmt w:val="bullet"/>
      <w:lvlText w:val=""/>
      <w:lvlJc w:val="left"/>
      <w:pPr>
        <w:ind w:left="3915" w:hanging="360"/>
      </w:pPr>
      <w:rPr>
        <w:rFonts w:ascii="Symbol" w:hAnsi="Symbol" w:hint="default"/>
      </w:rPr>
    </w:lvl>
    <w:lvl w:ilvl="4" w:tplc="04100003" w:tentative="1">
      <w:start w:val="1"/>
      <w:numFmt w:val="bullet"/>
      <w:lvlText w:val="o"/>
      <w:lvlJc w:val="left"/>
      <w:pPr>
        <w:ind w:left="4635" w:hanging="360"/>
      </w:pPr>
      <w:rPr>
        <w:rFonts w:ascii="Courier New" w:hAnsi="Courier New" w:cs="Courier New" w:hint="default"/>
      </w:rPr>
    </w:lvl>
    <w:lvl w:ilvl="5" w:tplc="04100005" w:tentative="1">
      <w:start w:val="1"/>
      <w:numFmt w:val="bullet"/>
      <w:lvlText w:val=""/>
      <w:lvlJc w:val="left"/>
      <w:pPr>
        <w:ind w:left="5355" w:hanging="360"/>
      </w:pPr>
      <w:rPr>
        <w:rFonts w:ascii="Wingdings" w:hAnsi="Wingdings" w:hint="default"/>
      </w:rPr>
    </w:lvl>
    <w:lvl w:ilvl="6" w:tplc="04100001" w:tentative="1">
      <w:start w:val="1"/>
      <w:numFmt w:val="bullet"/>
      <w:lvlText w:val=""/>
      <w:lvlJc w:val="left"/>
      <w:pPr>
        <w:ind w:left="6075" w:hanging="360"/>
      </w:pPr>
      <w:rPr>
        <w:rFonts w:ascii="Symbol" w:hAnsi="Symbol" w:hint="default"/>
      </w:rPr>
    </w:lvl>
    <w:lvl w:ilvl="7" w:tplc="04100003" w:tentative="1">
      <w:start w:val="1"/>
      <w:numFmt w:val="bullet"/>
      <w:lvlText w:val="o"/>
      <w:lvlJc w:val="left"/>
      <w:pPr>
        <w:ind w:left="6795" w:hanging="360"/>
      </w:pPr>
      <w:rPr>
        <w:rFonts w:ascii="Courier New" w:hAnsi="Courier New" w:cs="Courier New" w:hint="default"/>
      </w:rPr>
    </w:lvl>
    <w:lvl w:ilvl="8" w:tplc="04100005" w:tentative="1">
      <w:start w:val="1"/>
      <w:numFmt w:val="bullet"/>
      <w:lvlText w:val=""/>
      <w:lvlJc w:val="left"/>
      <w:pPr>
        <w:ind w:left="7515"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DD04C9"/>
    <w:multiLevelType w:val="hybridMultilevel"/>
    <w:tmpl w:val="792E5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9"/>
  </w:num>
  <w:num w:numId="17">
    <w:abstractNumId w:val="10"/>
  </w:num>
  <w:num w:numId="18">
    <w:abstractNumId w:val="12"/>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2444C"/>
    <w:rsid w:val="00125976"/>
    <w:rsid w:val="0013121F"/>
    <w:rsid w:val="00134DE4"/>
    <w:rsid w:val="00150E59"/>
    <w:rsid w:val="001536BF"/>
    <w:rsid w:val="001640A9"/>
    <w:rsid w:val="00184AD6"/>
    <w:rsid w:val="001B65C1"/>
    <w:rsid w:val="001C684B"/>
    <w:rsid w:val="001D53FC"/>
    <w:rsid w:val="001F2EC7"/>
    <w:rsid w:val="002065DB"/>
    <w:rsid w:val="002447EF"/>
    <w:rsid w:val="002477DF"/>
    <w:rsid w:val="00251550"/>
    <w:rsid w:val="0027221A"/>
    <w:rsid w:val="00275B61"/>
    <w:rsid w:val="002B594A"/>
    <w:rsid w:val="002D1F12"/>
    <w:rsid w:val="003009B7"/>
    <w:rsid w:val="0030469C"/>
    <w:rsid w:val="00334385"/>
    <w:rsid w:val="003723D4"/>
    <w:rsid w:val="00373E18"/>
    <w:rsid w:val="003A7D1C"/>
    <w:rsid w:val="003B20B9"/>
    <w:rsid w:val="004521D4"/>
    <w:rsid w:val="0046164A"/>
    <w:rsid w:val="00462DCD"/>
    <w:rsid w:val="004649F8"/>
    <w:rsid w:val="004D1162"/>
    <w:rsid w:val="004D3470"/>
    <w:rsid w:val="004E4DD6"/>
    <w:rsid w:val="004F5E36"/>
    <w:rsid w:val="005119A5"/>
    <w:rsid w:val="005228AB"/>
    <w:rsid w:val="005278B7"/>
    <w:rsid w:val="005346C8"/>
    <w:rsid w:val="00594E9F"/>
    <w:rsid w:val="005B61E6"/>
    <w:rsid w:val="005C77E1"/>
    <w:rsid w:val="005D5954"/>
    <w:rsid w:val="005D6A2F"/>
    <w:rsid w:val="005E1A82"/>
    <w:rsid w:val="005F0A28"/>
    <w:rsid w:val="005F0E5E"/>
    <w:rsid w:val="00601437"/>
    <w:rsid w:val="00620DEE"/>
    <w:rsid w:val="00625639"/>
    <w:rsid w:val="0064184D"/>
    <w:rsid w:val="00660E3E"/>
    <w:rsid w:val="00662E74"/>
    <w:rsid w:val="0068700C"/>
    <w:rsid w:val="006874AC"/>
    <w:rsid w:val="006A58D2"/>
    <w:rsid w:val="006C5579"/>
    <w:rsid w:val="006C7F11"/>
    <w:rsid w:val="00704BDF"/>
    <w:rsid w:val="00716C70"/>
    <w:rsid w:val="00736B13"/>
    <w:rsid w:val="0074279B"/>
    <w:rsid w:val="007447F3"/>
    <w:rsid w:val="00757FEE"/>
    <w:rsid w:val="007661C8"/>
    <w:rsid w:val="00790A63"/>
    <w:rsid w:val="007D52CD"/>
    <w:rsid w:val="00807145"/>
    <w:rsid w:val="00813288"/>
    <w:rsid w:val="008168FC"/>
    <w:rsid w:val="00820C4F"/>
    <w:rsid w:val="00822BB1"/>
    <w:rsid w:val="008406EB"/>
    <w:rsid w:val="008479A2"/>
    <w:rsid w:val="00852944"/>
    <w:rsid w:val="0087637F"/>
    <w:rsid w:val="008A1512"/>
    <w:rsid w:val="008C52FD"/>
    <w:rsid w:val="008D0BEB"/>
    <w:rsid w:val="008E566E"/>
    <w:rsid w:val="009012BA"/>
    <w:rsid w:val="00901EB6"/>
    <w:rsid w:val="00907458"/>
    <w:rsid w:val="00911A0E"/>
    <w:rsid w:val="009450CE"/>
    <w:rsid w:val="0095164B"/>
    <w:rsid w:val="00996483"/>
    <w:rsid w:val="009E788A"/>
    <w:rsid w:val="00A0772B"/>
    <w:rsid w:val="00A14AF8"/>
    <w:rsid w:val="00A1763D"/>
    <w:rsid w:val="00A17CEC"/>
    <w:rsid w:val="00A27EF0"/>
    <w:rsid w:val="00A71148"/>
    <w:rsid w:val="00A76EFC"/>
    <w:rsid w:val="00A85BBE"/>
    <w:rsid w:val="00A93C7D"/>
    <w:rsid w:val="00A9626B"/>
    <w:rsid w:val="00A97F29"/>
    <w:rsid w:val="00AB0964"/>
    <w:rsid w:val="00AC0995"/>
    <w:rsid w:val="00AC1A7C"/>
    <w:rsid w:val="00AE377D"/>
    <w:rsid w:val="00AE6761"/>
    <w:rsid w:val="00B10A5C"/>
    <w:rsid w:val="00B604AA"/>
    <w:rsid w:val="00B61DBF"/>
    <w:rsid w:val="00BC30C9"/>
    <w:rsid w:val="00BE3E58"/>
    <w:rsid w:val="00BF5BE2"/>
    <w:rsid w:val="00C01616"/>
    <w:rsid w:val="00C0162B"/>
    <w:rsid w:val="00C20F54"/>
    <w:rsid w:val="00C345B1"/>
    <w:rsid w:val="00C40142"/>
    <w:rsid w:val="00C57182"/>
    <w:rsid w:val="00C655FD"/>
    <w:rsid w:val="00C867B1"/>
    <w:rsid w:val="00C94434"/>
    <w:rsid w:val="00CA133E"/>
    <w:rsid w:val="00CA1C95"/>
    <w:rsid w:val="00CA5A9C"/>
    <w:rsid w:val="00CD5FE2"/>
    <w:rsid w:val="00CE2719"/>
    <w:rsid w:val="00CF135E"/>
    <w:rsid w:val="00D02B4C"/>
    <w:rsid w:val="00D72CF0"/>
    <w:rsid w:val="00D84260"/>
    <w:rsid w:val="00D84576"/>
    <w:rsid w:val="00DC2F48"/>
    <w:rsid w:val="00DE0019"/>
    <w:rsid w:val="00DE264A"/>
    <w:rsid w:val="00DF6170"/>
    <w:rsid w:val="00E041E7"/>
    <w:rsid w:val="00E15E3E"/>
    <w:rsid w:val="00E23CA1"/>
    <w:rsid w:val="00E30CC2"/>
    <w:rsid w:val="00E409A8"/>
    <w:rsid w:val="00E51B4F"/>
    <w:rsid w:val="00E7209D"/>
    <w:rsid w:val="00EA50E1"/>
    <w:rsid w:val="00EA5FD2"/>
    <w:rsid w:val="00EB2533"/>
    <w:rsid w:val="00EB7A21"/>
    <w:rsid w:val="00EE0131"/>
    <w:rsid w:val="00F16EA4"/>
    <w:rsid w:val="00F26FD9"/>
    <w:rsid w:val="00F30C64"/>
    <w:rsid w:val="00FB730C"/>
    <w:rsid w:val="00FC2695"/>
    <w:rsid w:val="00FC3E03"/>
    <w:rsid w:val="00FD6484"/>
    <w:rsid w:val="00FE6A2D"/>
    <w:rsid w:val="00FF5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E51B4F"/>
    <w:pPr>
      <w:ind w:left="720"/>
      <w:contextualSpacing/>
    </w:pPr>
  </w:style>
  <w:style w:type="character" w:styleId="Collegamentoipertestuale">
    <w:name w:val="Hyperlink"/>
    <w:basedOn w:val="Carpredefinitoparagrafo"/>
    <w:uiPriority w:val="99"/>
    <w:unhideWhenUsed/>
    <w:locked/>
    <w:rsid w:val="00C20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55451">
      <w:bodyDiv w:val="1"/>
      <w:marLeft w:val="0"/>
      <w:marRight w:val="0"/>
      <w:marTop w:val="0"/>
      <w:marBottom w:val="0"/>
      <w:divBdr>
        <w:top w:val="none" w:sz="0" w:space="0" w:color="auto"/>
        <w:left w:val="none" w:sz="0" w:space="0" w:color="auto"/>
        <w:bottom w:val="none" w:sz="0" w:space="0" w:color="auto"/>
        <w:right w:val="none" w:sz="0" w:space="0" w:color="auto"/>
      </w:divBdr>
    </w:div>
    <w:div w:id="18909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A6D4-6E67-4274-885C-17385D58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2063</Words>
  <Characters>11761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Sara Filippi</cp:lastModifiedBy>
  <cp:revision>2</cp:revision>
  <cp:lastPrinted>2015-05-12T18:31:00Z</cp:lastPrinted>
  <dcterms:created xsi:type="dcterms:W3CDTF">2019-02-28T16:11:00Z</dcterms:created>
  <dcterms:modified xsi:type="dcterms:W3CDTF">2019-02-28T16:11:00Z</dcterms:modified>
</cp:coreProperties>
</file>