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5D0596" w:rsidRPr="00DE0019" w:rsidRDefault="00A244C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H</w:t>
      </w:r>
      <w:r w:rsidR="005D0596">
        <w:rPr>
          <w:rFonts w:asciiTheme="minorHAnsi" w:eastAsia="MS PGothic" w:hAnsiTheme="minorHAnsi"/>
          <w:b/>
          <w:bCs/>
          <w:sz w:val="28"/>
          <w:szCs w:val="28"/>
          <w:lang w:val="en-US"/>
        </w:rPr>
        <w:t>ydrothermal co-liquefaction of sewage sludge and formic acid</w:t>
      </w:r>
    </w:p>
    <w:p w:rsidR="00DE0019" w:rsidRPr="00436ABE" w:rsidRDefault="00436ABE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436ABE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Claudia Prestigiacomo</w:t>
      </w:r>
      <w:r w:rsidR="00704BDF" w:rsidRPr="00436ABE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="00736B13" w:rsidRPr="00436ABE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</w:t>
      </w:r>
      <w:r w:rsidRPr="00436ABE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 </w:t>
      </w:r>
      <w:r w:rsidR="00FF1FF0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Vito Armando Laudicina</w:t>
      </w:r>
      <w:r w:rsidR="00FF1FF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2</w:t>
      </w:r>
      <w:r w:rsidR="00FF1FF0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Onofrio Scialdone</w:t>
      </w:r>
      <w:r w:rsidR="0081007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926476">
        <w:rPr>
          <w:rFonts w:eastAsia="SimSun"/>
          <w:color w:val="000000"/>
          <w:lang w:val="it-IT" w:eastAsia="zh-CN"/>
        </w:rPr>
        <w:t xml:space="preserve">, </w:t>
      </w:r>
      <w:r w:rsidR="00926476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Alessandro Galia</w:t>
      </w:r>
      <w:r w:rsidR="0092647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926476" w:rsidRPr="005515E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*</w:t>
      </w:r>
    </w:p>
    <w:p w:rsidR="001C295B" w:rsidRPr="001C295B" w:rsidRDefault="001C295B" w:rsidP="001C295B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ES"/>
        </w:rPr>
      </w:pPr>
      <w:r w:rsidRPr="001C295B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Dipartimento di Ingegneria, Sezione Chimica Ambientale Biomedica Idraulica e dei Materiali, Università degli Studi di Palermo, Viale delle Scienze, 90128 Palermo, Italy.</w:t>
      </w:r>
    </w:p>
    <w:p w:rsidR="00FF1FF0" w:rsidRPr="001C295B" w:rsidRDefault="00FF1FF0" w:rsidP="00FF1FF0">
      <w:pPr>
        <w:tabs>
          <w:tab w:val="clear" w:pos="7100"/>
        </w:tabs>
        <w:spacing w:line="240" w:lineRule="auto"/>
        <w:jc w:val="center"/>
        <w:textAlignment w:val="top"/>
        <w:rPr>
          <w:rFonts w:asciiTheme="minorHAnsi" w:hAnsiTheme="minorHAnsi" w:cstheme="minorHAnsi"/>
          <w:i/>
          <w:color w:val="000000" w:themeColor="text1"/>
          <w:sz w:val="20"/>
          <w:lang w:val="it-IT" w:eastAsia="it-IT"/>
        </w:rPr>
      </w:pPr>
      <w:r w:rsidRPr="001C295B">
        <w:rPr>
          <w:rFonts w:asciiTheme="minorHAnsi" w:hAnsiTheme="minorHAnsi" w:cstheme="minorHAnsi"/>
          <w:i/>
          <w:sz w:val="20"/>
          <w:vertAlign w:val="superscript"/>
          <w:lang w:val="it-IT" w:eastAsia="it-IT"/>
        </w:rPr>
        <w:t xml:space="preserve">2 </w:t>
      </w:r>
      <w:r w:rsidRPr="001C295B">
        <w:rPr>
          <w:rFonts w:asciiTheme="minorHAnsi" w:hAnsiTheme="minorHAnsi" w:cstheme="minorHAnsi"/>
          <w:i/>
          <w:color w:val="000000" w:themeColor="text1"/>
          <w:sz w:val="20"/>
          <w:lang w:val="it-IT" w:eastAsia="it-IT"/>
        </w:rPr>
        <w:t xml:space="preserve">Dipartimento di Scienze Agrarie, Alimentari e Forestali, Università degli Studi di Palermo, Viale delle Scienze, 90128 Palermo, </w:t>
      </w:r>
      <w:proofErr w:type="spellStart"/>
      <w:r w:rsidRPr="001C295B">
        <w:rPr>
          <w:rFonts w:asciiTheme="minorHAnsi" w:hAnsiTheme="minorHAnsi" w:cstheme="minorHAnsi"/>
          <w:i/>
          <w:color w:val="000000" w:themeColor="text1"/>
          <w:sz w:val="20"/>
          <w:lang w:val="it-IT" w:eastAsia="it-IT"/>
        </w:rPr>
        <w:t>Italy</w:t>
      </w:r>
      <w:proofErr w:type="spellEnd"/>
      <w:r w:rsidR="001C295B">
        <w:rPr>
          <w:rFonts w:asciiTheme="minorHAnsi" w:hAnsiTheme="minorHAnsi" w:cstheme="minorHAnsi"/>
          <w:i/>
          <w:color w:val="000000" w:themeColor="text1"/>
          <w:sz w:val="20"/>
          <w:lang w:val="it-IT" w:eastAsia="it-IT"/>
        </w:rPr>
        <w:t>.</w:t>
      </w:r>
    </w:p>
    <w:p w:rsidR="00704BDF" w:rsidRPr="001C295B" w:rsidRDefault="00704BDF" w:rsidP="00FF1FF0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sz w:val="20"/>
          <w:lang w:val="it-IT"/>
        </w:rPr>
      </w:pPr>
      <w:r w:rsidRPr="001C295B">
        <w:rPr>
          <w:rFonts w:asciiTheme="minorHAnsi" w:eastAsia="MS PGothic" w:hAnsiTheme="minorHAnsi"/>
          <w:bCs/>
          <w:i/>
          <w:iCs/>
          <w:color w:val="000000"/>
          <w:sz w:val="20"/>
          <w:lang w:val="it-IT"/>
        </w:rPr>
        <w:t>*</w:t>
      </w:r>
      <w:r w:rsidR="00926476" w:rsidRPr="001C295B">
        <w:rPr>
          <w:rFonts w:asciiTheme="minorHAnsi" w:eastAsia="MS PGothic" w:hAnsiTheme="minorHAnsi"/>
          <w:bCs/>
          <w:i/>
          <w:iCs/>
          <w:sz w:val="20"/>
          <w:lang w:val="it-IT"/>
        </w:rPr>
        <w:t>alessandro.galia</w:t>
      </w:r>
      <w:r w:rsidR="00B34CA2" w:rsidRPr="001C295B">
        <w:rPr>
          <w:rFonts w:asciiTheme="minorHAnsi" w:eastAsia="MS PGothic" w:hAnsiTheme="minorHAnsi"/>
          <w:bCs/>
          <w:i/>
          <w:iCs/>
          <w:sz w:val="20"/>
          <w:lang w:val="it-IT"/>
        </w:rPr>
        <w:t>@unipa.it</w:t>
      </w:r>
    </w:p>
    <w:p w:rsidR="00704BDF" w:rsidRPr="0081007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  <w:lang w:val="it-IT"/>
        </w:rPr>
      </w:pPr>
      <w:proofErr w:type="spellStart"/>
      <w:r w:rsidRPr="0081007C">
        <w:rPr>
          <w:rFonts w:asciiTheme="minorHAnsi" w:hAnsiTheme="minorHAnsi"/>
          <w:b/>
          <w:lang w:val="it-IT"/>
        </w:rPr>
        <w:t>Highlights</w:t>
      </w:r>
      <w:proofErr w:type="spellEnd"/>
    </w:p>
    <w:p w:rsidR="00704BDF" w:rsidRDefault="0092647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Addition of HCOOH allows achievements of higher </w:t>
      </w:r>
      <w:r w:rsidR="001C295B">
        <w:rPr>
          <w:rFonts w:asciiTheme="minorHAnsi" w:hAnsiTheme="minorHAnsi"/>
        </w:rPr>
        <w:t xml:space="preserve">biocrude </w:t>
      </w:r>
      <w:r>
        <w:rPr>
          <w:rFonts w:asciiTheme="minorHAnsi" w:hAnsiTheme="minorHAnsi"/>
        </w:rPr>
        <w:t>yields at higher biomass loadings</w:t>
      </w:r>
      <w:r w:rsidR="00A244C8">
        <w:rPr>
          <w:rFonts w:asciiTheme="minorHAnsi" w:hAnsiTheme="minorHAnsi"/>
        </w:rPr>
        <w:t>.</w:t>
      </w:r>
    </w:p>
    <w:p w:rsidR="008C76AF" w:rsidRPr="00EC66CC" w:rsidRDefault="008C76A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Addition of HCOOH increases the H/C molar ratio of biocrude.</w:t>
      </w:r>
    </w:p>
    <w:p w:rsidR="00704BDF" w:rsidRPr="00EC66CC" w:rsidRDefault="0092647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Detected production of</w:t>
      </w:r>
      <w:r w:rsidR="00A244C8">
        <w:rPr>
          <w:rFonts w:asciiTheme="minorHAnsi" w:hAnsiTheme="minorHAnsi"/>
        </w:rPr>
        <w:t xml:space="preserve"> light hydrocarbons from hydrothermal co-liquefaction of sewage sludge and formic acid</w:t>
      </w:r>
      <w:r>
        <w:rPr>
          <w:rFonts w:asciiTheme="minorHAnsi" w:hAnsiTheme="minorHAnsi"/>
        </w:rPr>
        <w:t>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D84146" w:rsidRDefault="00704BDF" w:rsidP="00704BDF">
      <w:pPr>
        <w:snapToGrid w:val="0"/>
        <w:spacing w:line="300" w:lineRule="auto"/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 w:eastAsia="ko-KR"/>
        </w:rPr>
      </w:pPr>
      <w:r w:rsidRPr="00D84146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D84146" w:rsidRDefault="00774BA6" w:rsidP="00664FF7">
      <w:pPr>
        <w:pStyle w:val="NormaleWeb"/>
        <w:rPr>
          <w:rFonts w:asciiTheme="minorHAnsi" w:hAnsiTheme="minorHAnsi" w:cstheme="minorHAnsi"/>
          <w:sz w:val="22"/>
          <w:szCs w:val="22"/>
          <w:lang w:val="en-US" w:eastAsia="it-IT"/>
        </w:rPr>
      </w:pPr>
      <w:r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The biocrude </w:t>
      </w:r>
      <w:r w:rsidR="00321BE6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produced by non-catalytic hydrothermal liquefaction (HTL) </w:t>
      </w:r>
      <w:r w:rsidR="001C295B" w:rsidRPr="00D84146">
        <w:rPr>
          <w:rFonts w:asciiTheme="minorHAnsi" w:hAnsiTheme="minorHAnsi" w:cstheme="minorHAnsi"/>
          <w:sz w:val="22"/>
          <w:szCs w:val="22"/>
          <w:lang w:val="en-US"/>
        </w:rPr>
        <w:t>has a too high heteroatom</w:t>
      </w:r>
      <w:r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content</w:t>
      </w:r>
      <w:r w:rsidR="001E1EBD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C295B" w:rsidRPr="00D84146">
        <w:rPr>
          <w:rFonts w:asciiTheme="minorHAnsi" w:hAnsiTheme="minorHAnsi" w:cstheme="minorHAnsi"/>
          <w:sz w:val="22"/>
          <w:szCs w:val="22"/>
          <w:lang w:val="en-US"/>
        </w:rPr>
        <w:t>to</w:t>
      </w:r>
      <w:r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be used directly as </w:t>
      </w:r>
      <w:r w:rsidR="001C295B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 w:rsidRPr="00D84146">
        <w:rPr>
          <w:rFonts w:asciiTheme="minorHAnsi" w:hAnsiTheme="minorHAnsi" w:cstheme="minorHAnsi"/>
          <w:sz w:val="22"/>
          <w:szCs w:val="22"/>
          <w:lang w:val="en-US"/>
        </w:rPr>
        <w:t>fuel</w:t>
      </w:r>
      <w:r w:rsidR="00B85E28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[</w:t>
      </w:r>
      <w:r w:rsidR="00250648" w:rsidRPr="00D84146">
        <w:rPr>
          <w:rFonts w:asciiTheme="minorHAnsi" w:hAnsiTheme="minorHAnsi" w:cstheme="minorHAnsi"/>
          <w:sz w:val="22"/>
          <w:szCs w:val="22"/>
          <w:lang w:val="en-US"/>
        </w:rPr>
        <w:t>1-3</w:t>
      </w:r>
      <w:r w:rsidR="00B85E28" w:rsidRPr="00D84146">
        <w:rPr>
          <w:rFonts w:asciiTheme="minorHAnsi" w:hAnsiTheme="minorHAnsi" w:cstheme="minorHAnsi"/>
          <w:sz w:val="22"/>
          <w:szCs w:val="22"/>
          <w:lang w:val="en-US"/>
        </w:rPr>
        <w:t>]</w:t>
      </w:r>
      <w:r w:rsidRPr="00D84146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BE6427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C295B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Several s</w:t>
      </w:r>
      <w:r w:rsidR="00D21A1F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tudies </w:t>
      </w:r>
      <w:r w:rsidR="001C295B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found</w:t>
      </w:r>
      <w:r w:rsidR="00D21A1F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that </w:t>
      </w:r>
      <w:r w:rsidR="00D21A1F" w:rsidRPr="00D84146">
        <w:rPr>
          <w:rFonts w:asciiTheme="minorHAnsi" w:hAnsiTheme="minorHAnsi" w:cstheme="minorHAnsi"/>
          <w:sz w:val="22"/>
          <w:szCs w:val="22"/>
          <w:lang w:val="en-US"/>
        </w:rPr>
        <w:t>d</w:t>
      </w:r>
      <w:r w:rsidR="00602A70" w:rsidRPr="00D84146">
        <w:rPr>
          <w:rFonts w:asciiTheme="minorHAnsi" w:hAnsiTheme="minorHAnsi" w:cstheme="minorHAnsi"/>
          <w:sz w:val="22"/>
          <w:szCs w:val="22"/>
          <w:lang w:val="en-US"/>
        </w:rPr>
        <w:t>ifferent H</w:t>
      </w:r>
      <w:r w:rsidR="00602A70" w:rsidRPr="00D84146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="00602A70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initial pressures during HTL </w:t>
      </w:r>
      <w:r w:rsidR="009C75F2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experiments </w:t>
      </w:r>
      <w:r w:rsidR="00602A70" w:rsidRPr="00D84146">
        <w:rPr>
          <w:rFonts w:asciiTheme="minorHAnsi" w:hAnsiTheme="minorHAnsi" w:cstheme="minorHAnsi"/>
          <w:sz w:val="22"/>
          <w:szCs w:val="22"/>
          <w:lang w:val="en-US"/>
        </w:rPr>
        <w:t>were ineffective in improving the biocrude yield</w:t>
      </w:r>
      <w:r w:rsidR="001C295B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C295B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[</w:t>
      </w:r>
      <w:r w:rsidR="00D91137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4-6</w:t>
      </w:r>
      <w:r w:rsidR="001C295B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]</w:t>
      </w:r>
      <w:r w:rsidR="00602A70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, nevertheless </w:t>
      </w:r>
      <w:r w:rsidR="00FC4006" w:rsidRPr="00D84146">
        <w:rPr>
          <w:rFonts w:asciiTheme="minorHAnsi" w:hAnsiTheme="minorHAnsi" w:cstheme="minorHAnsi"/>
          <w:sz w:val="22"/>
          <w:szCs w:val="22"/>
          <w:lang w:val="en-US"/>
        </w:rPr>
        <w:t>it was observed</w:t>
      </w:r>
      <w:r w:rsidR="00602A70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that higher initial pressures of H</w:t>
      </w:r>
      <w:r w:rsidR="00602A70" w:rsidRPr="00D84146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="00602A70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brought an improvement of</w:t>
      </w:r>
      <w:r w:rsidR="001C295B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the concentration of</w:t>
      </w:r>
      <w:r w:rsidR="00602A70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light compounds in </w:t>
      </w:r>
      <w:r w:rsidR="00321BE6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602A70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biocrude, </w:t>
      </w:r>
      <w:r w:rsidR="001C295B" w:rsidRPr="00D84146">
        <w:rPr>
          <w:rFonts w:asciiTheme="minorHAnsi" w:hAnsiTheme="minorHAnsi" w:cstheme="minorHAnsi"/>
          <w:sz w:val="22"/>
          <w:szCs w:val="22"/>
          <w:lang w:val="en-US"/>
        </w:rPr>
        <w:t>decreasing the average</w:t>
      </w:r>
      <w:r w:rsidR="00602A70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molecular weight of biocrude oil</w:t>
      </w:r>
      <w:r w:rsidR="009C75F2" w:rsidRPr="00D84146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466DE5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77FA9" w:rsidRPr="00D84146">
        <w:rPr>
          <w:rFonts w:asciiTheme="minorHAnsi" w:hAnsiTheme="minorHAnsi" w:cstheme="minorHAnsi"/>
          <w:sz w:val="22"/>
          <w:szCs w:val="22"/>
          <w:lang w:val="en-US"/>
        </w:rPr>
        <w:t>To date</w:t>
      </w:r>
      <w:r w:rsidR="009C75F2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H</w:t>
      </w:r>
      <w:r w:rsidR="009C75F2" w:rsidRPr="00D84146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="00977FA9" w:rsidRPr="00D84146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 xml:space="preserve"> </w:t>
      </w:r>
      <w:r w:rsidR="00977FA9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is mainly generated from fossil sources and </w:t>
      </w:r>
      <w:r w:rsidR="00977FA9" w:rsidRPr="00D84146">
        <w:rPr>
          <w:rFonts w:asciiTheme="minorHAnsi" w:hAnsiTheme="minorHAnsi" w:cstheme="minorHAnsi"/>
          <w:sz w:val="22"/>
          <w:szCs w:val="22"/>
          <w:lang w:val="en-US" w:eastAsia="it-IT"/>
        </w:rPr>
        <w:t xml:space="preserve">realization of a possible hydrogen economy from alternative sources presents </w:t>
      </w:r>
      <w:r w:rsidR="005515E6" w:rsidRPr="00D84146">
        <w:rPr>
          <w:rFonts w:asciiTheme="minorHAnsi" w:hAnsiTheme="minorHAnsi" w:cstheme="minorHAnsi"/>
          <w:sz w:val="22"/>
          <w:szCs w:val="22"/>
          <w:lang w:val="en-US" w:eastAsia="it-IT"/>
        </w:rPr>
        <w:t>many</w:t>
      </w:r>
      <w:r w:rsidR="00977FA9" w:rsidRPr="00D84146">
        <w:rPr>
          <w:rFonts w:asciiTheme="minorHAnsi" w:hAnsiTheme="minorHAnsi" w:cstheme="minorHAnsi"/>
          <w:sz w:val="22"/>
          <w:szCs w:val="22"/>
          <w:lang w:val="en-US" w:eastAsia="it-IT"/>
        </w:rPr>
        <w:t xml:space="preserve"> challenges</w:t>
      </w:r>
      <w:r w:rsidR="009E195C" w:rsidRPr="00D84146">
        <w:rPr>
          <w:rFonts w:asciiTheme="minorHAnsi" w:hAnsiTheme="minorHAnsi" w:cstheme="minorHAnsi"/>
          <w:sz w:val="22"/>
          <w:szCs w:val="22"/>
          <w:lang w:val="en-US" w:eastAsia="it-IT"/>
        </w:rPr>
        <w:t xml:space="preserve">. </w:t>
      </w:r>
      <w:r w:rsidR="00664FF7" w:rsidRPr="00D84146">
        <w:rPr>
          <w:rFonts w:asciiTheme="minorHAnsi" w:hAnsiTheme="minorHAnsi" w:cstheme="minorHAnsi"/>
          <w:sz w:val="22"/>
          <w:szCs w:val="22"/>
          <w:lang w:val="en-US" w:eastAsia="it-IT"/>
        </w:rPr>
        <w:t>The use of a l</w:t>
      </w:r>
      <w:r w:rsidR="009E195C" w:rsidRPr="00D84146">
        <w:rPr>
          <w:rFonts w:asciiTheme="minorHAnsi" w:hAnsiTheme="minorHAnsi" w:cstheme="minorHAnsi"/>
          <w:sz w:val="22"/>
          <w:szCs w:val="22"/>
          <w:lang w:val="en-US" w:eastAsia="it-IT"/>
        </w:rPr>
        <w:t xml:space="preserve">iquid hydrogen storage media could represent for the HTL process </w:t>
      </w:r>
      <w:r w:rsidR="00664FF7" w:rsidRPr="00D84146">
        <w:rPr>
          <w:rFonts w:asciiTheme="minorHAnsi" w:hAnsiTheme="minorHAnsi" w:cstheme="minorHAnsi"/>
          <w:sz w:val="22"/>
          <w:szCs w:val="22"/>
          <w:lang w:val="en-US" w:eastAsia="it-IT"/>
        </w:rPr>
        <w:t xml:space="preserve">an alternative solution to avoid </w:t>
      </w:r>
      <w:r w:rsidR="002A7E2E" w:rsidRPr="00D84146">
        <w:rPr>
          <w:rFonts w:asciiTheme="minorHAnsi" w:hAnsiTheme="minorHAnsi" w:cstheme="minorHAnsi"/>
          <w:sz w:val="22"/>
          <w:szCs w:val="22"/>
          <w:lang w:val="en-US" w:eastAsia="it-IT"/>
        </w:rPr>
        <w:t xml:space="preserve">the </w:t>
      </w:r>
      <w:r w:rsidR="00664FF7" w:rsidRPr="00D84146">
        <w:rPr>
          <w:rFonts w:asciiTheme="minorHAnsi" w:hAnsiTheme="minorHAnsi" w:cstheme="minorHAnsi"/>
          <w:sz w:val="22"/>
          <w:szCs w:val="22"/>
          <w:lang w:val="en-US" w:eastAsia="it-IT"/>
        </w:rPr>
        <w:t>mass transport resistance</w:t>
      </w:r>
      <w:r w:rsidR="002A7E2E" w:rsidRPr="00D84146">
        <w:rPr>
          <w:rFonts w:asciiTheme="minorHAnsi" w:hAnsiTheme="minorHAnsi" w:cstheme="minorHAnsi"/>
          <w:sz w:val="22"/>
          <w:szCs w:val="22"/>
          <w:lang w:val="en-US" w:eastAsia="it-IT"/>
        </w:rPr>
        <w:t xml:space="preserve"> </w:t>
      </w:r>
      <w:r w:rsidR="001C295B" w:rsidRPr="00D84146">
        <w:rPr>
          <w:rFonts w:asciiTheme="minorHAnsi" w:hAnsiTheme="minorHAnsi" w:cstheme="minorHAnsi"/>
          <w:sz w:val="22"/>
          <w:szCs w:val="22"/>
          <w:lang w:val="en-US" w:eastAsia="it-IT"/>
        </w:rPr>
        <w:t>associated to</w:t>
      </w:r>
      <w:r w:rsidR="002A7E2E" w:rsidRPr="00D84146">
        <w:rPr>
          <w:rFonts w:asciiTheme="minorHAnsi" w:hAnsiTheme="minorHAnsi" w:cstheme="minorHAnsi"/>
          <w:sz w:val="22"/>
          <w:szCs w:val="22"/>
          <w:lang w:val="en-US" w:eastAsia="it-IT"/>
        </w:rPr>
        <w:t xml:space="preserve"> </w:t>
      </w:r>
      <w:r w:rsidR="001C295B" w:rsidRPr="00D84146">
        <w:rPr>
          <w:rFonts w:asciiTheme="minorHAnsi" w:hAnsiTheme="minorHAnsi" w:cstheme="minorHAnsi"/>
          <w:sz w:val="22"/>
          <w:szCs w:val="22"/>
          <w:lang w:val="en-US" w:eastAsia="it-IT"/>
        </w:rPr>
        <w:t>gaseous</w:t>
      </w:r>
      <w:r w:rsidR="002A7E2E" w:rsidRPr="00D84146">
        <w:rPr>
          <w:rFonts w:asciiTheme="minorHAnsi" w:hAnsiTheme="minorHAnsi" w:cstheme="minorHAnsi"/>
          <w:sz w:val="22"/>
          <w:szCs w:val="22"/>
          <w:lang w:val="en-US" w:eastAsia="it-IT"/>
        </w:rPr>
        <w:t xml:space="preserve"> </w:t>
      </w:r>
      <w:r w:rsidR="002A7E2E" w:rsidRPr="00D84146">
        <w:rPr>
          <w:rFonts w:asciiTheme="minorHAnsi" w:hAnsiTheme="minorHAnsi" w:cstheme="minorHAnsi"/>
          <w:sz w:val="22"/>
          <w:szCs w:val="22"/>
          <w:lang w:val="en-US"/>
        </w:rPr>
        <w:t>H</w:t>
      </w:r>
      <w:r w:rsidR="002A7E2E" w:rsidRPr="00D84146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="00664FF7" w:rsidRPr="00D84146">
        <w:rPr>
          <w:rFonts w:asciiTheme="minorHAnsi" w:hAnsiTheme="minorHAnsi" w:cstheme="minorHAnsi"/>
          <w:sz w:val="22"/>
          <w:szCs w:val="22"/>
          <w:lang w:val="en-US" w:eastAsia="it-IT"/>
        </w:rPr>
        <w:t xml:space="preserve">, furthermore </w:t>
      </w:r>
      <w:r w:rsidR="00466DE5" w:rsidRPr="00D84146">
        <w:rPr>
          <w:rFonts w:asciiTheme="minorHAnsi" w:hAnsiTheme="minorHAnsi" w:cstheme="minorHAnsi"/>
          <w:sz w:val="22"/>
          <w:szCs w:val="22"/>
          <w:lang w:val="en-US"/>
        </w:rPr>
        <w:t>Biller and Ross [</w:t>
      </w:r>
      <w:r w:rsidR="00D91137" w:rsidRPr="00D84146">
        <w:rPr>
          <w:rFonts w:asciiTheme="minorHAnsi" w:hAnsiTheme="minorHAnsi" w:cstheme="minorHAnsi"/>
          <w:sz w:val="22"/>
          <w:szCs w:val="22"/>
          <w:lang w:val="en-US"/>
        </w:rPr>
        <w:t>7</w:t>
      </w:r>
      <w:r w:rsidR="00466DE5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] </w:t>
      </w:r>
      <w:r w:rsidR="00664FF7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observed that </w:t>
      </w:r>
      <w:r w:rsidR="001C295B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466DE5" w:rsidRPr="00D84146">
        <w:rPr>
          <w:rFonts w:asciiTheme="minorHAnsi" w:hAnsiTheme="minorHAnsi" w:cstheme="minorHAnsi"/>
          <w:sz w:val="22"/>
          <w:szCs w:val="22"/>
          <w:lang w:val="en-US"/>
        </w:rPr>
        <w:t>addition</w:t>
      </w:r>
      <w:r w:rsidR="00664FF7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C295B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of selected organic acids </w:t>
      </w:r>
      <w:r w:rsidR="00664FF7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had </w:t>
      </w:r>
      <w:r w:rsidR="001C295B" w:rsidRPr="00D84146">
        <w:rPr>
          <w:rFonts w:asciiTheme="minorHAnsi" w:hAnsiTheme="minorHAnsi" w:cstheme="minorHAnsi"/>
          <w:sz w:val="22"/>
          <w:szCs w:val="22"/>
          <w:lang w:val="en-US"/>
        </w:rPr>
        <w:t>similar</w:t>
      </w:r>
      <w:r w:rsidR="00664FF7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effects </w:t>
      </w:r>
      <w:r w:rsidR="001C295B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than the addition of </w:t>
      </w:r>
      <w:r w:rsidR="00664FF7" w:rsidRPr="00D84146">
        <w:rPr>
          <w:rFonts w:asciiTheme="minorHAnsi" w:hAnsiTheme="minorHAnsi" w:cstheme="minorHAnsi"/>
          <w:sz w:val="22"/>
          <w:szCs w:val="22"/>
          <w:lang w:val="en-US"/>
        </w:rPr>
        <w:t>molecular H</w:t>
      </w:r>
      <w:r w:rsidR="00664FF7" w:rsidRPr="00D84146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="00664FF7" w:rsidRPr="00D84146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466DE5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5017A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According to these </w:t>
      </w:r>
      <w:r w:rsidR="008C76AF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premises,</w:t>
      </w:r>
      <w:r w:rsidR="0025017A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we studied</w:t>
      </w:r>
      <w:r w:rsidR="00466DE5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the influence of formic acid as hydrogen donor on the </w:t>
      </w:r>
      <w:r w:rsidR="0025017A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yield and </w:t>
      </w:r>
      <w:r w:rsidR="006B0CAF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quality of the </w:t>
      </w:r>
      <w:r w:rsidR="00466DE5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biocrude produced by </w:t>
      </w:r>
      <w:r w:rsidR="00664FF7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HTL</w:t>
      </w:r>
      <w:r w:rsidR="00466DE5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of sewage sludge (SS).</w:t>
      </w:r>
      <w:r w:rsidR="00602A70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664FF7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Formic acid </w:t>
      </w:r>
      <w:r w:rsidR="0025017A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was selected because it can decompose</w:t>
      </w:r>
      <w:r w:rsidR="00664FF7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to hydrogen and carbon dioxide under mild conditions </w:t>
      </w:r>
      <w:r w:rsidR="006B0CAF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[</w:t>
      </w:r>
      <w:r w:rsidR="00D91137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8</w:t>
      </w:r>
      <w:r w:rsidR="006B0CAF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] </w:t>
      </w:r>
      <w:r w:rsidR="00664FF7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and </w:t>
      </w:r>
      <w:r w:rsidR="0025017A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it </w:t>
      </w:r>
      <w:r w:rsidR="00664FF7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can be produced by electrochemical reduction of carbon dioxide</w:t>
      </w:r>
      <w:r w:rsidR="006B0CAF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</w:t>
      </w:r>
      <w:r w:rsidR="0025017A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an appealing </w:t>
      </w:r>
      <w:r w:rsidR="006B0CAF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process </w:t>
      </w:r>
      <w:r w:rsidR="0025017A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to capture</w:t>
      </w:r>
      <w:r w:rsidR="006B0CAF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atmospheric carbon dioxide </w:t>
      </w:r>
      <w:r w:rsidR="0025017A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under the form of a useful chemical </w:t>
      </w:r>
      <w:r w:rsidR="006B0CAF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[</w:t>
      </w:r>
      <w:r w:rsidR="00D91137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9</w:t>
      </w:r>
      <w:r w:rsidR="006B0CAF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].</w:t>
      </w:r>
    </w:p>
    <w:p w:rsidR="00704BDF" w:rsidRPr="00D84146" w:rsidRDefault="00704BDF" w:rsidP="00704BDF">
      <w:pPr>
        <w:snapToGrid w:val="0"/>
        <w:spacing w:before="240" w:line="300" w:lineRule="auto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D84146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2. Methods</w:t>
      </w:r>
      <w:r w:rsidR="00AB113C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</w:p>
    <w:p w:rsidR="00BA2418" w:rsidRPr="00D84146" w:rsidRDefault="00D81B97" w:rsidP="00C0567D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</w:t>
      </w:r>
      <w:r w:rsidR="0054750D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S </w:t>
      </w:r>
      <w:r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provided by</w:t>
      </w:r>
      <w:r w:rsidR="00831666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WWTP of Palermo, Italy (A.M.A.P. spa) </w:t>
      </w:r>
      <w:r w:rsidR="00D53260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and </w:t>
      </w:r>
      <w:r w:rsidR="00831666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formic acid (Alpha </w:t>
      </w:r>
      <w:proofErr w:type="spellStart"/>
      <w:r w:rsidR="00831666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Aesar</w:t>
      </w:r>
      <w:proofErr w:type="spellEnd"/>
      <w:r w:rsidR="00831666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97 </w:t>
      </w:r>
      <w:proofErr w:type="spellStart"/>
      <w:r w:rsidR="00831666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vol</w:t>
      </w:r>
      <w:proofErr w:type="spellEnd"/>
      <w:r w:rsidR="00831666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%) were used </w:t>
      </w:r>
      <w:r w:rsidR="00AE7FEC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in</w:t>
      </w:r>
      <w:r w:rsidR="00321BE6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HTL experiment</w:t>
      </w:r>
      <w:r w:rsidR="0054750D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</w:t>
      </w:r>
      <w:r w:rsidR="00321BE6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  <w:r w:rsidR="0070668C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70668C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CoMo</w:t>
      </w:r>
      <w:proofErr w:type="spellEnd"/>
      <w:r w:rsidR="0070668C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/Al</w:t>
      </w:r>
      <w:r w:rsidR="0070668C" w:rsidRPr="00D84146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="0070668C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O</w:t>
      </w:r>
      <w:r w:rsidR="0070668C" w:rsidRPr="00D84146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3</w:t>
      </w:r>
      <w:r w:rsidR="002C0E7A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(Albemarle, KF1022 cylindrical units)</w:t>
      </w:r>
      <w:r w:rsidR="0070668C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</w:t>
      </w:r>
      <w:r w:rsidR="002C0E7A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as </w:t>
      </w:r>
      <w:r w:rsidR="0070668C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used as catalyst. </w:t>
      </w:r>
      <w:r w:rsidR="00D53260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Acetone and cyclohexane </w:t>
      </w:r>
      <w:r w:rsidR="0054750D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(Sigma Aldrich, analytical grade) </w:t>
      </w:r>
      <w:r w:rsidR="00D53260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were used to recover the biocrude. </w:t>
      </w:r>
      <w:r w:rsidR="00267E64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</w:t>
      </w:r>
      <w:r w:rsidR="00E84F13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stirred stainless steel reactor with a volume of 30 mL</w:t>
      </w:r>
      <w:r w:rsidR="00267E64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was filled with 10 g of slurry</w:t>
      </w:r>
      <w:r w:rsidR="00AE7FEC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changing the SS</w:t>
      </w:r>
      <w:r w:rsidR="008C76AF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loading from </w:t>
      </w:r>
      <w:r w:rsidR="00AE7FEC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10 to</w:t>
      </w:r>
      <w:r w:rsidR="00E84F13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20 and 3</w:t>
      </w:r>
      <w:r w:rsidR="001E1EBD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0</w:t>
      </w:r>
      <w:r w:rsidR="008C76AF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% w/w</w:t>
      </w:r>
      <w:r w:rsidR="00CA101B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</w:t>
      </w:r>
      <w:r w:rsidR="00E84F13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CA101B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formic acid loading was fixed at </w:t>
      </w:r>
      <w:r w:rsidR="008C76AF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1.8 % w/w</w:t>
      </w:r>
      <w:r w:rsidR="00CA101B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 When used catalyst was added with a concentration of 10 %</w:t>
      </w:r>
      <w:r w:rsidR="00391AC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w/w</w:t>
      </w:r>
      <w:bookmarkStart w:id="0" w:name="_GoBack"/>
      <w:bookmarkEnd w:id="0"/>
      <w:r w:rsidR="00AE7FEC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with respect to SS</w:t>
      </w:r>
      <w:r w:rsidR="00CA101B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</w:t>
      </w:r>
      <w:r w:rsidR="006B0CAF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Set point temperature was reached by a software controlled ceramic heater </w:t>
      </w:r>
      <w:r w:rsidR="006B0CAF" w:rsidRPr="00D84146">
        <w:rPr>
          <w:rFonts w:asciiTheme="minorHAnsi" w:hAnsiTheme="minorHAnsi" w:cstheme="minorHAnsi"/>
          <w:sz w:val="22"/>
          <w:szCs w:val="22"/>
          <w:lang w:val="en-US"/>
        </w:rPr>
        <w:t>with a t</w:t>
      </w:r>
      <w:r w:rsidR="001D5A08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ypical heating rate </w:t>
      </w:r>
      <w:r w:rsidR="006B0CAF" w:rsidRPr="00D84146">
        <w:rPr>
          <w:rFonts w:asciiTheme="minorHAnsi" w:hAnsiTheme="minorHAnsi" w:cstheme="minorHAnsi"/>
          <w:sz w:val="22"/>
          <w:szCs w:val="22"/>
          <w:lang w:val="en-US"/>
        </w:rPr>
        <w:t>of</w:t>
      </w:r>
      <w:r w:rsidR="001D5A08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13 </w:t>
      </w:r>
      <w:r w:rsidR="00BA2418" w:rsidRPr="00D84146">
        <w:rPr>
          <w:rFonts w:asciiTheme="minorHAnsi" w:hAnsiTheme="minorHAnsi" w:cstheme="minorHAnsi"/>
          <w:sz w:val="22"/>
          <w:szCs w:val="22"/>
          <w:lang w:val="en-US"/>
        </w:rPr>
        <w:t>°C</w:t>
      </w:r>
      <w:r w:rsidR="001D5A08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/min and the reaction </w:t>
      </w:r>
      <w:r w:rsidR="001D5A08" w:rsidRPr="00D84146">
        <w:rPr>
          <w:rFonts w:asciiTheme="minorHAnsi" w:hAnsiTheme="minorHAnsi" w:cstheme="minorHAnsi"/>
          <w:sz w:val="22"/>
          <w:szCs w:val="22"/>
          <w:lang w:val="en-US"/>
        </w:rPr>
        <w:lastRenderedPageBreak/>
        <w:t>time was considered to start when the set-</w:t>
      </w:r>
      <w:r w:rsidR="006B0CAF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point </w:t>
      </w:r>
      <w:r w:rsidR="001D5A08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temperature was reached. </w:t>
      </w:r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>The procedure</w:t>
      </w:r>
      <w:r w:rsidR="00FE544B" w:rsidRPr="00D8414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adopted for products separation after HTL tests </w:t>
      </w:r>
      <w:r w:rsidR="00FE544B" w:rsidRPr="00D84146">
        <w:rPr>
          <w:rFonts w:asciiTheme="minorHAnsi" w:hAnsiTheme="minorHAnsi" w:cstheme="minorHAnsi"/>
          <w:sz w:val="22"/>
          <w:szCs w:val="22"/>
          <w:lang w:val="en-US"/>
        </w:rPr>
        <w:t>are</w:t>
      </w:r>
      <w:r w:rsidR="00270850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the result of the optimization of the methods </w:t>
      </w:r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>reported in our previous work [</w:t>
      </w:r>
      <w:r w:rsidR="00D91137" w:rsidRPr="00D84146">
        <w:rPr>
          <w:rFonts w:asciiTheme="minorHAnsi" w:hAnsiTheme="minorHAnsi" w:cstheme="minorHAnsi"/>
          <w:sz w:val="22"/>
          <w:szCs w:val="22"/>
          <w:lang w:val="en-US"/>
        </w:rPr>
        <w:t>10</w:t>
      </w:r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>]</w:t>
      </w:r>
      <w:r w:rsidR="002A7E2E" w:rsidRPr="00D84146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270850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>The yields of the products were expressed in dry ash free (</w:t>
      </w:r>
      <w:proofErr w:type="spellStart"/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>daf</w:t>
      </w:r>
      <w:proofErr w:type="spellEnd"/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) form (i.e. referred to the organic content of the feedstock) as </w:t>
      </w:r>
      <w:r w:rsidR="00D91137" w:rsidRPr="00D84146">
        <w:rPr>
          <w:rFonts w:asciiTheme="minorHAnsi" w:hAnsiTheme="minorHAnsi" w:cstheme="minorHAnsi"/>
          <w:sz w:val="22"/>
          <w:szCs w:val="22"/>
          <w:lang w:val="en-US"/>
        </w:rPr>
        <w:t>reported in the literature [10,11]</w:t>
      </w:r>
      <w:r w:rsidR="00C0567D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>All experiments were repeated twice and mean values</w:t>
      </w:r>
      <w:r w:rsidR="00AE7FEC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are reported</w:t>
      </w:r>
      <w:r w:rsidR="00EC191C" w:rsidRPr="00D84146">
        <w:rPr>
          <w:rFonts w:asciiTheme="minorHAnsi" w:hAnsiTheme="minorHAnsi" w:cstheme="minorHAnsi"/>
          <w:sz w:val="22"/>
          <w:szCs w:val="22"/>
          <w:lang w:val="en-US"/>
        </w:rPr>
        <w:t>. Elemental analyses of the biocrudes was performed in a Perkin Elmer 2400 series II elemental analyzer</w:t>
      </w:r>
      <w:r w:rsidR="00C0567D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ED698B" w:rsidRPr="00D84146">
        <w:rPr>
          <w:rFonts w:asciiTheme="minorHAnsi" w:hAnsiTheme="minorHAnsi" w:cstheme="minorHAnsi"/>
          <w:sz w:val="22"/>
          <w:szCs w:val="22"/>
          <w:lang w:val="en-US"/>
        </w:rPr>
        <w:t>B</w:t>
      </w:r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iocrude </w:t>
      </w:r>
      <w:r w:rsidR="00ED698B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yield </w:t>
      </w:r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was </w:t>
      </w:r>
      <w:r w:rsidR="00ED698B" w:rsidRPr="00D84146">
        <w:rPr>
          <w:rFonts w:asciiTheme="minorHAnsi" w:hAnsiTheme="minorHAnsi" w:cstheme="minorHAnsi"/>
          <w:sz w:val="22"/>
          <w:szCs w:val="22"/>
          <w:lang w:val="en-US"/>
        </w:rPr>
        <w:t>determined</w:t>
      </w:r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D698B" w:rsidRPr="00D84146">
        <w:rPr>
          <w:rFonts w:asciiTheme="minorHAnsi" w:hAnsiTheme="minorHAnsi" w:cstheme="minorHAnsi"/>
          <w:sz w:val="22"/>
          <w:szCs w:val="22"/>
          <w:lang w:val="en-US"/>
        </w:rPr>
        <w:t>after stripping of recovery solvents</w:t>
      </w:r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>daf</w:t>
      </w:r>
      <w:proofErr w:type="spellEnd"/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%</w:t>
      </w:r>
      <w:proofErr w:type="spellStart"/>
      <w:r w:rsidR="00391AC2">
        <w:rPr>
          <w:rFonts w:asciiTheme="minorHAnsi" w:hAnsiTheme="minorHAnsi" w:cstheme="minorHAnsi"/>
          <w:sz w:val="22"/>
          <w:szCs w:val="22"/>
          <w:lang w:val="en-US"/>
        </w:rPr>
        <w:t>vw</w:t>
      </w:r>
      <w:proofErr w:type="spellEnd"/>
      <w:r w:rsidR="00391AC2">
        <w:rPr>
          <w:rFonts w:asciiTheme="minorHAnsi" w:hAnsiTheme="minorHAnsi" w:cstheme="minorHAnsi"/>
          <w:sz w:val="22"/>
          <w:szCs w:val="22"/>
          <w:lang w:val="en-US"/>
        </w:rPr>
        <w:t>/w</w:t>
      </w:r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). </w:t>
      </w:r>
      <w:r w:rsidR="002C5A75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Light hydrocarbons </w:t>
      </w:r>
      <w:r w:rsidR="00ED698B" w:rsidRPr="00D84146">
        <w:rPr>
          <w:rFonts w:asciiTheme="minorHAnsi" w:hAnsiTheme="minorHAnsi" w:cstheme="minorHAnsi"/>
          <w:sz w:val="22"/>
          <w:szCs w:val="22"/>
          <w:lang w:val="en-US"/>
        </w:rPr>
        <w:t>evaporated during</w:t>
      </w:r>
      <w:r w:rsidR="002C5A75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D698B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stripping were </w:t>
      </w:r>
      <w:r w:rsidR="00ED698B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condensed in a cold trap</w:t>
      </w:r>
      <w:r w:rsidR="002C5A75" w:rsidRPr="00D84146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446BD6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>The</w:t>
      </w:r>
      <w:r w:rsidR="00FE544B" w:rsidRPr="00D84146">
        <w:rPr>
          <w:rFonts w:asciiTheme="minorHAnsi" w:hAnsiTheme="minorHAnsi" w:cstheme="minorHAnsi"/>
          <w:sz w:val="22"/>
          <w:szCs w:val="22"/>
          <w:lang w:val="en-US"/>
        </w:rPr>
        <w:t>ir relative amounts were estimated in term of fractional chromatographic areas</w:t>
      </w:r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E544B" w:rsidRPr="00D84146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1A4302" w:rsidRPr="00D84146">
        <w:rPr>
          <w:rFonts w:asciiTheme="minorHAnsi" w:hAnsiTheme="minorHAnsi" w:cstheme="minorHAnsi"/>
          <w:sz w:val="22"/>
          <w:szCs w:val="22"/>
          <w:lang w:val="en-US"/>
        </w:rPr>
        <w:t>A%</w:t>
      </w:r>
      <w:r w:rsidR="00FE544B" w:rsidRPr="00D84146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B70D4A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E544B" w:rsidRPr="00D84146">
        <w:rPr>
          <w:rFonts w:asciiTheme="minorHAnsi" w:hAnsiTheme="minorHAnsi" w:cstheme="minorHAnsi"/>
          <w:sz w:val="22"/>
          <w:szCs w:val="22"/>
          <w:lang w:val="en-US"/>
        </w:rPr>
        <w:t>after</w:t>
      </w:r>
      <w:r w:rsidR="00270850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70850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gas–chromatography analyses </w:t>
      </w:r>
      <w:r w:rsidR="00FE544B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of</w:t>
      </w:r>
      <w:r w:rsidR="00270850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the</w:t>
      </w:r>
      <w:r w:rsidR="00BA2418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FE544B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liquid </w:t>
      </w:r>
      <w:r w:rsidR="00EC191C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(</w:t>
      </w:r>
      <w:r w:rsidR="00A244C8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GC </w:t>
      </w:r>
      <w:proofErr w:type="spellStart"/>
      <w:r w:rsidR="00A244C8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AutosystemXL</w:t>
      </w:r>
      <w:proofErr w:type="spellEnd"/>
      <w:r w:rsidR="00A244C8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Perkin Elmer equipped with a column </w:t>
      </w:r>
      <w:proofErr w:type="spellStart"/>
      <w:r w:rsidR="00EC191C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Zebron</w:t>
      </w:r>
      <w:proofErr w:type="spellEnd"/>
      <w:r w:rsidR="00EC191C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ZB-FFAP)</w:t>
      </w:r>
      <w:r w:rsidR="00ED698B" w:rsidRPr="00D84146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1A4302" w:rsidRPr="00D84146" w:rsidRDefault="001A4302" w:rsidP="00BA2418">
      <w:pPr>
        <w:pStyle w:val="NormaleWeb"/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</w:pPr>
    </w:p>
    <w:p w:rsidR="00704BDF" w:rsidRPr="00D84146" w:rsidRDefault="00704BDF" w:rsidP="00BA2418">
      <w:pPr>
        <w:pStyle w:val="NormaleWeb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D84146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D84146" w:rsidRDefault="002907F4" w:rsidP="00704BDF">
      <w:pPr>
        <w:snapToGrid w:val="0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D84146">
        <w:rPr>
          <w:rFonts w:asciiTheme="minorHAnsi" w:hAnsiTheme="minorHAnsi" w:cstheme="minorHAnsi"/>
          <w:sz w:val="22"/>
          <w:szCs w:val="22"/>
          <w:lang w:val="en-US"/>
        </w:rPr>
        <w:t>At a SS</w:t>
      </w:r>
      <w:r w:rsidR="008C76AF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loading of 30% w/w</w:t>
      </w:r>
      <w:r w:rsidRPr="00D84146">
        <w:rPr>
          <w:rFonts w:asciiTheme="minorHAnsi" w:hAnsiTheme="minorHAnsi" w:cstheme="minorHAnsi"/>
          <w:sz w:val="22"/>
          <w:szCs w:val="22"/>
          <w:lang w:val="en-US"/>
        </w:rPr>
        <w:t>, the b</w:t>
      </w:r>
      <w:r w:rsidR="006B0CAF" w:rsidRPr="00D84146">
        <w:rPr>
          <w:rFonts w:asciiTheme="minorHAnsi" w:hAnsiTheme="minorHAnsi" w:cstheme="minorHAnsi"/>
          <w:sz w:val="22"/>
          <w:szCs w:val="22"/>
          <w:lang w:val="en-US"/>
        </w:rPr>
        <w:t>iocrude yield increased from 39</w:t>
      </w:r>
      <w:r w:rsidR="006B0CAF" w:rsidRPr="00D84146">
        <w:rPr>
          <w:rFonts w:asciiTheme="minorHAnsi" w:hAnsiTheme="minorHAnsi" w:cstheme="minorHAnsi"/>
          <w:sz w:val="22"/>
          <w:szCs w:val="22"/>
          <w:lang w:val="en-US"/>
        </w:rPr>
        <w:sym w:font="Symbol" w:char="F0B1"/>
      </w:r>
      <w:r w:rsidR="006B0CAF" w:rsidRPr="00D84146">
        <w:rPr>
          <w:rFonts w:asciiTheme="minorHAnsi" w:hAnsiTheme="minorHAnsi" w:cstheme="minorHAnsi"/>
          <w:sz w:val="22"/>
          <w:szCs w:val="22"/>
          <w:lang w:val="en-US"/>
        </w:rPr>
        <w:t>2%</w:t>
      </w:r>
      <w:r w:rsidR="00391AC2">
        <w:rPr>
          <w:rFonts w:asciiTheme="minorHAnsi" w:hAnsiTheme="minorHAnsi" w:cstheme="minorHAnsi"/>
          <w:sz w:val="22"/>
          <w:szCs w:val="22"/>
          <w:lang w:val="en-US"/>
        </w:rPr>
        <w:t xml:space="preserve"> w/w</w:t>
      </w:r>
      <w:r w:rsidR="006B0CAF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to 55</w:t>
      </w:r>
      <w:r w:rsidR="006B0CAF" w:rsidRPr="00D84146">
        <w:rPr>
          <w:rFonts w:asciiTheme="minorHAnsi" w:hAnsiTheme="minorHAnsi" w:cstheme="minorHAnsi"/>
          <w:sz w:val="22"/>
          <w:szCs w:val="22"/>
          <w:lang w:val="en-US"/>
        </w:rPr>
        <w:sym w:font="Symbol" w:char="F0B1"/>
      </w:r>
      <w:r w:rsidR="006B0CAF" w:rsidRPr="00D84146">
        <w:rPr>
          <w:rFonts w:asciiTheme="minorHAnsi" w:hAnsiTheme="minorHAnsi" w:cstheme="minorHAnsi"/>
          <w:sz w:val="22"/>
          <w:szCs w:val="22"/>
          <w:lang w:val="en-US"/>
        </w:rPr>
        <w:t>2%</w:t>
      </w:r>
      <w:r w:rsidR="00391AC2">
        <w:rPr>
          <w:rFonts w:asciiTheme="minorHAnsi" w:hAnsiTheme="minorHAnsi" w:cstheme="minorHAnsi"/>
          <w:sz w:val="22"/>
          <w:szCs w:val="22"/>
          <w:lang w:val="en-US"/>
        </w:rPr>
        <w:t xml:space="preserve"> w/w</w:t>
      </w:r>
      <w:r w:rsidR="006B0CAF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w</w:t>
      </w:r>
      <w:r w:rsidR="00FF7020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hen </w:t>
      </w:r>
      <w:r w:rsidR="00267E64" w:rsidRPr="00D84146">
        <w:rPr>
          <w:rFonts w:asciiTheme="minorHAnsi" w:hAnsiTheme="minorHAnsi" w:cstheme="minorHAnsi"/>
          <w:sz w:val="22"/>
          <w:szCs w:val="22"/>
          <w:lang w:val="en-US"/>
        </w:rPr>
        <w:t>formic acid was added</w:t>
      </w:r>
      <w:r w:rsidR="006B0CAF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0F4C3A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Furthermore an increase of H/C molar ratio </w:t>
      </w:r>
      <w:r w:rsidR="002A7E2E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(from 1.54 to 1.96) </w:t>
      </w:r>
      <w:r w:rsidR="000F4C3A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was observed in the biocrudes produced </w:t>
      </w:r>
      <w:r w:rsidR="00FF7020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in the presence of </w:t>
      </w:r>
      <w:r w:rsidR="000F4C3A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formic acid. </w:t>
      </w:r>
      <w:r w:rsidR="001A4302" w:rsidRPr="00D84146">
        <w:rPr>
          <w:rFonts w:asciiTheme="minorHAnsi" w:hAnsiTheme="minorHAnsi" w:cstheme="minorHAnsi"/>
          <w:sz w:val="22"/>
          <w:szCs w:val="22"/>
          <w:lang w:val="en-US"/>
        </w:rPr>
        <w:t>The work herein</w:t>
      </w:r>
      <w:r w:rsidR="008549A5" w:rsidRPr="00D84146">
        <w:rPr>
          <w:rFonts w:asciiTheme="minorHAnsi" w:hAnsiTheme="minorHAnsi" w:cstheme="minorHAnsi"/>
          <w:sz w:val="22"/>
          <w:szCs w:val="22"/>
          <w:lang w:val="en-US"/>
        </w:rPr>
        <w:t>, starting from the observed results found in literature,</w:t>
      </w:r>
      <w:r w:rsidR="001A4302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tried to </w:t>
      </w:r>
      <w:r w:rsidR="003418D7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evaluate the </w:t>
      </w:r>
      <w:r w:rsidR="008C76AF" w:rsidRPr="00D84146">
        <w:rPr>
          <w:rFonts w:asciiTheme="minorHAnsi" w:hAnsiTheme="minorHAnsi" w:cstheme="minorHAnsi"/>
          <w:sz w:val="22"/>
          <w:szCs w:val="22"/>
          <w:lang w:val="en-US"/>
        </w:rPr>
        <w:t>effect</w:t>
      </w:r>
      <w:r w:rsidR="003418D7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of formic acid </w:t>
      </w:r>
      <w:r w:rsidR="008C76AF" w:rsidRPr="00D84146">
        <w:rPr>
          <w:rFonts w:asciiTheme="minorHAnsi" w:hAnsiTheme="minorHAnsi" w:cstheme="minorHAnsi"/>
          <w:sz w:val="22"/>
          <w:szCs w:val="22"/>
          <w:lang w:val="en-US"/>
        </w:rPr>
        <w:t>on the performances of</w:t>
      </w:r>
      <w:r w:rsidR="003418D7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the hydrothermal co-liquefaction process </w:t>
      </w:r>
      <w:r w:rsidR="001A4302" w:rsidRPr="00D84146">
        <w:rPr>
          <w:rFonts w:asciiTheme="minorHAnsi" w:hAnsiTheme="minorHAnsi" w:cstheme="minorHAnsi"/>
          <w:sz w:val="22"/>
          <w:szCs w:val="22"/>
          <w:lang w:val="en-US"/>
        </w:rPr>
        <w:t>characteriz</w:t>
      </w:r>
      <w:r w:rsidR="00D275EF" w:rsidRPr="00D84146">
        <w:rPr>
          <w:rFonts w:asciiTheme="minorHAnsi" w:hAnsiTheme="minorHAnsi" w:cstheme="minorHAnsi"/>
          <w:sz w:val="22"/>
          <w:szCs w:val="22"/>
          <w:lang w:val="en-US"/>
        </w:rPr>
        <w:t>ing</w:t>
      </w:r>
      <w:r w:rsidR="001A4302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549A5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also </w:t>
      </w:r>
      <w:r w:rsidR="001A4302" w:rsidRPr="00D84146">
        <w:rPr>
          <w:rFonts w:asciiTheme="minorHAnsi" w:hAnsiTheme="minorHAnsi" w:cstheme="minorHAnsi"/>
          <w:sz w:val="22"/>
          <w:szCs w:val="22"/>
          <w:lang w:val="en-US"/>
        </w:rPr>
        <w:t>the</w:t>
      </w:r>
      <w:r w:rsidR="006E0171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E0ABA" w:rsidRPr="00D84146">
        <w:rPr>
          <w:rFonts w:asciiTheme="minorHAnsi" w:hAnsiTheme="minorHAnsi" w:cstheme="minorHAnsi"/>
          <w:sz w:val="22"/>
          <w:szCs w:val="22"/>
          <w:lang w:val="en-US"/>
        </w:rPr>
        <w:t>produced light compo</w:t>
      </w:r>
      <w:r w:rsidR="00267E64" w:rsidRPr="00D84146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1E0ABA" w:rsidRPr="00D84146">
        <w:rPr>
          <w:rFonts w:asciiTheme="minorHAnsi" w:hAnsiTheme="minorHAnsi" w:cstheme="minorHAnsi"/>
          <w:sz w:val="22"/>
          <w:szCs w:val="22"/>
          <w:lang w:val="en-US"/>
        </w:rPr>
        <w:t>nds</w:t>
      </w:r>
      <w:r w:rsidR="001A4302" w:rsidRPr="00D84146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D53260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275EF" w:rsidRPr="00D84146">
        <w:rPr>
          <w:rFonts w:asciiTheme="minorHAnsi" w:hAnsiTheme="minorHAnsi" w:cstheme="minorHAnsi"/>
          <w:sz w:val="22"/>
          <w:szCs w:val="22"/>
          <w:lang w:val="en-US"/>
        </w:rPr>
        <w:t>A technique to recover and to</w:t>
      </w:r>
      <w:r w:rsidR="00D275EF" w:rsidRPr="00D84146">
        <w:rPr>
          <w:rFonts w:asciiTheme="minorHAnsi" w:hAnsiTheme="minorHAnsi" w:cstheme="minorHAnsi"/>
          <w:sz w:val="22"/>
          <w:szCs w:val="22"/>
        </w:rPr>
        <w:t xml:space="preserve"> </w:t>
      </w:r>
      <w:r w:rsidR="00FF7020" w:rsidRPr="00D84146">
        <w:rPr>
          <w:rFonts w:asciiTheme="minorHAnsi" w:hAnsiTheme="minorHAnsi" w:cstheme="minorHAnsi"/>
          <w:sz w:val="22"/>
          <w:szCs w:val="22"/>
        </w:rPr>
        <w:t>to trap solvent</w:t>
      </w:r>
      <w:r w:rsidR="00CD614A" w:rsidRPr="00D84146">
        <w:rPr>
          <w:rFonts w:asciiTheme="minorHAnsi" w:hAnsiTheme="minorHAnsi" w:cstheme="minorHAnsi"/>
          <w:sz w:val="22"/>
          <w:szCs w:val="22"/>
        </w:rPr>
        <w:t xml:space="preserve"> vapours during the stripping process of the biocrude phase </w:t>
      </w:r>
      <w:r w:rsidR="00D275EF" w:rsidRPr="00D84146">
        <w:rPr>
          <w:rFonts w:asciiTheme="minorHAnsi" w:hAnsiTheme="minorHAnsi" w:cstheme="minorHAnsi"/>
          <w:sz w:val="22"/>
          <w:szCs w:val="22"/>
        </w:rPr>
        <w:t xml:space="preserve">was optimized </w:t>
      </w:r>
      <w:r w:rsidR="00CD614A" w:rsidRPr="00D84146">
        <w:rPr>
          <w:rFonts w:asciiTheme="minorHAnsi" w:hAnsiTheme="minorHAnsi" w:cstheme="minorHAnsi"/>
          <w:sz w:val="22"/>
          <w:szCs w:val="22"/>
        </w:rPr>
        <w:t xml:space="preserve">and light hydrocarbons </w:t>
      </w:r>
      <w:r w:rsidR="002A7E2E" w:rsidRPr="00D84146">
        <w:rPr>
          <w:rFonts w:asciiTheme="minorHAnsi" w:hAnsiTheme="minorHAnsi" w:cstheme="minorHAnsi"/>
          <w:sz w:val="22"/>
          <w:szCs w:val="22"/>
        </w:rPr>
        <w:t xml:space="preserve">(C10-C18) </w:t>
      </w:r>
      <w:r w:rsidR="00CD614A" w:rsidRPr="00D84146">
        <w:rPr>
          <w:rFonts w:asciiTheme="minorHAnsi" w:hAnsiTheme="minorHAnsi" w:cstheme="minorHAnsi"/>
          <w:sz w:val="22"/>
          <w:szCs w:val="22"/>
        </w:rPr>
        <w:t xml:space="preserve">were </w:t>
      </w:r>
      <w:r w:rsidR="00D275EF" w:rsidRPr="00D84146">
        <w:rPr>
          <w:rFonts w:asciiTheme="minorHAnsi" w:hAnsiTheme="minorHAnsi" w:cstheme="minorHAnsi"/>
          <w:sz w:val="22"/>
          <w:szCs w:val="22"/>
        </w:rPr>
        <w:t xml:space="preserve">effectively </w:t>
      </w:r>
      <w:r w:rsidR="00CD614A" w:rsidRPr="00D84146">
        <w:rPr>
          <w:rFonts w:asciiTheme="minorHAnsi" w:hAnsiTheme="minorHAnsi" w:cstheme="minorHAnsi"/>
          <w:sz w:val="22"/>
          <w:szCs w:val="22"/>
        </w:rPr>
        <w:t>detected by gas-chromatograph</w:t>
      </w:r>
      <w:r w:rsidR="008549A5" w:rsidRPr="00D84146">
        <w:rPr>
          <w:rFonts w:asciiTheme="minorHAnsi" w:hAnsiTheme="minorHAnsi" w:cstheme="minorHAnsi"/>
          <w:sz w:val="22"/>
          <w:szCs w:val="22"/>
        </w:rPr>
        <w:t xml:space="preserve">y </w:t>
      </w:r>
      <w:r w:rsidR="00CD614A" w:rsidRPr="00D84146">
        <w:rPr>
          <w:rFonts w:asciiTheme="minorHAnsi" w:hAnsiTheme="minorHAnsi" w:cstheme="minorHAnsi"/>
          <w:sz w:val="22"/>
          <w:szCs w:val="22"/>
        </w:rPr>
        <w:t>analyses of the trapped phases.</w:t>
      </w:r>
      <w:r w:rsidR="008549A5" w:rsidRPr="00D84146">
        <w:rPr>
          <w:rFonts w:asciiTheme="minorHAnsi" w:hAnsiTheme="minorHAnsi" w:cstheme="minorHAnsi"/>
          <w:sz w:val="22"/>
          <w:szCs w:val="22"/>
        </w:rPr>
        <w:t xml:space="preserve"> </w:t>
      </w:r>
      <w:r w:rsidR="008549A5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By means of this technique </w:t>
      </w:r>
      <w:r w:rsidR="00822316" w:rsidRPr="00D84146">
        <w:rPr>
          <w:rFonts w:asciiTheme="minorHAnsi" w:hAnsiTheme="minorHAnsi" w:cstheme="minorHAnsi"/>
          <w:sz w:val="22"/>
          <w:szCs w:val="22"/>
          <w:lang w:val="en-US"/>
        </w:rPr>
        <w:t>cumulative chromatographic area associated to</w:t>
      </w:r>
      <w:r w:rsidR="006B0CAF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light hydrocarbons</w:t>
      </w:r>
      <w:r w:rsidR="00822316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increased from 7 to 32% when HCOOH was added</w:t>
      </w:r>
      <w:r w:rsidR="00335EB0"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at 10% w/w loading of SS</w:t>
      </w:r>
      <w:r w:rsidR="002A7E2E" w:rsidRPr="00D84146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704BDF" w:rsidRPr="00D84146" w:rsidRDefault="00704BDF" w:rsidP="00704BDF">
      <w:pPr>
        <w:snapToGrid w:val="0"/>
        <w:spacing w:before="240" w:line="300" w:lineRule="auto"/>
        <w:rPr>
          <w:rFonts w:asciiTheme="minorHAnsi" w:eastAsia="MS PGothic" w:hAnsiTheme="minorHAnsi" w:cstheme="minorHAnsi"/>
          <w:color w:val="000000"/>
          <w:sz w:val="22"/>
          <w:szCs w:val="22"/>
          <w:lang w:val="en-US" w:eastAsia="ko-KR"/>
        </w:rPr>
      </w:pPr>
      <w:r w:rsidRPr="00D84146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4. Conclusion</w:t>
      </w:r>
      <w:r w:rsidRPr="00D84146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664FF7" w:rsidRPr="00D84146" w:rsidRDefault="00D275EF" w:rsidP="00664FF7">
      <w:pPr>
        <w:pStyle w:val="NormaleWeb"/>
        <w:rPr>
          <w:rFonts w:asciiTheme="minorHAnsi" w:hAnsiTheme="minorHAnsi" w:cstheme="minorHAnsi"/>
          <w:sz w:val="22"/>
          <w:szCs w:val="22"/>
          <w:lang w:val="en-US" w:eastAsia="it-IT"/>
        </w:rPr>
      </w:pPr>
      <w:r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Formic acid, </w:t>
      </w:r>
      <w:r w:rsidR="00FF7020" w:rsidRPr="00D84146">
        <w:rPr>
          <w:rFonts w:asciiTheme="minorHAnsi" w:hAnsiTheme="minorHAnsi" w:cstheme="minorHAnsi"/>
          <w:sz w:val="22"/>
          <w:szCs w:val="22"/>
          <w:lang w:val="en-US"/>
        </w:rPr>
        <w:t>obtainable</w:t>
      </w:r>
      <w:r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from </w:t>
      </w:r>
      <w:r w:rsidR="00FF7020" w:rsidRPr="00D84146">
        <w:rPr>
          <w:rFonts w:asciiTheme="minorHAnsi" w:hAnsiTheme="minorHAnsi" w:cstheme="minorHAnsi"/>
          <w:sz w:val="22"/>
          <w:szCs w:val="22"/>
          <w:lang w:val="en-US"/>
        </w:rPr>
        <w:t>electrochemical reduction of</w:t>
      </w:r>
      <w:r w:rsidRPr="00D84146">
        <w:rPr>
          <w:rFonts w:asciiTheme="minorHAnsi" w:hAnsiTheme="minorHAnsi" w:cstheme="minorHAnsi"/>
          <w:sz w:val="22"/>
          <w:szCs w:val="22"/>
          <w:lang w:val="en-US"/>
        </w:rPr>
        <w:t xml:space="preserve"> carbon dioxide, showed promising result in improving the yield and the quality of </w:t>
      </w:r>
      <w:r w:rsidR="00FF7020" w:rsidRPr="00D84146">
        <w:rPr>
          <w:rFonts w:asciiTheme="minorHAnsi" w:hAnsiTheme="minorHAnsi" w:cstheme="minorHAnsi"/>
          <w:sz w:val="22"/>
          <w:szCs w:val="22"/>
          <w:lang w:val="en-US"/>
        </w:rPr>
        <w:t>biocrude generated from HTL of SS</w:t>
      </w:r>
      <w:r w:rsidRPr="00D84146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664FF7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Furthermore </w:t>
      </w:r>
      <w:r w:rsidR="00335EB0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in the presence of</w:t>
      </w:r>
      <w:r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formic acid, an increase of </w:t>
      </w:r>
      <w:r w:rsidR="008549A5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produced </w:t>
      </w:r>
      <w:r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light hydrocarbons compounds</w:t>
      </w:r>
      <w:r w:rsidR="008549A5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was observed</w:t>
      </w:r>
      <w:r w:rsidR="002A7E2E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 and a better closure of the mass balance was obtained</w:t>
      </w:r>
      <w:r w:rsidR="008549A5" w:rsidRPr="00D8414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</w:p>
    <w:p w:rsidR="00D84146" w:rsidRDefault="00D91137" w:rsidP="00D91137">
      <w:pPr>
        <w:snapToGrid w:val="0"/>
        <w:spacing w:before="240" w:line="300" w:lineRule="auto"/>
        <w:contextualSpacing/>
        <w:rPr>
          <w:rFonts w:asciiTheme="minorHAnsi" w:eastAsia="MS PGothic" w:hAnsiTheme="minorHAnsi" w:cstheme="minorHAnsi"/>
          <w:b/>
          <w:bCs/>
          <w:color w:val="000000"/>
          <w:sz w:val="20"/>
          <w:lang w:val="en-US"/>
        </w:rPr>
      </w:pPr>
      <w:r w:rsidRPr="00D84146">
        <w:rPr>
          <w:rFonts w:asciiTheme="minorHAnsi" w:eastAsia="MS PGothic" w:hAnsiTheme="minorHAnsi" w:cstheme="minorHAnsi"/>
          <w:b/>
          <w:bCs/>
          <w:color w:val="000000"/>
          <w:sz w:val="20"/>
          <w:lang w:val="en-US"/>
        </w:rPr>
        <w:t xml:space="preserve">References </w:t>
      </w:r>
    </w:p>
    <w:p w:rsidR="00D84146" w:rsidRPr="00D84146" w:rsidRDefault="00D84146" w:rsidP="00D84146">
      <w:pPr>
        <w:snapToGrid w:val="0"/>
        <w:spacing w:before="240" w:line="240" w:lineRule="auto"/>
        <w:contextualSpacing/>
        <w:rPr>
          <w:rFonts w:asciiTheme="minorHAnsi" w:eastAsia="MS PGothic" w:hAnsiTheme="minorHAnsi" w:cstheme="minorHAnsi"/>
          <w:b/>
          <w:bCs/>
          <w:color w:val="000000"/>
          <w:sz w:val="20"/>
          <w:lang w:val="en-US"/>
        </w:rPr>
      </w:pPr>
      <w:r w:rsidRPr="00D84146">
        <w:rPr>
          <w:rFonts w:asciiTheme="minorHAnsi" w:eastAsia="SimSun" w:hAnsiTheme="minorHAnsi" w:cstheme="minorHAnsi"/>
          <w:bCs/>
          <w:color w:val="000000"/>
          <w:sz w:val="20"/>
          <w:lang w:val="en-US" w:eastAsia="zh-CN"/>
        </w:rPr>
        <w:t xml:space="preserve">[1]     T.M. </w:t>
      </w:r>
      <w:proofErr w:type="spellStart"/>
      <w:r w:rsidRPr="00D84146">
        <w:rPr>
          <w:rFonts w:asciiTheme="minorHAnsi" w:eastAsia="SimSun" w:hAnsiTheme="minorHAnsi" w:cstheme="minorHAnsi"/>
          <w:bCs/>
          <w:color w:val="000000"/>
          <w:sz w:val="20"/>
          <w:lang w:val="en-US" w:eastAsia="zh-CN"/>
        </w:rPr>
        <w:t>Yeh</w:t>
      </w:r>
      <w:proofErr w:type="spellEnd"/>
      <w:r w:rsidRPr="00D84146">
        <w:rPr>
          <w:rFonts w:asciiTheme="minorHAnsi" w:eastAsia="SimSun" w:hAnsiTheme="minorHAnsi" w:cstheme="minorHAnsi"/>
          <w:bCs/>
          <w:color w:val="000000"/>
          <w:sz w:val="20"/>
          <w:lang w:val="en-US" w:eastAsia="zh-CN"/>
        </w:rPr>
        <w:t xml:space="preserve">, J.G. Dickinson, J. Chem. Technol. </w:t>
      </w:r>
      <w:proofErr w:type="spellStart"/>
      <w:r w:rsidRPr="00D84146">
        <w:rPr>
          <w:rFonts w:asciiTheme="minorHAnsi" w:eastAsia="SimSun" w:hAnsiTheme="minorHAnsi" w:cstheme="minorHAnsi"/>
          <w:bCs/>
          <w:color w:val="000000"/>
          <w:sz w:val="20"/>
          <w:lang w:val="en-US" w:eastAsia="zh-CN"/>
        </w:rPr>
        <w:t>Biotechnol</w:t>
      </w:r>
      <w:proofErr w:type="spellEnd"/>
      <w:r w:rsidRPr="00D84146">
        <w:rPr>
          <w:rFonts w:asciiTheme="minorHAnsi" w:eastAsia="SimSun" w:hAnsiTheme="minorHAnsi" w:cstheme="minorHAnsi"/>
          <w:bCs/>
          <w:color w:val="000000"/>
          <w:sz w:val="20"/>
          <w:lang w:val="en-US" w:eastAsia="zh-CN"/>
        </w:rPr>
        <w:t>. 88 (2012) 13-24.</w:t>
      </w:r>
    </w:p>
    <w:p w:rsidR="00D91137" w:rsidRPr="00D84146" w:rsidRDefault="00D91137" w:rsidP="00D8414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D84146">
        <w:rPr>
          <w:rFonts w:asciiTheme="minorHAnsi" w:hAnsiTheme="minorHAnsi" w:cstheme="minorHAnsi"/>
        </w:rPr>
        <w:t>[2]</w:t>
      </w:r>
      <w:r w:rsidRPr="00D84146">
        <w:rPr>
          <w:rFonts w:asciiTheme="minorHAnsi" w:hAnsiTheme="minorHAnsi" w:cstheme="minorHAnsi"/>
        </w:rPr>
        <w:tab/>
        <w:t xml:space="preserve">T.C. Ho, </w:t>
      </w:r>
      <w:proofErr w:type="spellStart"/>
      <w:r w:rsidRPr="00D84146">
        <w:rPr>
          <w:rFonts w:asciiTheme="minorHAnsi" w:hAnsiTheme="minorHAnsi" w:cstheme="minorHAnsi"/>
        </w:rPr>
        <w:t>Catal</w:t>
      </w:r>
      <w:proofErr w:type="spellEnd"/>
      <w:r w:rsidRPr="00D84146">
        <w:rPr>
          <w:rFonts w:asciiTheme="minorHAnsi" w:hAnsiTheme="minorHAnsi" w:cstheme="minorHAnsi"/>
        </w:rPr>
        <w:t xml:space="preserve">. Today 98 (2004) 3-18. </w:t>
      </w:r>
    </w:p>
    <w:p w:rsidR="00D91137" w:rsidRPr="00D84146" w:rsidRDefault="00D91137" w:rsidP="00D8414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D84146">
        <w:rPr>
          <w:rFonts w:asciiTheme="minorHAnsi" w:hAnsiTheme="minorHAnsi" w:cstheme="minorHAnsi"/>
        </w:rPr>
        <w:t>[3]</w:t>
      </w:r>
      <w:r w:rsidRPr="00D84146">
        <w:rPr>
          <w:rFonts w:asciiTheme="minorHAnsi" w:hAnsiTheme="minorHAnsi" w:cstheme="minorHAnsi"/>
        </w:rPr>
        <w:tab/>
      </w:r>
      <w:proofErr w:type="spellStart"/>
      <w:r w:rsidRPr="00D84146">
        <w:rPr>
          <w:rFonts w:asciiTheme="minorHAnsi" w:hAnsiTheme="minorHAnsi" w:cstheme="minorHAnsi"/>
        </w:rPr>
        <w:t>A.Galadima</w:t>
      </w:r>
      <w:proofErr w:type="spellEnd"/>
      <w:r w:rsidRPr="00D84146">
        <w:rPr>
          <w:rFonts w:asciiTheme="minorHAnsi" w:hAnsiTheme="minorHAnsi" w:cstheme="minorHAnsi"/>
        </w:rPr>
        <w:t xml:space="preserve">, O. </w:t>
      </w:r>
      <w:proofErr w:type="spellStart"/>
      <w:r w:rsidRPr="00D84146">
        <w:rPr>
          <w:rFonts w:asciiTheme="minorHAnsi" w:hAnsiTheme="minorHAnsi" w:cstheme="minorHAnsi"/>
        </w:rPr>
        <w:t>Muraza</w:t>
      </w:r>
      <w:proofErr w:type="spellEnd"/>
      <w:r w:rsidRPr="00D84146">
        <w:rPr>
          <w:rFonts w:asciiTheme="minorHAnsi" w:hAnsiTheme="minorHAnsi" w:cstheme="minorHAnsi"/>
        </w:rPr>
        <w:t>, Renew. Sustain. Energy Rev. 81 (2018) 1037-1048.</w:t>
      </w:r>
    </w:p>
    <w:p w:rsidR="00D91137" w:rsidRPr="00D84146" w:rsidRDefault="00D91137" w:rsidP="00D8414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D84146">
        <w:rPr>
          <w:rFonts w:asciiTheme="minorHAnsi" w:hAnsiTheme="minorHAnsi" w:cstheme="minorHAnsi"/>
        </w:rPr>
        <w:t>[4]</w:t>
      </w:r>
      <w:r w:rsidRPr="00D84146">
        <w:rPr>
          <w:rFonts w:asciiTheme="minorHAnsi" w:hAnsiTheme="minorHAnsi" w:cstheme="minorHAnsi"/>
        </w:rPr>
        <w:tab/>
        <w:t xml:space="preserve">L. Luo, </w:t>
      </w:r>
      <w:proofErr w:type="spellStart"/>
      <w:r w:rsidRPr="00D84146">
        <w:rPr>
          <w:rFonts w:asciiTheme="minorHAnsi" w:hAnsiTheme="minorHAnsi" w:cstheme="minorHAnsi"/>
        </w:rPr>
        <w:t>L.Dai</w:t>
      </w:r>
      <w:proofErr w:type="spellEnd"/>
      <w:r w:rsidRPr="00D84146">
        <w:rPr>
          <w:rFonts w:asciiTheme="minorHAnsi" w:hAnsiTheme="minorHAnsi" w:cstheme="minorHAnsi"/>
        </w:rPr>
        <w:t>, Energy Fuels 29 (2015) 3208-3214.</w:t>
      </w:r>
    </w:p>
    <w:p w:rsidR="00D91137" w:rsidRPr="00D84146" w:rsidRDefault="00D91137" w:rsidP="00D8414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lang w:eastAsia="it-IT"/>
        </w:rPr>
      </w:pPr>
      <w:r w:rsidRPr="00D84146">
        <w:rPr>
          <w:rFonts w:asciiTheme="minorHAnsi" w:hAnsiTheme="minorHAnsi" w:cstheme="minorHAnsi"/>
          <w:lang w:eastAsia="it-IT"/>
        </w:rPr>
        <w:t>[5]</w:t>
      </w:r>
      <w:r w:rsidRPr="00D84146">
        <w:rPr>
          <w:rFonts w:asciiTheme="minorHAnsi" w:hAnsiTheme="minorHAnsi" w:cstheme="minorHAnsi"/>
          <w:lang w:eastAsia="it-IT"/>
        </w:rPr>
        <w:tab/>
        <w:t xml:space="preserve">D.M. Zhang, F.Y. Ye, </w:t>
      </w:r>
      <w:proofErr w:type="spellStart"/>
      <w:r w:rsidRPr="00D84146">
        <w:rPr>
          <w:rFonts w:asciiTheme="minorHAnsi" w:hAnsiTheme="minorHAnsi" w:cstheme="minorHAnsi"/>
          <w:lang w:eastAsia="it-IT"/>
        </w:rPr>
        <w:t>Catal</w:t>
      </w:r>
      <w:proofErr w:type="spellEnd"/>
      <w:r w:rsidRPr="00D84146">
        <w:rPr>
          <w:rFonts w:asciiTheme="minorHAnsi" w:hAnsiTheme="minorHAnsi" w:cstheme="minorHAnsi"/>
          <w:lang w:eastAsia="it-IT"/>
        </w:rPr>
        <w:t xml:space="preserve">. Today 234 (2014) 133–138. </w:t>
      </w:r>
    </w:p>
    <w:p w:rsidR="00D91137" w:rsidRPr="00D84146" w:rsidRDefault="00D91137" w:rsidP="00D8414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line="240" w:lineRule="auto"/>
        <w:rPr>
          <w:rFonts w:asciiTheme="minorHAnsi" w:eastAsia="SimSun" w:hAnsiTheme="minorHAnsi" w:cstheme="minorHAnsi"/>
          <w:lang w:eastAsia="zh-CN"/>
        </w:rPr>
      </w:pPr>
      <w:r w:rsidRPr="00D84146">
        <w:rPr>
          <w:rFonts w:asciiTheme="minorHAnsi" w:hAnsiTheme="minorHAnsi" w:cstheme="minorHAnsi"/>
          <w:lang w:eastAsia="it-IT"/>
        </w:rPr>
        <w:t>[6]</w:t>
      </w:r>
      <w:r w:rsidRPr="00D84146">
        <w:rPr>
          <w:rFonts w:asciiTheme="minorHAnsi" w:hAnsiTheme="minorHAnsi" w:cstheme="minorHAnsi"/>
          <w:lang w:eastAsia="it-IT"/>
        </w:rPr>
        <w:tab/>
        <w:t xml:space="preserve">X. Liu, S.S. Li, Chin. J. </w:t>
      </w:r>
      <w:proofErr w:type="spellStart"/>
      <w:r w:rsidRPr="00D84146">
        <w:rPr>
          <w:rFonts w:asciiTheme="minorHAnsi" w:hAnsiTheme="minorHAnsi" w:cstheme="minorHAnsi"/>
          <w:lang w:eastAsia="it-IT"/>
        </w:rPr>
        <w:t>Catal</w:t>
      </w:r>
      <w:proofErr w:type="spellEnd"/>
      <w:r w:rsidRPr="00D84146">
        <w:rPr>
          <w:rFonts w:asciiTheme="minorHAnsi" w:hAnsiTheme="minorHAnsi" w:cstheme="minorHAnsi"/>
          <w:lang w:eastAsia="it-IT"/>
        </w:rPr>
        <w:t xml:space="preserve">. 36 (2015) 1461–1475. </w:t>
      </w:r>
    </w:p>
    <w:p w:rsidR="00D91137" w:rsidRPr="00D84146" w:rsidRDefault="00D91137" w:rsidP="00D8414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D84146">
        <w:rPr>
          <w:rFonts w:asciiTheme="minorHAnsi" w:hAnsiTheme="minorHAnsi" w:cstheme="minorHAnsi"/>
        </w:rPr>
        <w:t>[7]</w:t>
      </w:r>
      <w:r w:rsidRPr="00D84146">
        <w:rPr>
          <w:rFonts w:asciiTheme="minorHAnsi" w:hAnsiTheme="minorHAnsi" w:cstheme="minorHAnsi"/>
        </w:rPr>
        <w:tab/>
        <w:t>A.B. Ross, P. Biller, Fuel 89 (2010) 2234-2243.</w:t>
      </w:r>
    </w:p>
    <w:p w:rsidR="00D91137" w:rsidRPr="00D84146" w:rsidRDefault="00D91137" w:rsidP="00D91137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 w:cstheme="minorHAnsi"/>
          <w:lang w:val="it-IT" w:eastAsia="zh-CN"/>
        </w:rPr>
      </w:pPr>
      <w:r w:rsidRPr="00D84146">
        <w:rPr>
          <w:rFonts w:asciiTheme="minorHAnsi" w:eastAsia="SimSun" w:hAnsiTheme="minorHAnsi" w:cstheme="minorHAnsi"/>
          <w:lang w:eastAsia="zh-CN"/>
        </w:rPr>
        <w:t>[8]</w:t>
      </w:r>
      <w:r w:rsidRPr="00D84146">
        <w:rPr>
          <w:rFonts w:asciiTheme="minorHAnsi" w:eastAsia="SimSun" w:hAnsiTheme="minorHAnsi" w:cstheme="minorHAnsi"/>
          <w:lang w:eastAsia="zh-CN"/>
        </w:rPr>
        <w:tab/>
        <w:t xml:space="preserve">K. Saito, T. </w:t>
      </w:r>
      <w:proofErr w:type="spellStart"/>
      <w:r w:rsidRPr="00D84146">
        <w:rPr>
          <w:rFonts w:asciiTheme="minorHAnsi" w:eastAsia="SimSun" w:hAnsiTheme="minorHAnsi" w:cstheme="minorHAnsi"/>
          <w:lang w:eastAsia="zh-CN"/>
        </w:rPr>
        <w:t>Kakumoto</w:t>
      </w:r>
      <w:proofErr w:type="spellEnd"/>
      <w:r w:rsidRPr="00D84146">
        <w:rPr>
          <w:rFonts w:asciiTheme="minorHAnsi" w:eastAsia="SimSun" w:hAnsiTheme="minorHAnsi" w:cstheme="minorHAnsi"/>
          <w:lang w:eastAsia="zh-CN"/>
        </w:rPr>
        <w:t xml:space="preserve">, J. Chem. </w:t>
      </w:r>
      <w:proofErr w:type="spellStart"/>
      <w:r w:rsidRPr="00D84146">
        <w:rPr>
          <w:rFonts w:asciiTheme="minorHAnsi" w:eastAsia="SimSun" w:hAnsiTheme="minorHAnsi" w:cstheme="minorHAnsi"/>
          <w:lang w:val="it-IT" w:eastAsia="zh-CN"/>
        </w:rPr>
        <w:t>Physics</w:t>
      </w:r>
      <w:proofErr w:type="spellEnd"/>
      <w:r w:rsidRPr="00D84146">
        <w:rPr>
          <w:rFonts w:asciiTheme="minorHAnsi" w:eastAsia="SimSun" w:hAnsiTheme="minorHAnsi" w:cstheme="minorHAnsi"/>
          <w:lang w:val="it-IT" w:eastAsia="zh-CN"/>
        </w:rPr>
        <w:t xml:space="preserve"> 80 (1984) 4989-4996</w:t>
      </w:r>
    </w:p>
    <w:p w:rsidR="00D91137" w:rsidRPr="00D84146" w:rsidRDefault="00D91137" w:rsidP="00D91137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 w:cstheme="minorHAnsi"/>
          <w:lang w:val="it-IT" w:eastAsia="zh-CN"/>
        </w:rPr>
      </w:pPr>
      <w:r w:rsidRPr="00D84146">
        <w:rPr>
          <w:rFonts w:asciiTheme="minorHAnsi" w:eastAsia="SimSun" w:hAnsiTheme="minorHAnsi" w:cstheme="minorHAnsi"/>
          <w:lang w:val="it-IT" w:eastAsia="zh-CN"/>
        </w:rPr>
        <w:t>[9]</w:t>
      </w:r>
      <w:r w:rsidRPr="00D84146">
        <w:rPr>
          <w:rFonts w:asciiTheme="minorHAnsi" w:eastAsia="SimSun" w:hAnsiTheme="minorHAnsi" w:cstheme="minorHAnsi"/>
          <w:lang w:val="it-IT" w:eastAsia="zh-CN"/>
        </w:rPr>
        <w:tab/>
        <w:t xml:space="preserve">F. Proietto, B. Schiavo, </w:t>
      </w:r>
      <w:proofErr w:type="spellStart"/>
      <w:r w:rsidRPr="00D84146">
        <w:rPr>
          <w:rFonts w:asciiTheme="minorHAnsi" w:eastAsia="SimSun" w:hAnsiTheme="minorHAnsi" w:cstheme="minorHAnsi"/>
          <w:lang w:val="it-IT" w:eastAsia="zh-CN"/>
        </w:rPr>
        <w:t>Electrochimica</w:t>
      </w:r>
      <w:proofErr w:type="spellEnd"/>
      <w:r w:rsidRPr="00D84146">
        <w:rPr>
          <w:rFonts w:asciiTheme="minorHAnsi" w:eastAsia="SimSun" w:hAnsiTheme="minorHAnsi" w:cstheme="minorHAnsi"/>
          <w:lang w:val="it-IT" w:eastAsia="zh-CN"/>
        </w:rPr>
        <w:t xml:space="preserve"> acta 277 (2018) 30-40.</w:t>
      </w:r>
    </w:p>
    <w:p w:rsidR="00D91137" w:rsidRPr="00D84146" w:rsidRDefault="00D91137" w:rsidP="00D91137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 w:cstheme="minorHAnsi"/>
          <w:lang w:eastAsia="zh-CN"/>
        </w:rPr>
      </w:pPr>
      <w:r w:rsidRPr="00D84146">
        <w:rPr>
          <w:rFonts w:asciiTheme="minorHAnsi" w:eastAsia="SimSun" w:hAnsiTheme="minorHAnsi" w:cstheme="minorHAnsi"/>
          <w:lang w:eastAsia="zh-CN"/>
        </w:rPr>
        <w:t>[10]</w:t>
      </w:r>
      <w:r w:rsidRPr="00D84146">
        <w:rPr>
          <w:rFonts w:asciiTheme="minorHAnsi" w:eastAsia="SimSun" w:hAnsiTheme="minorHAnsi" w:cstheme="minorHAnsi"/>
          <w:lang w:eastAsia="zh-CN"/>
        </w:rPr>
        <w:tab/>
        <w:t xml:space="preserve">C. </w:t>
      </w:r>
      <w:proofErr w:type="spellStart"/>
      <w:r w:rsidRPr="00D84146">
        <w:rPr>
          <w:rFonts w:asciiTheme="minorHAnsi" w:eastAsia="SimSun" w:hAnsiTheme="minorHAnsi" w:cstheme="minorHAnsi"/>
          <w:lang w:eastAsia="zh-CN"/>
        </w:rPr>
        <w:t>Prestigiacomo</w:t>
      </w:r>
      <w:proofErr w:type="spellEnd"/>
      <w:r w:rsidRPr="00D84146">
        <w:rPr>
          <w:rFonts w:asciiTheme="minorHAnsi" w:eastAsia="SimSun" w:hAnsiTheme="minorHAnsi" w:cstheme="minorHAnsi"/>
          <w:lang w:eastAsia="zh-CN"/>
        </w:rPr>
        <w:t>, P. Costa, The Journal of Supercritical Fluids, 143 (2019) 251-258.</w:t>
      </w:r>
    </w:p>
    <w:p w:rsidR="00D91137" w:rsidRPr="00D84146" w:rsidRDefault="00D91137" w:rsidP="00D91137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 w:cstheme="minorHAnsi"/>
          <w:lang w:eastAsia="zh-CN"/>
        </w:rPr>
      </w:pPr>
      <w:r w:rsidRPr="00D84146">
        <w:rPr>
          <w:rFonts w:asciiTheme="minorHAnsi" w:eastAsia="SimSun" w:hAnsiTheme="minorHAnsi" w:cstheme="minorHAnsi"/>
          <w:lang w:eastAsia="zh-CN"/>
        </w:rPr>
        <w:t>[11]</w:t>
      </w:r>
      <w:r w:rsidRPr="00D84146">
        <w:rPr>
          <w:rFonts w:asciiTheme="minorHAnsi" w:eastAsia="SimSun" w:hAnsiTheme="minorHAnsi" w:cstheme="minorHAnsi"/>
          <w:lang w:eastAsia="zh-CN"/>
        </w:rPr>
        <w:tab/>
        <w:t xml:space="preserve">L. Qian, S. Wang, </w:t>
      </w:r>
      <w:proofErr w:type="spellStart"/>
      <w:r w:rsidRPr="00D84146">
        <w:rPr>
          <w:rFonts w:asciiTheme="minorHAnsi" w:eastAsia="SimSun" w:hAnsiTheme="minorHAnsi" w:cstheme="minorHAnsi"/>
          <w:lang w:eastAsia="zh-CN"/>
        </w:rPr>
        <w:t>Biores</w:t>
      </w:r>
      <w:proofErr w:type="spellEnd"/>
      <w:r w:rsidRPr="00D84146">
        <w:rPr>
          <w:rFonts w:asciiTheme="minorHAnsi" w:eastAsia="SimSun" w:hAnsiTheme="minorHAnsi" w:cstheme="minorHAnsi"/>
          <w:lang w:eastAsia="zh-CN"/>
        </w:rPr>
        <w:t>. Technol. 232 (2017) 27-34.</w:t>
      </w:r>
    </w:p>
    <w:p w:rsidR="00704BDF" w:rsidRPr="00D84146" w:rsidRDefault="00704BDF" w:rsidP="00D91137">
      <w:pPr>
        <w:snapToGrid w:val="0"/>
        <w:spacing w:before="240" w:line="300" w:lineRule="auto"/>
        <w:rPr>
          <w:rFonts w:asciiTheme="minorHAnsi" w:eastAsia="SimSun" w:hAnsiTheme="minorHAnsi" w:cstheme="minorHAnsi"/>
          <w:sz w:val="20"/>
          <w:lang w:val="it-IT" w:eastAsia="zh-CN"/>
        </w:rPr>
      </w:pPr>
    </w:p>
    <w:sectPr w:rsidR="00704BDF" w:rsidRPr="00D8414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A60" w:rsidRDefault="00C53A60" w:rsidP="004F5E36">
      <w:r>
        <w:separator/>
      </w:r>
    </w:p>
  </w:endnote>
  <w:endnote w:type="continuationSeparator" w:id="0">
    <w:p w:rsidR="00C53A60" w:rsidRDefault="00C53A6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A60" w:rsidRDefault="00C53A60" w:rsidP="004F5E36">
      <w:r>
        <w:separator/>
      </w:r>
    </w:p>
  </w:footnote>
  <w:footnote w:type="continuationSeparator" w:id="0">
    <w:p w:rsidR="00C53A60" w:rsidRDefault="00C53A6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B5F19"/>
    <w:multiLevelType w:val="multilevel"/>
    <w:tmpl w:val="1AB27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173FA"/>
    <w:rsid w:val="0003148D"/>
    <w:rsid w:val="00062A9A"/>
    <w:rsid w:val="000954FF"/>
    <w:rsid w:val="000A03B2"/>
    <w:rsid w:val="000D34BE"/>
    <w:rsid w:val="000E36F1"/>
    <w:rsid w:val="000E3A73"/>
    <w:rsid w:val="000E414A"/>
    <w:rsid w:val="000F4C3A"/>
    <w:rsid w:val="00121F52"/>
    <w:rsid w:val="0013121F"/>
    <w:rsid w:val="00132112"/>
    <w:rsid w:val="00134DE4"/>
    <w:rsid w:val="00150E59"/>
    <w:rsid w:val="00184AD6"/>
    <w:rsid w:val="001A4302"/>
    <w:rsid w:val="001B65C1"/>
    <w:rsid w:val="001C295B"/>
    <w:rsid w:val="001C684B"/>
    <w:rsid w:val="001D53FC"/>
    <w:rsid w:val="001D5A08"/>
    <w:rsid w:val="001E0ABA"/>
    <w:rsid w:val="001E1EBD"/>
    <w:rsid w:val="001F2EC7"/>
    <w:rsid w:val="001F34FD"/>
    <w:rsid w:val="001F3BE8"/>
    <w:rsid w:val="001F57E3"/>
    <w:rsid w:val="0020425C"/>
    <w:rsid w:val="002065DB"/>
    <w:rsid w:val="002367BC"/>
    <w:rsid w:val="002447EF"/>
    <w:rsid w:val="0025017A"/>
    <w:rsid w:val="00250648"/>
    <w:rsid w:val="00251550"/>
    <w:rsid w:val="00267E64"/>
    <w:rsid w:val="00270850"/>
    <w:rsid w:val="0027221A"/>
    <w:rsid w:val="00275B61"/>
    <w:rsid w:val="002769FE"/>
    <w:rsid w:val="002907F4"/>
    <w:rsid w:val="002A7DE9"/>
    <w:rsid w:val="002A7E2E"/>
    <w:rsid w:val="002C0E7A"/>
    <w:rsid w:val="002C5A75"/>
    <w:rsid w:val="002D1F12"/>
    <w:rsid w:val="002E540A"/>
    <w:rsid w:val="002F4F28"/>
    <w:rsid w:val="003009B7"/>
    <w:rsid w:val="0030469C"/>
    <w:rsid w:val="00321BE6"/>
    <w:rsid w:val="00335EB0"/>
    <w:rsid w:val="003418D7"/>
    <w:rsid w:val="00342D38"/>
    <w:rsid w:val="003723D4"/>
    <w:rsid w:val="00384CF5"/>
    <w:rsid w:val="00391AC2"/>
    <w:rsid w:val="003A7D1C"/>
    <w:rsid w:val="00423439"/>
    <w:rsid w:val="00436ABE"/>
    <w:rsid w:val="004411A6"/>
    <w:rsid w:val="00446BD6"/>
    <w:rsid w:val="00450517"/>
    <w:rsid w:val="0046164A"/>
    <w:rsid w:val="0046201D"/>
    <w:rsid w:val="00462DCD"/>
    <w:rsid w:val="00466DE5"/>
    <w:rsid w:val="004A1E10"/>
    <w:rsid w:val="004C6931"/>
    <w:rsid w:val="004D1162"/>
    <w:rsid w:val="004E4DD6"/>
    <w:rsid w:val="004F563B"/>
    <w:rsid w:val="004F5E36"/>
    <w:rsid w:val="005119A5"/>
    <w:rsid w:val="005278B7"/>
    <w:rsid w:val="005346C8"/>
    <w:rsid w:val="0054750D"/>
    <w:rsid w:val="005515E6"/>
    <w:rsid w:val="00594E9F"/>
    <w:rsid w:val="005B61E6"/>
    <w:rsid w:val="005C77E1"/>
    <w:rsid w:val="005D0596"/>
    <w:rsid w:val="005D6A2F"/>
    <w:rsid w:val="005E1A82"/>
    <w:rsid w:val="005F0A28"/>
    <w:rsid w:val="005F0E5E"/>
    <w:rsid w:val="00602A70"/>
    <w:rsid w:val="00605113"/>
    <w:rsid w:val="00620DEE"/>
    <w:rsid w:val="00625639"/>
    <w:rsid w:val="006366F8"/>
    <w:rsid w:val="0064184D"/>
    <w:rsid w:val="00660E3E"/>
    <w:rsid w:val="00662E74"/>
    <w:rsid w:val="00664FF7"/>
    <w:rsid w:val="006B01AC"/>
    <w:rsid w:val="006B0CAF"/>
    <w:rsid w:val="006C5579"/>
    <w:rsid w:val="006E0171"/>
    <w:rsid w:val="00704BDF"/>
    <w:rsid w:val="0070668C"/>
    <w:rsid w:val="00736B13"/>
    <w:rsid w:val="007447F3"/>
    <w:rsid w:val="00745C1F"/>
    <w:rsid w:val="00756A54"/>
    <w:rsid w:val="00760BB1"/>
    <w:rsid w:val="007661C8"/>
    <w:rsid w:val="00766883"/>
    <w:rsid w:val="00774BA6"/>
    <w:rsid w:val="007D52CD"/>
    <w:rsid w:val="007F1BD6"/>
    <w:rsid w:val="0081007C"/>
    <w:rsid w:val="00813288"/>
    <w:rsid w:val="008168FC"/>
    <w:rsid w:val="00822316"/>
    <w:rsid w:val="00831666"/>
    <w:rsid w:val="00836EB2"/>
    <w:rsid w:val="008479A2"/>
    <w:rsid w:val="008549A5"/>
    <w:rsid w:val="0087637F"/>
    <w:rsid w:val="0088197F"/>
    <w:rsid w:val="008A1512"/>
    <w:rsid w:val="008B6626"/>
    <w:rsid w:val="008B6A15"/>
    <w:rsid w:val="008C76AF"/>
    <w:rsid w:val="008D0BEB"/>
    <w:rsid w:val="008E566E"/>
    <w:rsid w:val="00901EB6"/>
    <w:rsid w:val="0091114C"/>
    <w:rsid w:val="00926476"/>
    <w:rsid w:val="009450CE"/>
    <w:rsid w:val="00946159"/>
    <w:rsid w:val="0095164B"/>
    <w:rsid w:val="00975CEF"/>
    <w:rsid w:val="00977FA9"/>
    <w:rsid w:val="009807DE"/>
    <w:rsid w:val="00996483"/>
    <w:rsid w:val="009C6292"/>
    <w:rsid w:val="009C75F2"/>
    <w:rsid w:val="009E195C"/>
    <w:rsid w:val="009E788A"/>
    <w:rsid w:val="00A1763D"/>
    <w:rsid w:val="00A17CEC"/>
    <w:rsid w:val="00A244C8"/>
    <w:rsid w:val="00A27EF0"/>
    <w:rsid w:val="00A6570C"/>
    <w:rsid w:val="00A76EFC"/>
    <w:rsid w:val="00A903EC"/>
    <w:rsid w:val="00A97F29"/>
    <w:rsid w:val="00AB0964"/>
    <w:rsid w:val="00AB113C"/>
    <w:rsid w:val="00AD23E3"/>
    <w:rsid w:val="00AE377D"/>
    <w:rsid w:val="00AE7FEC"/>
    <w:rsid w:val="00B31053"/>
    <w:rsid w:val="00B34CA2"/>
    <w:rsid w:val="00B61DBF"/>
    <w:rsid w:val="00B70D4A"/>
    <w:rsid w:val="00B85E28"/>
    <w:rsid w:val="00BA2418"/>
    <w:rsid w:val="00BC019C"/>
    <w:rsid w:val="00BC30C9"/>
    <w:rsid w:val="00BE16AC"/>
    <w:rsid w:val="00BE3E58"/>
    <w:rsid w:val="00BE6427"/>
    <w:rsid w:val="00C01616"/>
    <w:rsid w:val="00C0162B"/>
    <w:rsid w:val="00C0567D"/>
    <w:rsid w:val="00C345B1"/>
    <w:rsid w:val="00C40142"/>
    <w:rsid w:val="00C4090D"/>
    <w:rsid w:val="00C42644"/>
    <w:rsid w:val="00C53A60"/>
    <w:rsid w:val="00C547C7"/>
    <w:rsid w:val="00C57182"/>
    <w:rsid w:val="00C655FD"/>
    <w:rsid w:val="00C94434"/>
    <w:rsid w:val="00C9502C"/>
    <w:rsid w:val="00CA101B"/>
    <w:rsid w:val="00CA1C95"/>
    <w:rsid w:val="00CA5A9C"/>
    <w:rsid w:val="00CA79F7"/>
    <w:rsid w:val="00CB21BF"/>
    <w:rsid w:val="00CC3F4B"/>
    <w:rsid w:val="00CD5FE2"/>
    <w:rsid w:val="00CD614A"/>
    <w:rsid w:val="00D025BF"/>
    <w:rsid w:val="00D02B4C"/>
    <w:rsid w:val="00D21A1F"/>
    <w:rsid w:val="00D275EF"/>
    <w:rsid w:val="00D407AD"/>
    <w:rsid w:val="00D53260"/>
    <w:rsid w:val="00D66505"/>
    <w:rsid w:val="00D77DE5"/>
    <w:rsid w:val="00D81B97"/>
    <w:rsid w:val="00D8324D"/>
    <w:rsid w:val="00D84146"/>
    <w:rsid w:val="00D84576"/>
    <w:rsid w:val="00D91137"/>
    <w:rsid w:val="00DE0019"/>
    <w:rsid w:val="00DE264A"/>
    <w:rsid w:val="00E041E7"/>
    <w:rsid w:val="00E23CA1"/>
    <w:rsid w:val="00E409A8"/>
    <w:rsid w:val="00E47211"/>
    <w:rsid w:val="00E61CD1"/>
    <w:rsid w:val="00E7209D"/>
    <w:rsid w:val="00E84F13"/>
    <w:rsid w:val="00EA50E1"/>
    <w:rsid w:val="00EC191C"/>
    <w:rsid w:val="00ED698B"/>
    <w:rsid w:val="00EE0131"/>
    <w:rsid w:val="00EF6572"/>
    <w:rsid w:val="00F30C64"/>
    <w:rsid w:val="00F53E68"/>
    <w:rsid w:val="00F864DB"/>
    <w:rsid w:val="00FB730C"/>
    <w:rsid w:val="00FC0CE7"/>
    <w:rsid w:val="00FC2695"/>
    <w:rsid w:val="00FC3E03"/>
    <w:rsid w:val="00FC4006"/>
    <w:rsid w:val="00FC7481"/>
    <w:rsid w:val="00FE544B"/>
    <w:rsid w:val="00FE6A2D"/>
    <w:rsid w:val="00FF1FF0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2FC004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Enfasicorsivo">
    <w:name w:val="Emphasis"/>
    <w:basedOn w:val="Carpredefinitoparagrafo"/>
    <w:uiPriority w:val="20"/>
    <w:qFormat/>
    <w:locked/>
    <w:rsid w:val="0088197F"/>
    <w:rPr>
      <w:i/>
      <w:iCs/>
    </w:rPr>
  </w:style>
  <w:style w:type="paragraph" w:styleId="Revisione">
    <w:name w:val="Revision"/>
    <w:hidden/>
    <w:uiPriority w:val="99"/>
    <w:semiHidden/>
    <w:rsid w:val="001C295B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52703-5C92-344D-80B3-67BBADC7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UdMO</cp:lastModifiedBy>
  <cp:revision>3</cp:revision>
  <cp:lastPrinted>2015-05-12T18:31:00Z</cp:lastPrinted>
  <dcterms:created xsi:type="dcterms:W3CDTF">2019-02-28T15:57:00Z</dcterms:created>
  <dcterms:modified xsi:type="dcterms:W3CDTF">2019-02-28T16:06:00Z</dcterms:modified>
</cp:coreProperties>
</file>