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F616DB" w:rsidRDefault="00F616DB" w:rsidP="00F616DB">
      <w:pPr>
        <w:snapToGrid w:val="0"/>
        <w:spacing w:after="360"/>
        <w:jc w:val="center"/>
        <w:rPr>
          <w:rFonts w:ascii="Calibri" w:eastAsia="MS PGothic" w:hAnsi="Calibri"/>
          <w:b/>
          <w:bCs/>
          <w:sz w:val="28"/>
          <w:szCs w:val="28"/>
          <w:lang w:val="en-US" w:eastAsia="ko-KR"/>
        </w:rPr>
      </w:pPr>
      <w:r w:rsidRPr="00D96CEE">
        <w:rPr>
          <w:rFonts w:ascii="Calibri" w:eastAsia="MS PGothic" w:hAnsi="Calibri"/>
          <w:b/>
          <w:bCs/>
          <w:sz w:val="28"/>
          <w:szCs w:val="28"/>
          <w:lang w:val="en-US"/>
        </w:rPr>
        <w:t>The influence of water addition in Pre-Treatment of Sugarcane Straw Using Three Different Ionic Liquids</w:t>
      </w:r>
    </w:p>
    <w:p w:rsidR="00DE0019" w:rsidRPr="00F616DB" w:rsidRDefault="00F616DB" w:rsidP="00F616DB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D96CEE">
        <w:rPr>
          <w:rFonts w:ascii="Calibri" w:eastAsia="SimSun" w:hAnsi="Calibri"/>
          <w:color w:val="000000"/>
          <w:sz w:val="24"/>
          <w:szCs w:val="24"/>
          <w:u w:val="single"/>
          <w:lang w:val="pt-BR" w:eastAsia="zh-CN"/>
        </w:rPr>
        <w:t>Felipe Ferrari</w:t>
      </w:r>
      <w:r w:rsidRPr="00D96CEE">
        <w:rPr>
          <w:rFonts w:ascii="Calibri" w:eastAsia="SimSun" w:hAnsi="Calibri"/>
          <w:color w:val="000000"/>
          <w:sz w:val="24"/>
          <w:szCs w:val="24"/>
          <w:u w:val="single"/>
          <w:vertAlign w:val="superscript"/>
          <w:lang w:val="pt-BR" w:eastAsia="zh-CN"/>
        </w:rPr>
        <w:t>1*</w:t>
      </w:r>
      <w:r w:rsidRPr="00D96CEE">
        <w:rPr>
          <w:rFonts w:ascii="Calibri" w:eastAsia="SimSun" w:hAnsi="Calibri"/>
          <w:color w:val="000000"/>
          <w:sz w:val="24"/>
          <w:szCs w:val="24"/>
          <w:lang w:val="pt-BR" w:eastAsia="zh-CN"/>
        </w:rPr>
        <w:t>, Ariel Hijo</w:t>
      </w:r>
      <w:r w:rsidRPr="00D96CEE">
        <w:rPr>
          <w:rFonts w:ascii="Calibri" w:eastAsia="SimSun" w:hAnsi="Calibri"/>
          <w:color w:val="000000"/>
          <w:sz w:val="24"/>
          <w:szCs w:val="24"/>
          <w:vertAlign w:val="superscript"/>
          <w:lang w:val="pt-BR" w:eastAsia="zh-CN"/>
        </w:rPr>
        <w:t>1</w:t>
      </w:r>
      <w:r w:rsidRPr="00D96CEE">
        <w:rPr>
          <w:rFonts w:ascii="Calibri" w:eastAsia="SimSun" w:hAnsi="Calibri"/>
          <w:color w:val="000000"/>
          <w:sz w:val="24"/>
          <w:szCs w:val="24"/>
          <w:lang w:val="pt-BR" w:eastAsia="zh-CN"/>
        </w:rPr>
        <w:t>, Jorge Pereira</w:t>
      </w:r>
      <w:r w:rsidRPr="00D96CEE">
        <w:rPr>
          <w:rFonts w:ascii="Calibri" w:eastAsia="SimSun" w:hAnsi="Calibri"/>
          <w:color w:val="000000"/>
          <w:sz w:val="24"/>
          <w:szCs w:val="24"/>
          <w:vertAlign w:val="superscript"/>
          <w:lang w:val="pt-BR" w:eastAsia="zh-CN"/>
        </w:rPr>
        <w:t>2</w:t>
      </w:r>
      <w:r w:rsidRPr="00154D13">
        <w:rPr>
          <w:rFonts w:ascii="Calibri" w:eastAsia="SimSun" w:hAnsi="Calibri"/>
          <w:color w:val="000000"/>
          <w:sz w:val="24"/>
          <w:szCs w:val="24"/>
          <w:lang w:val="pt-BR" w:eastAsia="zh-CN"/>
        </w:rPr>
        <w:t xml:space="preserve">, </w:t>
      </w:r>
      <w:r w:rsidRPr="00154D13">
        <w:rPr>
          <w:rFonts w:ascii="Calibri" w:eastAsia="SimSun" w:hAnsi="Calibri"/>
          <w:color w:val="000000"/>
          <w:sz w:val="24"/>
          <w:szCs w:val="24"/>
          <w:u w:val="single"/>
          <w:lang w:val="pt-BR" w:eastAsia="zh-CN"/>
        </w:rPr>
        <w:t>Marcus Forte</w:t>
      </w:r>
      <w:r w:rsidRPr="00154D13">
        <w:rPr>
          <w:rFonts w:ascii="Calibri" w:eastAsia="SimSun" w:hAnsi="Calibr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Pr="00154D13">
        <w:rPr>
          <w:rFonts w:ascii="Calibri" w:eastAsia="SimSun" w:hAnsi="Calibri"/>
          <w:color w:val="000000"/>
          <w:sz w:val="24"/>
          <w:szCs w:val="24"/>
          <w:vertAlign w:val="superscript"/>
          <w:lang w:val="pt-BR" w:eastAsia="zh-CN"/>
        </w:rPr>
        <w:t>*</w:t>
      </w:r>
      <w:r w:rsidRPr="00D96CEE">
        <w:rPr>
          <w:rFonts w:ascii="Calibri" w:eastAsia="SimSun" w:hAnsi="Calibri"/>
          <w:color w:val="000000"/>
          <w:sz w:val="24"/>
          <w:szCs w:val="24"/>
          <w:lang w:val="pt-BR" w:eastAsia="zh-CN"/>
        </w:rPr>
        <w:t xml:space="preserve"> </w:t>
      </w:r>
      <w:r w:rsidR="00DE0019" w:rsidRPr="00F616DB">
        <w:rPr>
          <w:rFonts w:eastAsia="SimSun"/>
          <w:color w:val="000000"/>
          <w:lang w:val="pt-BR" w:eastAsia="zh-CN"/>
        </w:rPr>
        <w:t xml:space="preserve"> </w:t>
      </w:r>
    </w:p>
    <w:p w:rsidR="00F616DB" w:rsidRPr="005E1F45" w:rsidRDefault="00F616DB" w:rsidP="00F616DB">
      <w:pPr>
        <w:snapToGrid w:val="0"/>
        <w:spacing w:after="120"/>
        <w:jc w:val="center"/>
        <w:rPr>
          <w:rFonts w:eastAsia="MS PGothic" w:cs="Arial"/>
          <w:i/>
          <w:iCs/>
          <w:color w:val="000000"/>
          <w:sz w:val="20"/>
          <w:lang w:val="en-US"/>
        </w:rPr>
      </w:pPr>
      <w:r w:rsidRPr="005E1F45">
        <w:rPr>
          <w:rFonts w:eastAsia="MS PGothic" w:cs="Arial"/>
          <w:i/>
          <w:iCs/>
          <w:color w:val="000000"/>
          <w:sz w:val="20"/>
          <w:lang w:val="en-US"/>
        </w:rPr>
        <w:t>1</w:t>
      </w:r>
      <w:r w:rsidRPr="005E1F45">
        <w:rPr>
          <w:rFonts w:cs="Arial"/>
          <w:lang w:val="en-US"/>
        </w:rPr>
        <w:t xml:space="preserve"> </w:t>
      </w:r>
      <w:r w:rsidRPr="005E1F45">
        <w:rPr>
          <w:rFonts w:eastAsia="MS PGothic" w:cs="Arial"/>
          <w:i/>
          <w:iCs/>
          <w:color w:val="000000"/>
          <w:sz w:val="20"/>
          <w:lang w:val="en-US"/>
        </w:rPr>
        <w:t xml:space="preserve">Faculty of Food Engineering, University of Campinas (UNICAMP), Campinas 13083-862, SP, Brazil; 2 School of Pharmaceutical Sciences, São Paulo State University (UNESP), </w:t>
      </w:r>
      <w:proofErr w:type="spellStart"/>
      <w:r w:rsidRPr="005E1F45">
        <w:rPr>
          <w:rFonts w:eastAsia="MS PGothic" w:cs="Arial"/>
          <w:i/>
          <w:iCs/>
          <w:color w:val="000000"/>
          <w:sz w:val="20"/>
          <w:lang w:val="en-US"/>
        </w:rPr>
        <w:t>Rodovia</w:t>
      </w:r>
      <w:proofErr w:type="spellEnd"/>
      <w:r w:rsidRPr="005E1F45">
        <w:rPr>
          <w:rFonts w:eastAsia="MS PGothic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5E1F45">
        <w:rPr>
          <w:rFonts w:eastAsia="MS PGothic" w:cs="Arial"/>
          <w:i/>
          <w:iCs/>
          <w:color w:val="000000"/>
          <w:sz w:val="20"/>
          <w:lang w:val="en-US"/>
        </w:rPr>
        <w:t>Araraquara-Jau</w:t>
      </w:r>
      <w:proofErr w:type="spellEnd"/>
      <w:r w:rsidRPr="005E1F45">
        <w:rPr>
          <w:rFonts w:eastAsia="MS PGothic" w:cs="Arial"/>
          <w:i/>
          <w:iCs/>
          <w:color w:val="000000"/>
          <w:sz w:val="20"/>
          <w:lang w:val="en-US"/>
        </w:rPr>
        <w:t xml:space="preserve">́/Km 01, Campos Ville, 14800-903 </w:t>
      </w:r>
      <w:proofErr w:type="spellStart"/>
      <w:r w:rsidRPr="005E1F45">
        <w:rPr>
          <w:rFonts w:eastAsia="MS PGothic" w:cs="Arial"/>
          <w:i/>
          <w:iCs/>
          <w:color w:val="000000"/>
          <w:sz w:val="20"/>
          <w:lang w:val="en-US"/>
        </w:rPr>
        <w:t>Araraquara</w:t>
      </w:r>
      <w:proofErr w:type="spellEnd"/>
      <w:r w:rsidRPr="005E1F45">
        <w:rPr>
          <w:rFonts w:eastAsia="MS PGothic" w:cs="Arial"/>
          <w:i/>
          <w:iCs/>
          <w:color w:val="000000"/>
          <w:sz w:val="20"/>
          <w:lang w:val="en-US"/>
        </w:rPr>
        <w:t>, SP, Brazil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F616DB" w:rsidRPr="00D96CEE">
          <w:rPr>
            <w:rStyle w:val="Hyperlink"/>
            <w:rFonts w:ascii="Calibri" w:eastAsia="MS PGothic" w:hAnsi="Calibri"/>
            <w:bCs/>
            <w:i/>
            <w:iCs/>
            <w:sz w:val="20"/>
            <w:lang w:val="en-US"/>
          </w:rPr>
          <w:t>ferrari.faf@gmail.com</w:t>
        </w:r>
      </w:hyperlink>
      <w:r w:rsidR="00F616DB" w:rsidRPr="00D96CEE">
        <w:rPr>
          <w:rFonts w:ascii="Calibri" w:eastAsia="MS PGothic" w:hAnsi="Calibri"/>
          <w:bCs/>
          <w:i/>
          <w:iCs/>
          <w:sz w:val="20"/>
          <w:lang w:val="en-US"/>
        </w:rPr>
        <w:t xml:space="preserve"> / </w:t>
      </w:r>
      <w:hyperlink r:id="rId11" w:history="1">
        <w:r w:rsidR="00F616DB" w:rsidRPr="00D96CEE">
          <w:rPr>
            <w:rStyle w:val="Hyperlink"/>
            <w:rFonts w:ascii="Calibri" w:eastAsia="MS PGothic" w:hAnsi="Calibri"/>
            <w:bCs/>
            <w:i/>
            <w:iCs/>
            <w:sz w:val="20"/>
            <w:lang w:val="en-US"/>
          </w:rPr>
          <w:t>forte@unicamp.br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F616DB" w:rsidRPr="00D96CEE" w:rsidRDefault="00F616DB" w:rsidP="00F616D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D96CEE">
        <w:rPr>
          <w:rFonts w:ascii="Calibri" w:hAnsi="Calibri"/>
        </w:rPr>
        <w:t>Acetate based ILs had better performance on dry straw pre-treatment.</w:t>
      </w:r>
    </w:p>
    <w:p w:rsidR="00F616DB" w:rsidRPr="00D96CEE" w:rsidRDefault="00F616DB" w:rsidP="00F616D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D96CEE">
        <w:rPr>
          <w:rFonts w:ascii="Calibri" w:hAnsi="Calibri"/>
        </w:rPr>
        <w:t>[</w:t>
      </w:r>
      <w:proofErr w:type="spellStart"/>
      <w:r w:rsidRPr="00D96CEE">
        <w:rPr>
          <w:rFonts w:ascii="Calibri" w:hAnsi="Calibri"/>
        </w:rPr>
        <w:t>Emin</w:t>
      </w:r>
      <w:proofErr w:type="spellEnd"/>
      <w:r w:rsidRPr="00D96CEE">
        <w:rPr>
          <w:rFonts w:ascii="Calibri" w:hAnsi="Calibri"/>
        </w:rPr>
        <w:t xml:space="preserve">][Ac] showed the best aptitude to pre-treat the dry straw. </w:t>
      </w:r>
    </w:p>
    <w:p w:rsidR="00F616DB" w:rsidRPr="00D96CEE" w:rsidRDefault="00F616DB" w:rsidP="00F616D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D96CEE">
        <w:rPr>
          <w:rFonts w:ascii="Calibri" w:hAnsi="Calibri"/>
        </w:rPr>
        <w:t>[</w:t>
      </w:r>
      <w:proofErr w:type="spellStart"/>
      <w:r w:rsidRPr="00D96CEE">
        <w:rPr>
          <w:rFonts w:ascii="Calibri" w:hAnsi="Calibri"/>
        </w:rPr>
        <w:t>Emin</w:t>
      </w:r>
      <w:proofErr w:type="spellEnd"/>
      <w:r w:rsidRPr="00D96CEE">
        <w:rPr>
          <w:rFonts w:ascii="Calibri" w:hAnsi="Calibri"/>
        </w:rPr>
        <w:t xml:space="preserve">][Ac] was the most impacted by water addition. </w:t>
      </w:r>
    </w:p>
    <w:p w:rsidR="00704BDF" w:rsidRPr="00F616DB" w:rsidRDefault="00F616DB" w:rsidP="00F616D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D96CEE">
        <w:rPr>
          <w:rFonts w:ascii="Calibri" w:hAnsi="Calibri"/>
        </w:rPr>
        <w:t>[Mea][Hex] was the only IL positively affected by water addition, regarding enzymatic digestibility.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616DB" w:rsidRDefault="00F616DB" w:rsidP="00C867B1">
      <w:pPr>
        <w:snapToGrid w:val="0"/>
        <w:spacing w:after="120"/>
        <w:rPr>
          <w:rFonts w:ascii="Calibri" w:eastAsia="MS PGothic" w:hAnsi="Calibri"/>
          <w:color w:val="000000"/>
          <w:sz w:val="22"/>
          <w:szCs w:val="22"/>
          <w:lang w:val="en-US"/>
        </w:rPr>
      </w:pPr>
      <w:r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   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The replacement of fossil fuels by renewable alternatives has been studied in order to mitigate the environmental impact of energy production. However, the use of 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lignocellulosic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(LC) residues, such as sugar cane straw (SW) to the synthesis of biofuels, demands pre-treatment, due to its complexity. The recent use of ionic liquids (ILs) in this process emerges as a strategy to overcome the problems faced, such as high-energy demand and inhibitory compounds production</w:t>
      </w:r>
      <w:r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</w:t>
      </w:r>
      <w:r w:rsidRPr="00AF2F73">
        <w:rPr>
          <w:rFonts w:ascii="Calibri" w:eastAsia="MS PGothic" w:hAnsi="Calibri"/>
          <w:color w:val="000000"/>
          <w:sz w:val="22"/>
          <w:szCs w:val="22"/>
          <w:vertAlign w:val="superscript"/>
          <w:lang w:val="en-US"/>
        </w:rPr>
        <w:t>1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. The ILs´ aptitude to efficient pre-treat SW in presence of water is crucial since LC materials are highly hydrophilic, and water addition is one strategy to overcome the hurdle of IL cost.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F616DB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   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Brazilian Bioethanol Science and Technology Laboratory (CTBE) provided the grinded straw. Sieves (between 16 and 24 mesh) were used as feedstock for pre-treatments. Chemical composition was assessed before and after each experiment using NREL31 methodology adapted from CTBE. 1-ethyl-3-methylimidazolium acetate ([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Emim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][Ac], 98 % pure) was purchased from 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Iolitec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(Germany) and used as received. 2-hydroxyethylammonium acetate ([Mea][Ac]) and 2-hydroxyethylammonium 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hexanoate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([Mea][Hex]) were synthetized in Schott flasks through acid-basic neutralization. All other chemicals and standards were purchased from Sigma Aldrich (Germany) and used as received. Enzymatic hydrolysis was performed in 1.5 mL plastic tubes using 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Cellic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CTec2 (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Novozymes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), at 5% (w/w) of solid loading and 10 FPU of enzyme per gram of biomass. Hydrolysis was carried out in pH 4.8, citrate buffer, for </w:t>
      </w:r>
      <w:r w:rsidRPr="00795F28">
        <w:rPr>
          <w:rFonts w:ascii="Calibri" w:eastAsia="MS PGothic" w:hAnsi="Calibri"/>
          <w:color w:val="000000"/>
          <w:sz w:val="22"/>
          <w:szCs w:val="22"/>
          <w:lang w:val="en-US"/>
        </w:rPr>
        <w:t>48h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. The enzymatic digestibility of cellulose and hemicellulose was calculated according the relationship between initial solid mass and sugars concentration from supernatant (adapted from NREL’s LAP TP-510-4363031,32 ). Pre-treatment assays were done in triplicate. 0.6 g of dry SW was mixed with pure IL, and with IL 70 %(w/w) in H2O solution at 6% (w/w) solid loading, and then placed, in a convection oven at 90 °C for 12h. After the pre-treatment 10 g of water were added to each sample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F616DB" w:rsidP="001C3FC9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   The process using [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Emin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][Ac] had the best performance among the tested pure IL, entailing in 100 % of glucose realize after enzymatic digestion, followed by [Mea][Ac] and [Mea][Hex] 69 % and 46 %, respectively, without water addition.  Both [Ac]</w:t>
      </w:r>
      <w:r w:rsidRPr="00D96CEE">
        <w:rPr>
          <w:rFonts w:ascii="Calibri" w:eastAsia="MS PGothic" w:hAnsi="Calibri"/>
          <w:color w:val="000000"/>
          <w:sz w:val="22"/>
          <w:szCs w:val="22"/>
          <w:vertAlign w:val="superscript"/>
          <w:lang w:val="en-US"/>
        </w:rPr>
        <w:t>-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based IL had similar performance on hemicellulose digestibility, 54 % for [Mea][Ac] and 55 % for [</w:t>
      </w:r>
      <w:proofErr w:type="spellStart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Emin</w:t>
      </w:r>
      <w:proofErr w:type="spellEnd"/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][Ac]. Although acetate based ILs are described as good enhancers on biomass pre-treatment</w:t>
      </w:r>
      <w:r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eastAsia="MS PGothic" w:hAnsi="Calibri"/>
          <w:color w:val="000000"/>
          <w:sz w:val="22"/>
          <w:szCs w:val="22"/>
          <w:vertAlign w:val="superscript"/>
          <w:lang w:val="en-US"/>
        </w:rPr>
        <w:t>2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>, it is evident that changes of cations also play an important role on IL aptitude to pre-treat LC, mainly on cellulosic portion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DE0019" w:rsidRDefault="00F616DB" w:rsidP="00F616DB">
      <w:pPr>
        <w:snapToGrid w:val="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nl-NL" w:eastAsia="nl-NL"/>
        </w:rPr>
        <w:drawing>
          <wp:inline distT="0" distB="0" distL="0" distR="0" wp14:anchorId="58C99668">
            <wp:extent cx="5392420" cy="1873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99" cy="188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F616DB" w:rsidRPr="00D96CEE">
        <w:rPr>
          <w:rFonts w:ascii="Calibri" w:eastAsia="MS PGothic" w:hAnsi="Calibri"/>
          <w:color w:val="000000"/>
          <w:szCs w:val="18"/>
          <w:lang w:val="en-US"/>
        </w:rPr>
        <w:t>Enzymatic digestibility of cellulose (A) and hemicellulose (B) prevenient from residual solids after pre-treatment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F616DB" w:rsidRPr="00DE0019" w:rsidRDefault="00F616DB" w:rsidP="00F616DB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="Calibri" w:eastAsia="MS PGothic" w:hAnsi="Calibri"/>
          <w:color w:val="000000"/>
          <w:sz w:val="22"/>
          <w:szCs w:val="22"/>
          <w:lang w:val="en-US"/>
        </w:rPr>
        <w:tab/>
        <w:t xml:space="preserve">    </w:t>
      </w:r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>Nevertheless, in presence of water, [Mea][Hex] had the best performance among the tested IL, showing an opposite effect in this circumstance. Instead of the negative effect as observed in [Mea][Ac] and [</w:t>
      </w:r>
      <w:proofErr w:type="spellStart"/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>Emin</w:t>
      </w:r>
      <w:proofErr w:type="spellEnd"/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][Ac] process, water addition enhanced cellulose and hemicellulose digestibility in 49 % and 89 %, respectively. Acetate based ILs are good hydrogen bound acceptor, reason why IL species with this anion have good performance on LC pre-treatment </w:t>
      </w:r>
      <w:r w:rsidRPr="00F616DB">
        <w:rPr>
          <w:rFonts w:ascii="Calibri" w:eastAsia="MS PGothic" w:hAnsi="Calibri"/>
          <w:color w:val="000000"/>
          <w:sz w:val="22"/>
          <w:szCs w:val="22"/>
          <w:vertAlign w:val="superscript"/>
          <w:lang w:val="en-US"/>
        </w:rPr>
        <w:t>3</w:t>
      </w:r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, which also lead to higher interaction with water through hydrogen bound. Moreover, water tends to interact closely to the charged areas of IL (hydrophilic moiety) </w:t>
      </w:r>
      <w:r w:rsidRPr="00F616DB">
        <w:rPr>
          <w:rFonts w:ascii="Calibri" w:eastAsia="MS PGothic" w:hAnsi="Calibri"/>
          <w:color w:val="000000"/>
          <w:sz w:val="22"/>
          <w:szCs w:val="22"/>
          <w:vertAlign w:val="superscript"/>
          <w:lang w:val="en-US"/>
        </w:rPr>
        <w:t>4</w:t>
      </w:r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, the longer chain length of </w:t>
      </w:r>
      <w:proofErr w:type="spellStart"/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>hexanoate</w:t>
      </w:r>
      <w:proofErr w:type="spellEnd"/>
      <w:r w:rsidRPr="00F616DB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anion my difficult the solvation of the molecule, thus allowing it to interact more efficiently with LC matrix than acetate in presence of water.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F616D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   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Considering enzymatic digestibility as criteria, [Mea][Hex] </w:t>
      </w:r>
      <w:r w:rsidRPr="00EC4567">
        <w:rPr>
          <w:rFonts w:ascii="Calibri" w:eastAsia="MS PGothic" w:hAnsi="Calibri"/>
          <w:color w:val="000000"/>
          <w:sz w:val="22"/>
          <w:szCs w:val="22"/>
          <w:lang w:val="en-US"/>
        </w:rPr>
        <w:t>showed the best performance</w:t>
      </w:r>
      <w:r w:rsidRPr="00D96CE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regarding water addition (the same values of cellulose and hemicellulose digestibility comparing with the pure [Mea][Ac]). </w:t>
      </w:r>
      <w:r>
        <w:rPr>
          <w:rFonts w:ascii="Calibri" w:eastAsia="MS PGothic" w:hAnsi="Calibri"/>
          <w:color w:val="000000"/>
          <w:sz w:val="22"/>
          <w:szCs w:val="22"/>
          <w:lang w:val="en-US"/>
        </w:rPr>
        <w:t>The acetate based ILs were negatively impacted by water presence</w:t>
      </w:r>
      <w:r w:rsidRPr="00EC4567">
        <w:rPr>
          <w:rFonts w:ascii="Calibri" w:eastAsia="MS PGothic" w:hAnsi="Calibri"/>
          <w:color w:val="000000"/>
          <w:sz w:val="22"/>
          <w:szCs w:val="22"/>
          <w:lang w:val="en-US"/>
        </w:rPr>
        <w:t>. Moreover, [</w:t>
      </w:r>
      <w:proofErr w:type="spellStart"/>
      <w:r w:rsidRPr="00EC4567">
        <w:rPr>
          <w:rFonts w:ascii="Calibri" w:eastAsia="MS PGothic" w:hAnsi="Calibri"/>
          <w:color w:val="000000"/>
          <w:sz w:val="22"/>
          <w:szCs w:val="22"/>
          <w:lang w:val="en-US"/>
        </w:rPr>
        <w:t>Emin</w:t>
      </w:r>
      <w:proofErr w:type="spellEnd"/>
      <w:r w:rsidRPr="00EC4567">
        <w:rPr>
          <w:rFonts w:ascii="Calibri" w:eastAsia="MS PGothic" w:hAnsi="Calibri"/>
          <w:color w:val="000000"/>
          <w:sz w:val="22"/>
          <w:szCs w:val="22"/>
          <w:lang w:val="en-US"/>
        </w:rPr>
        <w:t>][Ac] had the worst stability regarding water addition, in the tested conditions, despite its good performance without water addition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1C3FC9" w:rsidRDefault="001C3FC9" w:rsidP="001C3FC9">
      <w:pPr>
        <w:snapToGrid w:val="0"/>
        <w:spacing w:line="24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1C3FC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Acknowledges</w:t>
      </w:r>
    </w:p>
    <w:p w:rsidR="001C3FC9" w:rsidRPr="001C3FC9" w:rsidRDefault="001C3FC9" w:rsidP="001C3FC9">
      <w:pPr>
        <w:snapToGrid w:val="0"/>
        <w:spacing w:line="240" w:lineRule="auto"/>
        <w:rPr>
          <w:rFonts w:asciiTheme="minorHAnsi" w:eastAsia="MS PGothic" w:hAnsiTheme="minorHAnsi"/>
          <w:b/>
          <w:color w:val="000000"/>
          <w:szCs w:val="22"/>
          <w:lang w:val="en-US"/>
        </w:rPr>
      </w:pPr>
      <w:r w:rsidRPr="001C3FC9">
        <w:rPr>
          <w:rFonts w:asciiTheme="minorHAnsi" w:eastAsia="MS PGothic" w:hAnsiTheme="minorHAnsi"/>
          <w:bCs/>
          <w:color w:val="000000"/>
          <w:lang w:val="en-US"/>
        </w:rPr>
        <w:t xml:space="preserve">    The authors would like to acknowledge FAPESP for financial support, projects 2015/50612-8 and 2017/24520-4.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616DB" w:rsidRPr="00E53C6B" w:rsidRDefault="00F616DB" w:rsidP="00F616D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</w:rPr>
      </w:pPr>
      <w:proofErr w:type="spellStart"/>
      <w:r w:rsidRPr="00E53C6B">
        <w:rPr>
          <w:rFonts w:ascii="Calibri" w:hAnsi="Calibri"/>
          <w:color w:val="000000"/>
        </w:rPr>
        <w:t>Agbor</w:t>
      </w:r>
      <w:proofErr w:type="spellEnd"/>
      <w:r w:rsidRPr="00E53C6B">
        <w:rPr>
          <w:rFonts w:ascii="Calibri" w:hAnsi="Calibri"/>
          <w:color w:val="000000"/>
        </w:rPr>
        <w:t xml:space="preserve">, V. B.; </w:t>
      </w:r>
      <w:proofErr w:type="spellStart"/>
      <w:r w:rsidRPr="00E53C6B">
        <w:rPr>
          <w:rFonts w:ascii="Calibri" w:hAnsi="Calibri"/>
          <w:color w:val="000000"/>
        </w:rPr>
        <w:t>Cicek</w:t>
      </w:r>
      <w:proofErr w:type="spellEnd"/>
      <w:r w:rsidRPr="00E53C6B">
        <w:rPr>
          <w:rFonts w:ascii="Calibri" w:hAnsi="Calibri"/>
          <w:color w:val="000000"/>
        </w:rPr>
        <w:t xml:space="preserve">, N.; Sparling, R.; Berlin, A.; Levin, D. B. Biomass Pretreatment: Fundamentals toward Application. </w:t>
      </w:r>
      <w:proofErr w:type="spellStart"/>
      <w:r w:rsidRPr="00E53C6B">
        <w:rPr>
          <w:rFonts w:ascii="Calibri" w:hAnsi="Calibri"/>
          <w:color w:val="000000"/>
        </w:rPr>
        <w:t>Biotechnol</w:t>
      </w:r>
      <w:proofErr w:type="spellEnd"/>
      <w:r w:rsidRPr="00E53C6B">
        <w:rPr>
          <w:rFonts w:ascii="Calibri" w:hAnsi="Calibri"/>
          <w:color w:val="000000"/>
        </w:rPr>
        <w:t>. Adv. 2011, 29 (6), 675–685.</w:t>
      </w:r>
    </w:p>
    <w:p w:rsidR="00F616DB" w:rsidRPr="00E53C6B" w:rsidRDefault="00F616DB" w:rsidP="00F616D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</w:rPr>
      </w:pPr>
      <w:r w:rsidRPr="00E53C6B">
        <w:rPr>
          <w:rFonts w:ascii="Calibri" w:hAnsi="Calibri"/>
          <w:color w:val="000000"/>
        </w:rPr>
        <w:t xml:space="preserve">Doherty, T. V.; Mora-Pale, M.; Foley, S. E.; </w:t>
      </w:r>
      <w:proofErr w:type="spellStart"/>
      <w:r w:rsidRPr="00E53C6B">
        <w:rPr>
          <w:rFonts w:ascii="Calibri" w:hAnsi="Calibri"/>
          <w:color w:val="000000"/>
        </w:rPr>
        <w:t>Linhardt</w:t>
      </w:r>
      <w:proofErr w:type="spellEnd"/>
      <w:r w:rsidRPr="00E53C6B">
        <w:rPr>
          <w:rFonts w:ascii="Calibri" w:hAnsi="Calibri"/>
          <w:color w:val="000000"/>
        </w:rPr>
        <w:t xml:space="preserve">, R. J.; </w:t>
      </w:r>
      <w:proofErr w:type="spellStart"/>
      <w:r w:rsidRPr="00E53C6B">
        <w:rPr>
          <w:rFonts w:ascii="Calibri" w:hAnsi="Calibri"/>
          <w:color w:val="000000"/>
        </w:rPr>
        <w:t>Dordick</w:t>
      </w:r>
      <w:proofErr w:type="spellEnd"/>
      <w:r w:rsidRPr="00E53C6B">
        <w:rPr>
          <w:rFonts w:ascii="Calibri" w:hAnsi="Calibri"/>
          <w:color w:val="000000"/>
        </w:rPr>
        <w:t>, J. S. Ionic Liquid Solvent Properties as Predictors of Lignocellulose Pretreatment Efficacy. Green Chem. 2010, 12 (11), 1967–1975.</w:t>
      </w:r>
    </w:p>
    <w:p w:rsidR="00F616DB" w:rsidRPr="00E53C6B" w:rsidRDefault="00F616DB" w:rsidP="00F616D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</w:rPr>
      </w:pPr>
      <w:r w:rsidRPr="00E53C6B">
        <w:rPr>
          <w:rFonts w:ascii="Calibri" w:hAnsi="Calibri"/>
          <w:color w:val="000000"/>
        </w:rPr>
        <w:t xml:space="preserve">Brandt, A.; </w:t>
      </w:r>
      <w:proofErr w:type="spellStart"/>
      <w:r w:rsidRPr="00E53C6B">
        <w:rPr>
          <w:rFonts w:ascii="Calibri" w:hAnsi="Calibri"/>
          <w:color w:val="000000"/>
        </w:rPr>
        <w:t>Gräsvik</w:t>
      </w:r>
      <w:proofErr w:type="spellEnd"/>
      <w:r w:rsidRPr="00E53C6B">
        <w:rPr>
          <w:rFonts w:ascii="Calibri" w:hAnsi="Calibri"/>
          <w:color w:val="000000"/>
        </w:rPr>
        <w:t xml:space="preserve">, J.; Hallett, J. P.; </w:t>
      </w:r>
      <w:proofErr w:type="spellStart"/>
      <w:r w:rsidRPr="00E53C6B">
        <w:rPr>
          <w:rFonts w:ascii="Calibri" w:hAnsi="Calibri"/>
          <w:color w:val="000000"/>
        </w:rPr>
        <w:t>Welton</w:t>
      </w:r>
      <w:proofErr w:type="spellEnd"/>
      <w:r w:rsidRPr="00E53C6B">
        <w:rPr>
          <w:rFonts w:ascii="Calibri" w:hAnsi="Calibri"/>
          <w:color w:val="000000"/>
        </w:rPr>
        <w:t xml:space="preserve">, T. Deconstruction of </w:t>
      </w:r>
      <w:proofErr w:type="spellStart"/>
      <w:r w:rsidRPr="00E53C6B">
        <w:rPr>
          <w:rFonts w:ascii="Calibri" w:hAnsi="Calibri"/>
          <w:color w:val="000000"/>
        </w:rPr>
        <w:t>Lignocellulosic</w:t>
      </w:r>
      <w:proofErr w:type="spellEnd"/>
      <w:r w:rsidRPr="00E53C6B">
        <w:rPr>
          <w:rFonts w:ascii="Calibri" w:hAnsi="Calibri"/>
          <w:color w:val="000000"/>
        </w:rPr>
        <w:t xml:space="preserve"> Biomass with Ionic Liquids. Green Chem. 2013, 15 (3), 550–583.</w:t>
      </w:r>
    </w:p>
    <w:p w:rsidR="00704BDF" w:rsidRPr="001C3FC9" w:rsidRDefault="00F616DB" w:rsidP="00E97F2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1C3FC9">
        <w:rPr>
          <w:rFonts w:ascii="Calibri" w:hAnsi="Calibri"/>
          <w:color w:val="000000"/>
        </w:rPr>
        <w:t xml:space="preserve">Sánchez, P. B.; </w:t>
      </w:r>
      <w:proofErr w:type="spellStart"/>
      <w:r w:rsidRPr="001C3FC9">
        <w:rPr>
          <w:rFonts w:ascii="Calibri" w:hAnsi="Calibri"/>
          <w:color w:val="000000"/>
        </w:rPr>
        <w:t>García</w:t>
      </w:r>
      <w:proofErr w:type="spellEnd"/>
      <w:r w:rsidRPr="001C3FC9">
        <w:rPr>
          <w:rFonts w:ascii="Calibri" w:hAnsi="Calibri"/>
          <w:color w:val="000000"/>
        </w:rPr>
        <w:t xml:space="preserve">, J.; </w:t>
      </w:r>
      <w:proofErr w:type="spellStart"/>
      <w:r w:rsidRPr="001C3FC9">
        <w:rPr>
          <w:rFonts w:ascii="Calibri" w:hAnsi="Calibri"/>
          <w:color w:val="000000"/>
        </w:rPr>
        <w:t>Pádua</w:t>
      </w:r>
      <w:proofErr w:type="spellEnd"/>
      <w:r w:rsidRPr="001C3FC9">
        <w:rPr>
          <w:rFonts w:ascii="Calibri" w:hAnsi="Calibri"/>
          <w:color w:val="000000"/>
        </w:rPr>
        <w:t>, A. A. H. Structural Effects on Dynamic and Energetic Properties of Mixtures of Ionic Liquids and Water. J. Mol. Liq. 2017, 242, 204–212</w:t>
      </w:r>
      <w:r w:rsidR="00704BDF" w:rsidRPr="001C3FC9">
        <w:rPr>
          <w:rFonts w:asciiTheme="minorHAnsi" w:hAnsiTheme="minorHAnsi"/>
          <w:color w:val="000000"/>
        </w:rPr>
        <w:t>.</w:t>
      </w:r>
      <w:bookmarkStart w:id="0" w:name="_GoBack"/>
      <w:bookmarkEnd w:id="0"/>
    </w:p>
    <w:sectPr w:rsidR="00704BDF" w:rsidRPr="001C3FC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3FC9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10EB2"/>
    <w:rsid w:val="00E23CA1"/>
    <w:rsid w:val="00E409A8"/>
    <w:rsid w:val="00E7209D"/>
    <w:rsid w:val="00EA50E1"/>
    <w:rsid w:val="00EE0131"/>
    <w:rsid w:val="00F30C64"/>
    <w:rsid w:val="00F616D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D768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uiPriority w:val="99"/>
    <w:unhideWhenUsed/>
    <w:locked/>
    <w:rsid w:val="00F61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te@unicamp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rrari.faf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E2B1-FB85-461A-BBA9-C96CC42F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Felipe Ferrari</cp:lastModifiedBy>
  <cp:revision>3</cp:revision>
  <cp:lastPrinted>2015-05-12T18:31:00Z</cp:lastPrinted>
  <dcterms:created xsi:type="dcterms:W3CDTF">2019-02-28T15:04:00Z</dcterms:created>
  <dcterms:modified xsi:type="dcterms:W3CDTF">2019-02-28T15:27:00Z</dcterms:modified>
</cp:coreProperties>
</file>