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704BDF" w:rsidRPr="00DE0019" w:rsidRDefault="00310B31" w:rsidP="00704BDF">
      <w:pPr>
        <w:snapToGrid w:val="0"/>
        <w:spacing w:after="360"/>
        <w:jc w:val="center"/>
        <w:rPr>
          <w:rFonts w:asciiTheme="minorHAnsi" w:eastAsia="MS PGothic" w:hAnsiTheme="minorHAnsi"/>
          <w:b/>
          <w:bCs/>
          <w:sz w:val="28"/>
          <w:szCs w:val="28"/>
          <w:lang w:val="en-US" w:eastAsia="ko-KR"/>
        </w:rPr>
      </w:pPr>
      <w:bookmarkStart w:id="0" w:name="_Hlk2239082"/>
      <w:r w:rsidRPr="00310B31">
        <w:rPr>
          <w:rFonts w:asciiTheme="minorHAnsi" w:eastAsia="MS PGothic" w:hAnsiTheme="minorHAnsi"/>
          <w:b/>
          <w:bCs/>
          <w:sz w:val="28"/>
          <w:szCs w:val="28"/>
          <w:lang w:val="en-US"/>
        </w:rPr>
        <w:t xml:space="preserve">Pebax®2533 </w:t>
      </w:r>
      <w:bookmarkEnd w:id="0"/>
      <w:r w:rsidRPr="00310B31">
        <w:rPr>
          <w:rFonts w:asciiTheme="minorHAnsi" w:eastAsia="MS PGothic" w:hAnsiTheme="minorHAnsi"/>
          <w:b/>
          <w:bCs/>
          <w:sz w:val="28"/>
          <w:szCs w:val="28"/>
          <w:lang w:val="en-US"/>
        </w:rPr>
        <w:t>and Graphene Oxide-Based materials for Carbon Capture Membranes</w:t>
      </w:r>
    </w:p>
    <w:p w:rsidR="00382D2C" w:rsidRPr="00310B31" w:rsidRDefault="00382D2C" w:rsidP="00382D2C">
      <w:pPr>
        <w:snapToGrid w:val="0"/>
        <w:spacing w:after="120"/>
        <w:jc w:val="center"/>
        <w:rPr>
          <w:rFonts w:eastAsia="SimSun"/>
          <w:color w:val="000000"/>
          <w:vertAlign w:val="superscript"/>
          <w:lang w:val="it-IT" w:eastAsia="zh-CN"/>
        </w:rPr>
      </w:pPr>
      <w:r>
        <w:rPr>
          <w:rFonts w:asciiTheme="minorHAnsi" w:eastAsia="SimSun" w:hAnsiTheme="minorHAnsi"/>
          <w:color w:val="000000"/>
          <w:sz w:val="24"/>
          <w:szCs w:val="24"/>
          <w:u w:val="single"/>
          <w:lang w:val="it-IT" w:eastAsia="zh-CN"/>
        </w:rPr>
        <w:t>*</w:t>
      </w:r>
      <w:r w:rsidRPr="00382D2C">
        <w:rPr>
          <w:rFonts w:asciiTheme="minorHAnsi" w:eastAsia="SimSun" w:hAnsiTheme="minorHAnsi"/>
          <w:color w:val="000000"/>
          <w:sz w:val="24"/>
          <w:szCs w:val="24"/>
          <w:u w:val="single"/>
          <w:lang w:val="it-IT" w:eastAsia="zh-CN"/>
        </w:rPr>
        <w:t>Riccardo Casadei</w:t>
      </w:r>
      <w:r w:rsidR="00704BDF" w:rsidRPr="00382D2C">
        <w:rPr>
          <w:rFonts w:asciiTheme="minorHAnsi" w:eastAsia="SimSun" w:hAnsiTheme="minorHAnsi"/>
          <w:color w:val="000000"/>
          <w:sz w:val="24"/>
          <w:szCs w:val="24"/>
          <w:u w:val="single"/>
          <w:vertAlign w:val="superscript"/>
          <w:lang w:val="it-IT" w:eastAsia="zh-CN"/>
        </w:rPr>
        <w:t>1</w:t>
      </w:r>
      <w:r w:rsidR="00736B13" w:rsidRPr="00382D2C">
        <w:rPr>
          <w:rFonts w:asciiTheme="minorHAnsi" w:eastAsia="SimSun" w:hAnsiTheme="minorHAnsi"/>
          <w:color w:val="000000"/>
          <w:sz w:val="24"/>
          <w:szCs w:val="24"/>
          <w:lang w:val="it-IT" w:eastAsia="zh-CN"/>
        </w:rPr>
        <w:t xml:space="preserve">, </w:t>
      </w:r>
      <w:r>
        <w:rPr>
          <w:rFonts w:asciiTheme="minorHAnsi" w:eastAsia="SimSun" w:hAnsiTheme="minorHAnsi"/>
          <w:color w:val="000000"/>
          <w:sz w:val="24"/>
          <w:szCs w:val="24"/>
          <w:lang w:val="it-IT" w:eastAsia="zh-CN"/>
        </w:rPr>
        <w:t>Marco Giacinti Baschett</w:t>
      </w:r>
      <w:r w:rsidRPr="00382D2C">
        <w:rPr>
          <w:rFonts w:asciiTheme="minorHAnsi" w:eastAsia="SimSun" w:hAnsiTheme="minorHAnsi" w:cstheme="minorHAnsi"/>
          <w:color w:val="000000"/>
          <w:sz w:val="24"/>
          <w:szCs w:val="24"/>
          <w:lang w:val="it-IT" w:eastAsia="zh-CN"/>
        </w:rPr>
        <w:t>i</w:t>
      </w:r>
      <w:r w:rsidRPr="00382D2C">
        <w:rPr>
          <w:rFonts w:asciiTheme="minorHAnsi" w:eastAsia="SimSun" w:hAnsiTheme="minorHAnsi" w:cstheme="minorHAnsi"/>
          <w:color w:val="000000"/>
          <w:sz w:val="24"/>
          <w:szCs w:val="24"/>
          <w:vertAlign w:val="superscript"/>
          <w:lang w:val="it-IT" w:eastAsia="zh-CN"/>
        </w:rPr>
        <w:t>1</w:t>
      </w:r>
      <w:r w:rsidRPr="00382D2C">
        <w:rPr>
          <w:rFonts w:asciiTheme="minorHAnsi" w:eastAsia="SimSun" w:hAnsiTheme="minorHAnsi" w:cstheme="minorHAnsi"/>
          <w:color w:val="000000"/>
          <w:sz w:val="24"/>
          <w:szCs w:val="24"/>
          <w:lang w:val="it-IT" w:eastAsia="zh-CN"/>
        </w:rPr>
        <w:t xml:space="preserve">, </w:t>
      </w:r>
      <w:proofErr w:type="spellStart"/>
      <w:r w:rsidRPr="00382D2C">
        <w:rPr>
          <w:rFonts w:asciiTheme="minorHAnsi" w:eastAsia="SimSun" w:hAnsiTheme="minorHAnsi" w:cstheme="minorHAnsi"/>
          <w:color w:val="000000"/>
          <w:sz w:val="24"/>
          <w:szCs w:val="24"/>
          <w:lang w:val="it-IT" w:eastAsia="zh-CN"/>
        </w:rPr>
        <w:t>Myung</w:t>
      </w:r>
      <w:proofErr w:type="spellEnd"/>
      <w:r w:rsidRPr="00382D2C">
        <w:rPr>
          <w:rFonts w:asciiTheme="minorHAnsi" w:eastAsia="SimSun" w:hAnsiTheme="minorHAnsi" w:cstheme="minorHAnsi"/>
          <w:color w:val="000000"/>
          <w:sz w:val="24"/>
          <w:szCs w:val="24"/>
          <w:lang w:val="it-IT" w:eastAsia="zh-CN"/>
        </w:rPr>
        <w:t xml:space="preserve"> </w:t>
      </w:r>
      <w:proofErr w:type="spellStart"/>
      <w:r w:rsidRPr="00382D2C">
        <w:rPr>
          <w:rFonts w:asciiTheme="minorHAnsi" w:eastAsia="SimSun" w:hAnsiTheme="minorHAnsi" w:cstheme="minorHAnsi"/>
          <w:color w:val="000000"/>
          <w:sz w:val="24"/>
          <w:szCs w:val="24"/>
          <w:lang w:val="it-IT" w:eastAsia="zh-CN"/>
        </w:rPr>
        <w:t>Jin</w:t>
      </w:r>
      <w:proofErr w:type="spellEnd"/>
      <w:r w:rsidRPr="00382D2C">
        <w:rPr>
          <w:rFonts w:asciiTheme="minorHAnsi" w:eastAsia="SimSun" w:hAnsiTheme="minorHAnsi" w:cstheme="minorHAnsi"/>
          <w:color w:val="000000"/>
          <w:sz w:val="24"/>
          <w:szCs w:val="24"/>
          <w:lang w:val="it-IT" w:eastAsia="zh-CN"/>
        </w:rPr>
        <w:t xml:space="preserve"> Yoo</w:t>
      </w:r>
      <w:r w:rsidR="00310B31">
        <w:rPr>
          <w:rFonts w:asciiTheme="minorHAnsi" w:eastAsia="SimSun" w:hAnsiTheme="minorHAnsi" w:cstheme="minorHAnsi"/>
          <w:color w:val="000000"/>
          <w:sz w:val="24"/>
          <w:szCs w:val="24"/>
          <w:vertAlign w:val="superscript"/>
          <w:lang w:val="it-IT" w:eastAsia="zh-CN"/>
        </w:rPr>
        <w:t>2</w:t>
      </w:r>
      <w:r w:rsidRPr="00382D2C">
        <w:rPr>
          <w:rFonts w:asciiTheme="minorHAnsi" w:eastAsia="SimSun" w:hAnsiTheme="minorHAnsi" w:cstheme="minorHAnsi"/>
          <w:color w:val="000000"/>
          <w:sz w:val="24"/>
          <w:szCs w:val="24"/>
          <w:lang w:val="it-IT" w:eastAsia="zh-CN"/>
        </w:rPr>
        <w:t>, Ho Bum</w:t>
      </w:r>
      <w:r w:rsidR="00310B31">
        <w:rPr>
          <w:rFonts w:asciiTheme="minorHAnsi" w:eastAsia="SimSun" w:hAnsiTheme="minorHAnsi" w:cstheme="minorHAnsi"/>
          <w:color w:val="000000"/>
          <w:sz w:val="24"/>
          <w:szCs w:val="24"/>
          <w:lang w:val="it-IT" w:eastAsia="zh-CN"/>
        </w:rPr>
        <w:t xml:space="preserve"> Park</w:t>
      </w:r>
      <w:r w:rsidR="00310B31">
        <w:rPr>
          <w:rFonts w:asciiTheme="minorHAnsi" w:eastAsia="SimSun" w:hAnsiTheme="minorHAnsi" w:cstheme="minorHAnsi"/>
          <w:color w:val="000000"/>
          <w:sz w:val="24"/>
          <w:szCs w:val="24"/>
          <w:vertAlign w:val="superscript"/>
          <w:lang w:val="it-IT" w:eastAsia="zh-CN"/>
        </w:rPr>
        <w:t>2</w:t>
      </w:r>
    </w:p>
    <w:p w:rsidR="00382D2C" w:rsidRPr="002A32C0" w:rsidRDefault="00704BDF" w:rsidP="00704BDF">
      <w:pPr>
        <w:snapToGrid w:val="0"/>
        <w:spacing w:after="120"/>
        <w:jc w:val="center"/>
        <w:rPr>
          <w:rFonts w:ascii="Calibri" w:eastAsia="MS PGothic" w:hAnsi="Calibri" w:cs="Calibri"/>
          <w:i/>
          <w:iCs/>
          <w:color w:val="000000"/>
          <w:sz w:val="20"/>
          <w:lang w:val="en-US"/>
        </w:rPr>
      </w:pPr>
      <w:r w:rsidRPr="002A32C0">
        <w:rPr>
          <w:rFonts w:ascii="Calibri" w:eastAsia="MS PGothic" w:hAnsi="Calibri" w:cs="Calibri"/>
          <w:i/>
          <w:iCs/>
          <w:color w:val="000000"/>
          <w:sz w:val="20"/>
          <w:lang w:val="en-US"/>
        </w:rPr>
        <w:t>1</w:t>
      </w:r>
      <w:r w:rsidR="00382D2C" w:rsidRPr="002A32C0">
        <w:rPr>
          <w:rFonts w:ascii="Calibri" w:eastAsia="MS PGothic" w:hAnsi="Calibri" w:cs="Calibri"/>
          <w:i/>
          <w:iCs/>
          <w:color w:val="000000"/>
          <w:sz w:val="20"/>
          <w:lang w:val="en-US"/>
        </w:rPr>
        <w:t xml:space="preserve">: Department of Civil, Chemical, Environmental and Material Engineering (DICAM) – University of Bologna, Via Terracini 28, 40131 Bologna, </w:t>
      </w:r>
      <w:proofErr w:type="gramStart"/>
      <w:r w:rsidR="00382D2C" w:rsidRPr="002A32C0">
        <w:rPr>
          <w:rFonts w:ascii="Calibri" w:eastAsia="MS PGothic" w:hAnsi="Calibri" w:cs="Calibri"/>
          <w:i/>
          <w:iCs/>
          <w:color w:val="000000"/>
          <w:sz w:val="20"/>
          <w:lang w:val="en-US"/>
        </w:rPr>
        <w:t xml:space="preserve">Italy </w:t>
      </w:r>
      <w:r w:rsidRPr="002A32C0">
        <w:rPr>
          <w:rFonts w:ascii="Calibri" w:eastAsia="MS PGothic" w:hAnsi="Calibri" w:cs="Calibri"/>
          <w:i/>
          <w:iCs/>
          <w:color w:val="000000"/>
          <w:sz w:val="20"/>
          <w:lang w:val="en-US"/>
        </w:rPr>
        <w:t>;</w:t>
      </w:r>
      <w:proofErr w:type="gramEnd"/>
      <w:r w:rsidRPr="002A32C0">
        <w:rPr>
          <w:rFonts w:ascii="Calibri" w:eastAsia="MS PGothic" w:hAnsi="Calibri" w:cs="Calibri"/>
          <w:i/>
          <w:iCs/>
          <w:color w:val="000000"/>
          <w:sz w:val="20"/>
          <w:lang w:val="en-US"/>
        </w:rPr>
        <w:t xml:space="preserve"> </w:t>
      </w:r>
    </w:p>
    <w:p w:rsidR="00382D2C" w:rsidRPr="002A32C0" w:rsidRDefault="00704BDF" w:rsidP="00382D2C">
      <w:pPr>
        <w:spacing w:line="480" w:lineRule="auto"/>
        <w:rPr>
          <w:rFonts w:ascii="Calibri" w:hAnsi="Calibri" w:cs="Calibri"/>
          <w:sz w:val="20"/>
          <w:lang w:val="en-US"/>
        </w:rPr>
      </w:pPr>
      <w:r w:rsidRPr="002A32C0">
        <w:rPr>
          <w:rFonts w:ascii="Calibri" w:eastAsia="MS PGothic" w:hAnsi="Calibri" w:cs="Calibri"/>
          <w:i/>
          <w:iCs/>
          <w:color w:val="000000"/>
          <w:sz w:val="20"/>
          <w:lang w:val="en-US"/>
        </w:rPr>
        <w:t>2</w:t>
      </w:r>
      <w:r w:rsidR="00382D2C" w:rsidRPr="002A32C0">
        <w:rPr>
          <w:rFonts w:ascii="Calibri" w:eastAsia="MS PGothic" w:hAnsi="Calibri" w:cs="Calibri"/>
          <w:i/>
          <w:iCs/>
          <w:color w:val="000000"/>
          <w:sz w:val="20"/>
          <w:lang w:val="en-US"/>
        </w:rPr>
        <w:t xml:space="preserve">: </w:t>
      </w:r>
      <w:r w:rsidR="00382D2C" w:rsidRPr="002A32C0">
        <w:rPr>
          <w:rFonts w:ascii="Calibri" w:hAnsi="Calibri" w:cs="Calibri"/>
          <w:sz w:val="20"/>
          <w:lang w:val="en-US"/>
        </w:rPr>
        <w:t xml:space="preserve">Department of Energy Engineering, </w:t>
      </w:r>
      <w:proofErr w:type="spellStart"/>
      <w:r w:rsidR="00382D2C" w:rsidRPr="002A32C0">
        <w:rPr>
          <w:rFonts w:ascii="Calibri" w:hAnsi="Calibri" w:cs="Calibri"/>
          <w:sz w:val="20"/>
          <w:lang w:val="en-US"/>
        </w:rPr>
        <w:t>Hanyang</w:t>
      </w:r>
      <w:proofErr w:type="spellEnd"/>
      <w:r w:rsidR="00382D2C" w:rsidRPr="002A32C0">
        <w:rPr>
          <w:rFonts w:ascii="Calibri" w:hAnsi="Calibri" w:cs="Calibri"/>
          <w:sz w:val="20"/>
          <w:lang w:val="en-US"/>
        </w:rPr>
        <w:t xml:space="preserve"> University, Seoul 133-791, Republic of Korea</w:t>
      </w:r>
    </w:p>
    <w:p w:rsidR="00704BDF" w:rsidRPr="002A32C0" w:rsidRDefault="00704BDF" w:rsidP="00704BDF">
      <w:pPr>
        <w:snapToGrid w:val="0"/>
        <w:jc w:val="center"/>
        <w:rPr>
          <w:rFonts w:asciiTheme="minorHAnsi" w:eastAsia="MS PGothic" w:hAnsiTheme="minorHAnsi"/>
          <w:bCs/>
          <w:i/>
          <w:iCs/>
          <w:sz w:val="20"/>
          <w:lang w:val="en-US"/>
        </w:rPr>
      </w:pPr>
      <w:r w:rsidRPr="002A32C0">
        <w:rPr>
          <w:rFonts w:asciiTheme="minorHAnsi" w:eastAsia="MS PGothic" w:hAnsiTheme="minorHAnsi"/>
          <w:bCs/>
          <w:i/>
          <w:iCs/>
          <w:color w:val="000000"/>
          <w:sz w:val="20"/>
          <w:lang w:val="en-US"/>
        </w:rPr>
        <w:t>*Corresponding author</w:t>
      </w:r>
      <w:r w:rsidRPr="002A32C0">
        <w:rPr>
          <w:rFonts w:asciiTheme="minorHAnsi" w:eastAsia="MS PGothic" w:hAnsiTheme="minorHAnsi"/>
          <w:bCs/>
          <w:i/>
          <w:iCs/>
          <w:sz w:val="20"/>
          <w:lang w:val="en-US" w:eastAsia="ko-KR"/>
        </w:rPr>
        <w:t>:</w:t>
      </w:r>
      <w:r w:rsidRPr="002A32C0">
        <w:rPr>
          <w:rFonts w:asciiTheme="minorHAnsi" w:eastAsia="MS PGothic" w:hAnsiTheme="minorHAnsi"/>
          <w:bCs/>
          <w:i/>
          <w:iCs/>
          <w:sz w:val="20"/>
          <w:lang w:val="en-US"/>
        </w:rPr>
        <w:t xml:space="preserve"> </w:t>
      </w:r>
      <w:r w:rsidR="00382D2C" w:rsidRPr="002A32C0">
        <w:rPr>
          <w:rFonts w:asciiTheme="minorHAnsi" w:eastAsia="MS PGothic" w:hAnsiTheme="minorHAnsi"/>
          <w:bCs/>
          <w:i/>
          <w:iCs/>
          <w:sz w:val="20"/>
          <w:lang w:val="en-US"/>
        </w:rPr>
        <w:t>riccardo.casadei11@unibo.it</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7F3126" w:rsidRDefault="007F3126" w:rsidP="00704BDF">
      <w:pPr>
        <w:pStyle w:val="AbstractBody"/>
        <w:numPr>
          <w:ilvl w:val="0"/>
          <w:numId w:val="16"/>
        </w:numPr>
        <w:rPr>
          <w:rFonts w:asciiTheme="minorHAnsi" w:hAnsiTheme="minorHAnsi"/>
        </w:rPr>
      </w:pPr>
      <w:r>
        <w:rPr>
          <w:rFonts w:asciiTheme="minorHAnsi" w:hAnsiTheme="minorHAnsi"/>
        </w:rPr>
        <w:t xml:space="preserve">Flawless dispersion of GO in </w:t>
      </w:r>
      <w:r w:rsidRPr="007F3126">
        <w:rPr>
          <w:rFonts w:asciiTheme="minorHAnsi" w:hAnsiTheme="minorHAnsi"/>
        </w:rPr>
        <w:t>Pebax®2533</w:t>
      </w:r>
      <w:r>
        <w:rPr>
          <w:rFonts w:asciiTheme="minorHAnsi" w:hAnsiTheme="minorHAnsi"/>
        </w:rPr>
        <w:t xml:space="preserve"> with concentration of 0,02 to 1 </w:t>
      </w:r>
      <w:proofErr w:type="spellStart"/>
      <w:r>
        <w:rPr>
          <w:rFonts w:asciiTheme="minorHAnsi" w:hAnsiTheme="minorHAnsi"/>
        </w:rPr>
        <w:t>wt</w:t>
      </w:r>
      <w:proofErr w:type="spellEnd"/>
      <w:r>
        <w:rPr>
          <w:rFonts w:asciiTheme="minorHAnsi" w:hAnsiTheme="minorHAnsi"/>
        </w:rPr>
        <w:t>%</w:t>
      </w:r>
    </w:p>
    <w:p w:rsidR="007F3126" w:rsidRDefault="007F3126" w:rsidP="00704BDF">
      <w:pPr>
        <w:pStyle w:val="AbstractBody"/>
        <w:numPr>
          <w:ilvl w:val="0"/>
          <w:numId w:val="16"/>
        </w:numPr>
        <w:rPr>
          <w:rFonts w:asciiTheme="minorHAnsi" w:hAnsiTheme="minorHAnsi"/>
        </w:rPr>
      </w:pPr>
      <w:r>
        <w:rPr>
          <w:rFonts w:asciiTheme="minorHAnsi" w:hAnsiTheme="minorHAnsi"/>
        </w:rPr>
        <w:t xml:space="preserve">Study of permeation trend caused by GO addition in </w:t>
      </w:r>
      <w:r w:rsidRPr="007F3126">
        <w:rPr>
          <w:rFonts w:asciiTheme="minorHAnsi" w:hAnsiTheme="minorHAnsi"/>
        </w:rPr>
        <w:t>Pebax®2533</w:t>
      </w:r>
      <w:r>
        <w:rPr>
          <w:rFonts w:asciiTheme="minorHAnsi" w:hAnsiTheme="minorHAnsi"/>
        </w:rPr>
        <w:t xml:space="preserve"> </w:t>
      </w:r>
    </w:p>
    <w:p w:rsidR="007F3126" w:rsidRDefault="007F3126" w:rsidP="00704BDF">
      <w:pPr>
        <w:pStyle w:val="AbstractBody"/>
        <w:numPr>
          <w:ilvl w:val="0"/>
          <w:numId w:val="16"/>
        </w:numPr>
        <w:rPr>
          <w:rFonts w:asciiTheme="minorHAnsi" w:hAnsiTheme="minorHAnsi"/>
        </w:rPr>
      </w:pPr>
      <w:r>
        <w:rPr>
          <w:rFonts w:asciiTheme="minorHAnsi" w:hAnsiTheme="minorHAnsi"/>
        </w:rPr>
        <w:t>Comparison of</w:t>
      </w:r>
      <w:r w:rsidR="001A1498">
        <w:rPr>
          <w:rFonts w:asciiTheme="minorHAnsi" w:hAnsiTheme="minorHAnsi"/>
        </w:rPr>
        <w:t xml:space="preserve"> permeation</w:t>
      </w:r>
      <w:r>
        <w:rPr>
          <w:rFonts w:asciiTheme="minorHAnsi" w:hAnsiTheme="minorHAnsi"/>
        </w:rPr>
        <w:t xml:space="preserve"> performances improvements of </w:t>
      </w:r>
      <w:r w:rsidRPr="007F3126">
        <w:rPr>
          <w:rFonts w:asciiTheme="minorHAnsi" w:hAnsiTheme="minorHAnsi"/>
        </w:rPr>
        <w:t>Pebax®2533</w:t>
      </w:r>
      <w:r>
        <w:rPr>
          <w:rFonts w:asciiTheme="minorHAnsi" w:hAnsiTheme="minorHAnsi"/>
        </w:rPr>
        <w:t xml:space="preserve"> by addition</w:t>
      </w:r>
      <w:r w:rsidR="001A1498">
        <w:rPr>
          <w:rFonts w:asciiTheme="minorHAnsi" w:hAnsiTheme="minorHAnsi"/>
        </w:rPr>
        <w:t xml:space="preserve"> of GO, PGO and PEAGO</w:t>
      </w:r>
      <w:r w:rsidR="00660D08">
        <w:rPr>
          <w:rFonts w:asciiTheme="minorHAnsi" w:hAnsiTheme="minorHAnsi"/>
        </w:rPr>
        <w:t xml:space="preserve"> in low concentration (0,02 </w:t>
      </w:r>
      <w:proofErr w:type="spellStart"/>
      <w:r w:rsidR="00660D08">
        <w:rPr>
          <w:rFonts w:asciiTheme="minorHAnsi" w:hAnsiTheme="minorHAnsi"/>
        </w:rPr>
        <w:t>wt</w:t>
      </w:r>
      <w:proofErr w:type="spellEnd"/>
      <w:r w:rsidR="00660D08">
        <w:rPr>
          <w:rFonts w:asciiTheme="minorHAnsi" w:hAnsiTheme="minorHAnsi"/>
        </w:rPr>
        <w:t>%)</w:t>
      </w:r>
    </w:p>
    <w:p w:rsidR="00660D08" w:rsidRDefault="00660D08" w:rsidP="00660D08">
      <w:pPr>
        <w:pStyle w:val="AbstractBody"/>
        <w:ind w:left="0"/>
        <w:rPr>
          <w:rFonts w:asciiTheme="minorHAnsi" w:hAnsiTheme="minorHAnsi"/>
        </w:rPr>
      </w:pPr>
    </w:p>
    <w:p w:rsidR="00704BDF" w:rsidRPr="008D0BEB" w:rsidRDefault="00704BDF" w:rsidP="00FC773E">
      <w:pPr>
        <w:snapToGrid w:val="0"/>
        <w:spacing w:after="120"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5471B5" w:rsidRDefault="00165AAC" w:rsidP="00C867B1">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In this work, </w:t>
      </w:r>
      <w:r w:rsidRPr="00165AAC">
        <w:rPr>
          <w:rFonts w:asciiTheme="minorHAnsi" w:eastAsia="MS PGothic" w:hAnsiTheme="minorHAnsi"/>
          <w:color w:val="000000"/>
          <w:sz w:val="22"/>
          <w:szCs w:val="22"/>
          <w:lang w:val="en-US"/>
        </w:rPr>
        <w:t>Pebax®2533</w:t>
      </w:r>
      <w:r w:rsidR="005471B5">
        <w:rPr>
          <w:rFonts w:asciiTheme="minorHAnsi" w:eastAsia="MS PGothic" w:hAnsiTheme="minorHAnsi"/>
          <w:color w:val="000000"/>
          <w:sz w:val="22"/>
          <w:szCs w:val="22"/>
          <w:lang w:val="en-US"/>
        </w:rPr>
        <w:t xml:space="preserve"> (figure 1</w:t>
      </w:r>
      <w:r w:rsidR="00B924F9">
        <w:rPr>
          <w:rFonts w:asciiTheme="minorHAnsi" w:eastAsia="MS PGothic" w:hAnsiTheme="minorHAnsi"/>
          <w:color w:val="000000"/>
          <w:sz w:val="22"/>
          <w:szCs w:val="22"/>
          <w:lang w:val="en-US"/>
        </w:rPr>
        <w:t>a</w:t>
      </w:r>
      <w:r w:rsidR="005471B5">
        <w:rPr>
          <w:rFonts w:asciiTheme="minorHAnsi" w:eastAsia="MS PGothic" w:hAnsiTheme="minorHAnsi"/>
          <w:color w:val="000000"/>
          <w:sz w:val="22"/>
          <w:szCs w:val="22"/>
          <w:lang w:val="en-US"/>
        </w:rPr>
        <w:t>)</w:t>
      </w:r>
      <w:r>
        <w:rPr>
          <w:rFonts w:asciiTheme="minorHAnsi" w:eastAsia="MS PGothic" w:hAnsiTheme="minorHAnsi"/>
          <w:color w:val="000000"/>
          <w:sz w:val="22"/>
          <w:szCs w:val="22"/>
          <w:lang w:val="en-US"/>
        </w:rPr>
        <w:t xml:space="preserve"> and Its GO-based nanocomposites have been studied to check the CO</w:t>
      </w:r>
      <w:r w:rsidRPr="00165AAC">
        <w:rPr>
          <w:rFonts w:asciiTheme="minorHAnsi" w:eastAsia="MS PGothic" w:hAnsiTheme="minorHAnsi"/>
          <w:color w:val="000000"/>
          <w:sz w:val="22"/>
          <w:szCs w:val="22"/>
          <w:vertAlign w:val="subscript"/>
          <w:lang w:val="en-US"/>
        </w:rPr>
        <w:t>2</w:t>
      </w:r>
      <w:r>
        <w:rPr>
          <w:rFonts w:asciiTheme="minorHAnsi" w:eastAsia="MS PGothic" w:hAnsiTheme="minorHAnsi"/>
          <w:color w:val="000000"/>
          <w:sz w:val="22"/>
          <w:szCs w:val="22"/>
          <w:lang w:val="en-US"/>
        </w:rPr>
        <w:t xml:space="preserve"> and N</w:t>
      </w:r>
      <w:r w:rsidRPr="00165AAC">
        <w:rPr>
          <w:rFonts w:asciiTheme="minorHAnsi" w:eastAsia="MS PGothic" w:hAnsiTheme="minorHAnsi"/>
          <w:color w:val="000000"/>
          <w:sz w:val="22"/>
          <w:szCs w:val="22"/>
          <w:vertAlign w:val="subscript"/>
          <w:lang w:val="en-US"/>
        </w:rPr>
        <w:t>2</w:t>
      </w:r>
      <w:r>
        <w:rPr>
          <w:rFonts w:asciiTheme="minorHAnsi" w:eastAsia="MS PGothic" w:hAnsiTheme="minorHAnsi"/>
          <w:color w:val="000000"/>
          <w:sz w:val="22"/>
          <w:szCs w:val="22"/>
          <w:lang w:val="en-US"/>
        </w:rPr>
        <w:t xml:space="preserve"> permeation performances of these materials for carbon capture applications</w:t>
      </w:r>
      <w:r w:rsidR="00AB3823">
        <w:rPr>
          <w:rFonts w:asciiTheme="minorHAnsi" w:eastAsia="MS PGothic" w:hAnsiTheme="minorHAnsi"/>
          <w:color w:val="000000"/>
          <w:sz w:val="22"/>
          <w:szCs w:val="22"/>
          <w:lang w:val="en-US"/>
        </w:rPr>
        <w:t xml:space="preserve"> </w:t>
      </w:r>
      <w:r w:rsidR="006129E7">
        <w:rPr>
          <w:rStyle w:val="Rimandonotaapidipagina"/>
          <w:rFonts w:asciiTheme="minorHAnsi" w:eastAsia="MS PGothic" w:hAnsiTheme="minorHAnsi"/>
          <w:color w:val="000000"/>
          <w:sz w:val="22"/>
          <w:szCs w:val="22"/>
          <w:lang w:val="en-US"/>
        </w:rPr>
        <w:fldChar w:fldCharType="begin" w:fldLock="1"/>
      </w:r>
      <w:r w:rsidR="006129E7">
        <w:rPr>
          <w:rFonts w:asciiTheme="minorHAnsi" w:eastAsia="MS PGothic" w:hAnsiTheme="minorHAnsi"/>
          <w:color w:val="000000"/>
          <w:sz w:val="22"/>
          <w:szCs w:val="22"/>
          <w:lang w:val="en-US"/>
        </w:rPr>
        <w:instrText>ADDIN CSL_CITATION {"citationItems":[{"id":"ITEM-1","itemData":{"DOI":"10.1016/j.rser.2014.07.093","ISBN":"1364-0321","ISSN":"13640321","abstract":"Global warming and climate change concerns have triggered global efforts to reduce the concentration of atmospheric carbon dioxide (CO2). Carbon dioxide capture and storage (CCS) is considered a crucial strategy for meeting CO2 emission reduction targets. In this paper, various aspects of CCS are reviewed and discussed including the state of the art technologies for CO2 capture, separation, transport, storage, leakage, monitoring, and life cycle analysis. The selection of specific CO2 capture technology heavily depends on the type of CO2 generating plant and fuel used. Among those CO2 separation processes, absorption is the most mature and commonly adopted due to its higher efficiency and lower cost. Pipeline is considered to be the most viable solution for large volume of CO2 transport. Among those geological formations for CO2 storage, enhanced oil recovery is mature and has been practiced for many years but its economical viability for anthropogenic sources needs to be demonstrated. There are growing interests in CO2 storage in saline aquifers due to their enormous potential storage capacity and several projects are in the pipeline for demonstration of its viability. There are multiple hurdles to CCS deployment including the absence of a clear business case for CCS investment and the absence of robust economic incentives to support the additional high capital and operating costs of the whole CCS process. © 2014 Published by Elsevier Ltd.","author":[{"dropping-particle":"","family":"Leung","given":"Dennis Y.C.","non-dropping-particle":"","parse-names":false,"suffix":""},{"dropping-particle":"","family":"Caramanna","given":"Giorgio","non-dropping-particle":"","parse-names":false,"suffix":""},{"dropping-particle":"","family":"Maroto-Valer","given":"M. Mercedes","non-dropping-particle":"","parse-names":false,"suffix":""}],"container-title":"Renewable and Sustainable Energy Reviews","id":"ITEM-1","issued":{"date-parts":[["2014"]]},"page":"426-443","publisher":"Elsevier","title":"An overview of current status of carbon dioxide capture and storage technologies","type":"article-journal","volume":"39"},"uris":["http://www.mendeley.com/documents/?uuid=909da9cd-40bd-4a07-84a9-8fbbd56cb3ac"]}],"mendeley":{"formattedCitation":"[1]","plainTextFormattedCitation":"[1]","previouslyFormattedCitation":"Dennis Y.C. Leung, Giorgio Caramanna, and M. Mercedes Maroto-Valer, ‘An Overview of Current Status of Carbon Dioxide Capture and Storage Technologies’, &lt;i&gt;Renewable and Sustainable Energy Reviews&lt;/i&gt;, 39 (2014), 426–43 &lt;https://doi.org/10.1016/j.rser.2014.07.093&gt;."},"properties":{"noteIndex":0},"schema":"https://github.com/citation-style-language/schema/raw/master/csl-citation.json"}</w:instrText>
      </w:r>
      <w:r w:rsidR="006129E7">
        <w:rPr>
          <w:rStyle w:val="Rimandonotaapidipagina"/>
          <w:rFonts w:asciiTheme="minorHAnsi" w:eastAsia="MS PGothic" w:hAnsiTheme="minorHAnsi"/>
          <w:color w:val="000000"/>
          <w:sz w:val="22"/>
          <w:szCs w:val="22"/>
          <w:lang w:val="en-US"/>
        </w:rPr>
        <w:fldChar w:fldCharType="separate"/>
      </w:r>
      <w:r w:rsidR="006129E7" w:rsidRPr="006129E7">
        <w:rPr>
          <w:rFonts w:asciiTheme="minorHAnsi" w:eastAsia="MS PGothic" w:hAnsiTheme="minorHAnsi"/>
          <w:noProof/>
          <w:color w:val="000000"/>
          <w:sz w:val="22"/>
          <w:szCs w:val="22"/>
          <w:lang w:val="en-US"/>
        </w:rPr>
        <w:t>[1]</w:t>
      </w:r>
      <w:r w:rsidR="006129E7">
        <w:rPr>
          <w:rStyle w:val="Rimandonotaapidipagina"/>
          <w:rFonts w:asciiTheme="minorHAnsi" w:eastAsia="MS PGothic" w:hAnsiTheme="minorHAnsi"/>
          <w:color w:val="000000"/>
          <w:sz w:val="22"/>
          <w:szCs w:val="22"/>
          <w:lang w:val="en-US"/>
        </w:rPr>
        <w:fldChar w:fldCharType="end"/>
      </w:r>
      <w:r w:rsidR="006129E7">
        <w:rPr>
          <w:rStyle w:val="Rimandonotaapidipagina"/>
          <w:rFonts w:asciiTheme="minorHAnsi" w:eastAsia="MS PGothic" w:hAnsiTheme="minorHAnsi"/>
          <w:color w:val="000000"/>
          <w:sz w:val="22"/>
          <w:szCs w:val="22"/>
          <w:lang w:val="en-US"/>
        </w:rPr>
        <w:fldChar w:fldCharType="begin" w:fldLock="1"/>
      </w:r>
      <w:r w:rsidR="006129E7">
        <w:rPr>
          <w:rFonts w:asciiTheme="minorHAnsi" w:eastAsia="MS PGothic" w:hAnsiTheme="minorHAnsi"/>
          <w:color w:val="000000"/>
          <w:sz w:val="22"/>
          <w:szCs w:val="22"/>
          <w:lang w:val="en-US"/>
        </w:rPr>
        <w:instrText>ADDIN CSL_CITATION {"citationItems":[{"id":"ITEM-1","itemData":{"DOI":"10.1016/j.rser.2016.10.025","ISSN":"18790690","abstract":"Global warming due to greenhouse gases mostly carbon dioxide has become a serious concern worldwide. Carbon capture using adsorption, absorption, chemical looping combustion, cryogenic and membrane separations has been widely studied to tackle this problem. Significant research efforts have been made in membrane based carbon capture employable in both pre- and post-combustion options as it is a simple, efficient economical and environmentally benign option. In this paper, a comprehensive review has been done on this technology with reference to various aspects viz., synthesis, characterization and performance analysis of various membrane materials, contactors and their design aspects, modeling and simulation studies and membrane wetting phenomenon. The prospects and future challenges of the membrane based carbon capture are also highlighted.","author":[{"dropping-particle":"","family":"Sreedhar","given":"I.","non-dropping-particle":"","parse-names":false,"suffix":""},{"dropping-particle":"","family":"Vaidhiswaran","given":"R.","non-dropping-particle":"","parse-names":false,"suffix":""},{"dropping-particle":"","family":"Kamani","given":"Bansi M.","non-dropping-particle":"","parse-names":false,"suffix":""},{"dropping-particle":"","family":"Venugopal","given":"A.","non-dropping-particle":"","parse-names":false,"suffix":""}],"container-title":"Renewable and Sustainable Energy Reviews","id":"ITEM-1","issue":"January 2016","issued":{"date-parts":[["2017"]]},"page":"659-684","publisher":"Elsevier","title":"Process and engineering trends in membrane based carbon capture","type":"article-journal","volume":"68"},"uris":["http://www.mendeley.com/documents/?uuid=3bcd02b2-80b7-4940-976f-33ee78a85a32"]}],"mendeley":{"formattedCitation":"[2]","plainTextFormattedCitation":"[2]","previouslyFormattedCitation":"I. Sreedhar and others, ‘Process and Engineering Trends in Membrane Based Carbon Capture’, &lt;i&gt;Renewable and Sustainable Energy Reviews&lt;/i&gt;, 68.January 2016 (2017), 659–84 &lt;https://doi.org/10.1016/j.rser.2016.10.025&gt;."},"properties":{"noteIndex":0},"schema":"https://github.com/citation-style-language/schema/raw/master/csl-citation.json"}</w:instrText>
      </w:r>
      <w:r w:rsidR="006129E7">
        <w:rPr>
          <w:rStyle w:val="Rimandonotaapidipagina"/>
          <w:rFonts w:asciiTheme="minorHAnsi" w:eastAsia="MS PGothic" w:hAnsiTheme="minorHAnsi"/>
          <w:color w:val="000000"/>
          <w:sz w:val="22"/>
          <w:szCs w:val="22"/>
          <w:lang w:val="en-US"/>
        </w:rPr>
        <w:fldChar w:fldCharType="separate"/>
      </w:r>
      <w:r w:rsidR="006129E7" w:rsidRPr="006129E7">
        <w:rPr>
          <w:rFonts w:asciiTheme="minorHAnsi" w:eastAsia="MS PGothic" w:hAnsiTheme="minorHAnsi"/>
          <w:bCs/>
          <w:noProof/>
          <w:color w:val="000000"/>
          <w:sz w:val="22"/>
          <w:szCs w:val="22"/>
          <w:lang w:val="en-US"/>
        </w:rPr>
        <w:t>[2]</w:t>
      </w:r>
      <w:r w:rsidR="006129E7">
        <w:rPr>
          <w:rStyle w:val="Rimandonotaapidipagina"/>
          <w:rFonts w:asciiTheme="minorHAnsi" w:eastAsia="MS PGothic" w:hAnsiTheme="minorHAnsi"/>
          <w:color w:val="000000"/>
          <w:sz w:val="22"/>
          <w:szCs w:val="22"/>
          <w:lang w:val="en-US"/>
        </w:rPr>
        <w:fldChar w:fldCharType="end"/>
      </w:r>
      <w:r>
        <w:rPr>
          <w:rFonts w:asciiTheme="minorHAnsi" w:eastAsia="MS PGothic" w:hAnsiTheme="minorHAnsi"/>
          <w:color w:val="000000"/>
          <w:sz w:val="22"/>
          <w:szCs w:val="22"/>
          <w:lang w:val="en-US"/>
        </w:rPr>
        <w:t xml:space="preserve">. As </w:t>
      </w:r>
      <w:proofErr w:type="spellStart"/>
      <w:r>
        <w:rPr>
          <w:rFonts w:asciiTheme="minorHAnsi" w:eastAsia="MS PGothic" w:hAnsiTheme="minorHAnsi"/>
          <w:color w:val="000000"/>
          <w:sz w:val="22"/>
          <w:szCs w:val="22"/>
          <w:lang w:val="en-US"/>
        </w:rPr>
        <w:t>nano</w:t>
      </w:r>
      <w:proofErr w:type="spellEnd"/>
      <w:r>
        <w:rPr>
          <w:rFonts w:asciiTheme="minorHAnsi" w:eastAsia="MS PGothic" w:hAnsiTheme="minorHAnsi"/>
          <w:color w:val="000000"/>
          <w:sz w:val="22"/>
          <w:szCs w:val="22"/>
          <w:lang w:val="en-US"/>
        </w:rPr>
        <w:t xml:space="preserve">-fillers, Graphene Oxide (GO), </w:t>
      </w:r>
      <w:r w:rsidR="00566755">
        <w:rPr>
          <w:rFonts w:asciiTheme="minorHAnsi" w:eastAsia="MS PGothic" w:hAnsiTheme="minorHAnsi"/>
          <w:color w:val="000000"/>
          <w:sz w:val="22"/>
          <w:szCs w:val="22"/>
          <w:lang w:val="en-US"/>
        </w:rPr>
        <w:t xml:space="preserve">Graphene Oxide functionalized with </w:t>
      </w:r>
      <w:proofErr w:type="spellStart"/>
      <w:r w:rsidR="00566755" w:rsidRPr="00165AAC">
        <w:rPr>
          <w:rFonts w:asciiTheme="minorHAnsi" w:eastAsia="MS PGothic" w:hAnsiTheme="minorHAnsi"/>
          <w:color w:val="000000"/>
          <w:sz w:val="22"/>
          <w:szCs w:val="22"/>
          <w:lang w:val="en-US"/>
        </w:rPr>
        <w:t>Polyetheramine</w:t>
      </w:r>
      <w:proofErr w:type="spellEnd"/>
      <w:r w:rsidR="00566755">
        <w:rPr>
          <w:rFonts w:asciiTheme="minorHAnsi" w:eastAsia="MS PGothic" w:hAnsiTheme="minorHAnsi"/>
          <w:color w:val="000000"/>
          <w:sz w:val="22"/>
          <w:szCs w:val="22"/>
          <w:lang w:val="en-US"/>
        </w:rPr>
        <w:t xml:space="preserve"> (PEAGO) </w:t>
      </w:r>
      <w:r w:rsidR="00566755">
        <w:rPr>
          <w:rStyle w:val="Rimandonotaapidipagina"/>
          <w:rFonts w:asciiTheme="minorHAnsi" w:eastAsia="MS PGothic" w:hAnsiTheme="minorHAnsi"/>
          <w:color w:val="000000"/>
          <w:sz w:val="22"/>
          <w:szCs w:val="22"/>
          <w:lang w:val="en-US"/>
        </w:rPr>
        <w:fldChar w:fldCharType="begin" w:fldLock="1"/>
      </w:r>
      <w:r w:rsidR="00566755">
        <w:rPr>
          <w:rFonts w:asciiTheme="minorHAnsi" w:eastAsia="MS PGothic" w:hAnsiTheme="minorHAnsi"/>
          <w:color w:val="000000"/>
          <w:sz w:val="22"/>
          <w:szCs w:val="22"/>
          <w:lang w:val="en-US"/>
        </w:rPr>
        <w:instrText>ADDIN CSL_CITATION {"citationItems":[{"id":"ITEM-1","itemData":{"DOI":"10.1016/j.carbon.2014.03.048","ISSN":"0008-6223","author":[{"dropping-particle":"","family":"Yoo","given":"Myung Jin","non-dropping-particle":"","parse-names":false,"suffix":""},{"dropping-particle":"","family":"Kim","given":"Hyo Won","non-dropping-particle":"","parse-names":false,"suffix":""},{"dropping-particle":"","family":"Yoo","given":"Byung Min","non-dropping-particle":"","parse-names":false,"suffix":""},{"dropping-particle":"","family":"Park","given":"Ho Bum","non-dropping-particle":"","parse-names":false,"suffix":""}],"container-title":"Carbon","id":"ITEM-1","issued":{"date-parts":[["2014"]]},"page":"149-160","publisher":"Elsevier Ltd","title":"Highly soluble polyetheramine-functionalized graphene oxide and reduced graphene oxide both in aqueous and non-aqueous solvents","type":"article-journal","volume":"75"},"uris":["http://www.mendeley.com/documents/?uuid=d065490e-bd08-4113-bcb8-2b30cb250a12"]}],"mendeley":{"formattedCitation":"[3]","plainTextFormattedCitation":"[3]","previouslyFormattedCitation":"Myung Jin Yoo and others, ‘Highly Soluble Polyetheramine-Functionalized Graphene Oxide and Reduced Graphene Oxide Both in Aqueous and Non-Aqueous Solvents’, &lt;i&gt;Carbon&lt;/i&gt;, 75 (2014), 149–60 &lt;https://doi.org/10.1016/j.carbon.2014.03.048&gt;."},"properties":{"noteIndex":0},"schema":"https://github.com/citation-style-language/schema/raw/master/csl-citation.json"}</w:instrText>
      </w:r>
      <w:r w:rsidR="00566755">
        <w:rPr>
          <w:rStyle w:val="Rimandonotaapidipagina"/>
          <w:rFonts w:asciiTheme="minorHAnsi" w:eastAsia="MS PGothic" w:hAnsiTheme="minorHAnsi"/>
          <w:color w:val="000000"/>
          <w:sz w:val="22"/>
          <w:szCs w:val="22"/>
          <w:lang w:val="en-US"/>
        </w:rPr>
        <w:fldChar w:fldCharType="separate"/>
      </w:r>
      <w:r w:rsidR="00566755" w:rsidRPr="006129E7">
        <w:rPr>
          <w:rFonts w:asciiTheme="minorHAnsi" w:eastAsia="MS PGothic" w:hAnsiTheme="minorHAnsi"/>
          <w:noProof/>
          <w:color w:val="000000"/>
          <w:sz w:val="22"/>
          <w:szCs w:val="22"/>
          <w:lang w:val="en-US"/>
        </w:rPr>
        <w:t>[3]</w:t>
      </w:r>
      <w:r w:rsidR="00566755">
        <w:rPr>
          <w:rStyle w:val="Rimandonotaapidipagina"/>
          <w:rFonts w:asciiTheme="minorHAnsi" w:eastAsia="MS PGothic" w:hAnsiTheme="minorHAnsi"/>
          <w:color w:val="000000"/>
          <w:sz w:val="22"/>
          <w:szCs w:val="22"/>
          <w:lang w:val="en-US"/>
        </w:rPr>
        <w:fldChar w:fldCharType="end"/>
      </w:r>
      <w:r w:rsidR="00566755">
        <w:rPr>
          <w:rFonts w:asciiTheme="minorHAnsi" w:eastAsia="MS PGothic" w:hAnsiTheme="minorHAnsi"/>
          <w:color w:val="000000"/>
          <w:sz w:val="22"/>
          <w:szCs w:val="22"/>
          <w:lang w:val="en-US"/>
        </w:rPr>
        <w:t xml:space="preserve"> and </w:t>
      </w:r>
      <w:r>
        <w:rPr>
          <w:rFonts w:asciiTheme="minorHAnsi" w:eastAsia="MS PGothic" w:hAnsiTheme="minorHAnsi"/>
          <w:color w:val="000000"/>
          <w:sz w:val="22"/>
          <w:szCs w:val="22"/>
          <w:lang w:val="en-US"/>
        </w:rPr>
        <w:t>Porous Graphene Oxide (PGO</w:t>
      </w:r>
      <w:r w:rsidRPr="00F23555">
        <w:rPr>
          <w:rFonts w:asciiTheme="minorHAnsi" w:eastAsia="MS PGothic" w:hAnsiTheme="minorHAnsi"/>
          <w:color w:val="000000"/>
          <w:sz w:val="22"/>
          <w:szCs w:val="22"/>
          <w:lang w:val="en-US"/>
        </w:rPr>
        <w:t>)</w:t>
      </w:r>
      <w:r w:rsidR="00F23555" w:rsidRPr="00F23555">
        <w:rPr>
          <w:rStyle w:val="Rimandonotaapidipagina"/>
          <w:rFonts w:asciiTheme="minorHAnsi" w:hAnsiTheme="minorHAnsi" w:cstheme="minorHAnsi"/>
          <w:color w:val="000000" w:themeColor="text1"/>
          <w:sz w:val="22"/>
          <w:szCs w:val="22"/>
        </w:rPr>
        <w:t xml:space="preserve"> </w:t>
      </w:r>
      <w:r w:rsidR="00F23555" w:rsidRPr="00F23555">
        <w:rPr>
          <w:rStyle w:val="Rimandonotaapidipagina"/>
          <w:rFonts w:asciiTheme="minorHAnsi" w:hAnsiTheme="minorHAnsi" w:cstheme="minorHAnsi"/>
          <w:color w:val="000000" w:themeColor="text1"/>
          <w:sz w:val="22"/>
          <w:szCs w:val="22"/>
        </w:rPr>
        <w:fldChar w:fldCharType="begin" w:fldLock="1"/>
      </w:r>
      <w:r w:rsidR="00F23555" w:rsidRPr="00F23555">
        <w:rPr>
          <w:rFonts w:asciiTheme="minorHAnsi" w:hAnsiTheme="minorHAnsi" w:cstheme="minorHAnsi"/>
          <w:color w:val="000000" w:themeColor="text1"/>
          <w:sz w:val="22"/>
          <w:szCs w:val="22"/>
        </w:rPr>
        <w:instrText>ADDIN CSL_CITATION {"citationItems":[{"id":"ITEM-1","itemData":{"DOI":"10.1016/j.carbon.2016.04.050","ISSN":"0008-6223","author":[{"dropping-particle":"","family":"Yu","given":"Chuhong","non-dropping-particle":"","parse-names":false,"suffix":""},{"dropping-particle":"","family":"Zhang","given":"Bowu","non-dropping-particle":"","parse-names":false,"suffix":""},{"dropping-particle":"","family":"Yan","given":"Feng","non-dropping-particle":"","parse-names":false,"suffix":""},{"dropping-particle":"","family":"Zhao","given":"Jianfeng","non-dropping-particle":"","parse-names":false,"suffix":""},{"dropping-particle":"","family":"Li","given":"Jihao","non-dropping-particle":"","parse-names":false,"suffix":""},{"dropping-particle":"","family":"Li","given":"Linfan","non-dropping-particle":"","parse-names":false,"suffix":""}],"container-title":"Carbon","id":"ITEM-1","issue":"2016","issued":{"date-parts":[["2019"]]},"page":"291-296","publisher":"Elsevier Ltd","title":"Engineering nano-porous graphene oxide by hydroxyl radicals","type":"article-journal","volume":"105"},"uris":["http://www.mendeley.com/documents/?uuid=3e265a5f-3bc2-497c-adb6-634377a85c6c"]}],"mendeley":{"formattedCitation":"[6]","plainTextFormattedCitation":"[6]","previouslyFormattedCitation":"Chuhong Yu and others, ‘Engineering Nano-Porous Graphene Oxide by Hydroxyl Radicals’, &lt;i&gt;Carbon&lt;/i&gt;, 105.2016 (2019), 291–96 &lt;https://doi.org/10.1016/j.carbon.2016.04.050&gt;."},"properties":{"noteIndex":0},"schema":"https://github.com/citation-style-language/schema/raw/master/csl-citation.json"}</w:instrText>
      </w:r>
      <w:r w:rsidR="00F23555" w:rsidRPr="00F23555">
        <w:rPr>
          <w:rStyle w:val="Rimandonotaapidipagina"/>
          <w:rFonts w:asciiTheme="minorHAnsi" w:hAnsiTheme="minorHAnsi" w:cstheme="minorHAnsi"/>
          <w:color w:val="000000" w:themeColor="text1"/>
          <w:sz w:val="22"/>
          <w:szCs w:val="22"/>
        </w:rPr>
        <w:fldChar w:fldCharType="separate"/>
      </w:r>
      <w:r w:rsidR="00F23555" w:rsidRPr="00F23555">
        <w:rPr>
          <w:rFonts w:asciiTheme="minorHAnsi" w:hAnsiTheme="minorHAnsi" w:cstheme="minorHAnsi"/>
          <w:noProof/>
          <w:color w:val="000000" w:themeColor="text1"/>
          <w:sz w:val="22"/>
          <w:szCs w:val="22"/>
        </w:rPr>
        <w:t>[6]</w:t>
      </w:r>
      <w:r w:rsidR="00F23555" w:rsidRPr="00F23555">
        <w:rPr>
          <w:rStyle w:val="Rimandonotaapidipagina"/>
          <w:rFonts w:asciiTheme="minorHAnsi" w:hAnsiTheme="minorHAnsi" w:cstheme="minorHAnsi"/>
          <w:color w:val="000000" w:themeColor="text1"/>
          <w:sz w:val="22"/>
          <w:szCs w:val="22"/>
        </w:rPr>
        <w:fldChar w:fldCharType="end"/>
      </w:r>
      <w:r>
        <w:rPr>
          <w:rFonts w:asciiTheme="minorHAnsi" w:eastAsia="MS PGothic" w:hAnsiTheme="minorHAnsi"/>
          <w:color w:val="000000"/>
          <w:sz w:val="22"/>
          <w:szCs w:val="22"/>
          <w:lang w:val="en-US"/>
        </w:rPr>
        <w:t xml:space="preserve"> have been employed (Figure </w:t>
      </w:r>
      <w:r w:rsidR="00B924F9">
        <w:rPr>
          <w:rFonts w:asciiTheme="minorHAnsi" w:eastAsia="MS PGothic" w:hAnsiTheme="minorHAnsi"/>
          <w:color w:val="000000"/>
          <w:sz w:val="22"/>
          <w:szCs w:val="22"/>
          <w:lang w:val="en-US"/>
        </w:rPr>
        <w:t>1b, c, d respectively</w:t>
      </w:r>
      <w:r>
        <w:rPr>
          <w:rFonts w:asciiTheme="minorHAnsi" w:eastAsia="MS PGothic" w:hAnsiTheme="minorHAnsi"/>
          <w:color w:val="000000"/>
          <w:sz w:val="22"/>
          <w:szCs w:val="22"/>
          <w:lang w:val="en-US"/>
        </w:rPr>
        <w:t>).</w:t>
      </w:r>
    </w:p>
    <w:p w:rsidR="005471B5" w:rsidRDefault="005471B5" w:rsidP="00B924F9">
      <w:pPr>
        <w:keepNext/>
        <w:snapToGrid w:val="0"/>
        <w:spacing w:after="120"/>
        <w:jc w:val="center"/>
      </w:pPr>
      <w:r>
        <w:rPr>
          <w:rFonts w:asciiTheme="minorHAnsi" w:eastAsia="MS PGothic" w:hAnsiTheme="minorHAnsi"/>
          <w:noProof/>
          <w:color w:val="000000"/>
          <w:sz w:val="22"/>
          <w:szCs w:val="22"/>
          <w:lang w:val="en-US"/>
        </w:rPr>
        <w:drawing>
          <wp:inline distT="0" distB="0" distL="0" distR="0">
            <wp:extent cx="2472537" cy="451624"/>
            <wp:effectExtent l="0" t="0" r="4445" b="571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bax2533 (José Cirilo, PEBAX-Silanized Al2O3 Composite, Synthesis and Characterization.JPG"/>
                    <pic:cNvPicPr/>
                  </pic:nvPicPr>
                  <pic:blipFill rotWithShape="1">
                    <a:blip r:embed="rId10" cstate="print">
                      <a:extLst>
                        <a:ext uri="{28A0092B-C50C-407E-A947-70E740481C1C}">
                          <a14:useLocalDpi xmlns:a14="http://schemas.microsoft.com/office/drawing/2010/main" val="0"/>
                        </a:ext>
                      </a:extLst>
                    </a:blip>
                    <a:srcRect b="32078"/>
                    <a:stretch/>
                  </pic:blipFill>
                  <pic:spPr bwMode="auto">
                    <a:xfrm>
                      <a:off x="0" y="0"/>
                      <a:ext cx="2584180" cy="472016"/>
                    </a:xfrm>
                    <a:prstGeom prst="rect">
                      <a:avLst/>
                    </a:prstGeom>
                    <a:ln>
                      <a:noFill/>
                    </a:ln>
                    <a:extLst>
                      <a:ext uri="{53640926-AAD7-44D8-BBD7-CCE9431645EC}">
                        <a14:shadowObscured xmlns:a14="http://schemas.microsoft.com/office/drawing/2010/main"/>
                      </a:ext>
                    </a:extLst>
                  </pic:spPr>
                </pic:pic>
              </a:graphicData>
            </a:graphic>
          </wp:inline>
        </w:drawing>
      </w:r>
      <w:r w:rsidR="00B924F9">
        <w:t>a)</w:t>
      </w:r>
    </w:p>
    <w:p w:rsidR="00090D03" w:rsidRDefault="00090D03" w:rsidP="00090D03">
      <w:pPr>
        <w:keepNext/>
        <w:snapToGrid w:val="0"/>
        <w:spacing w:after="120"/>
      </w:pPr>
      <w:r>
        <w:rPr>
          <w:rFonts w:asciiTheme="minorHAnsi" w:eastAsia="MS PGothic" w:hAnsiTheme="minorHAnsi"/>
          <w:noProof/>
          <w:color w:val="000000"/>
          <w:sz w:val="22"/>
          <w:szCs w:val="22"/>
          <w:lang w:val="en-US"/>
        </w:rPr>
        <w:drawing>
          <wp:inline distT="0" distB="0" distL="0" distR="0">
            <wp:extent cx="1144517" cy="736219"/>
            <wp:effectExtent l="0" t="0" r="0" b="698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_struct_Dr-Yang-Su_National-Graphene-Institute_University-of-Manchester.jpg"/>
                    <pic:cNvPicPr/>
                  </pic:nvPicPr>
                  <pic:blipFill rotWithShape="1">
                    <a:blip r:embed="rId11" cstate="print">
                      <a:extLst>
                        <a:ext uri="{28A0092B-C50C-407E-A947-70E740481C1C}">
                          <a14:useLocalDpi xmlns:a14="http://schemas.microsoft.com/office/drawing/2010/main" val="0"/>
                        </a:ext>
                      </a:extLst>
                    </a:blip>
                    <a:srcRect l="17071" r="15841"/>
                    <a:stretch/>
                  </pic:blipFill>
                  <pic:spPr bwMode="auto">
                    <a:xfrm>
                      <a:off x="0" y="0"/>
                      <a:ext cx="1174411" cy="755449"/>
                    </a:xfrm>
                    <a:prstGeom prst="rect">
                      <a:avLst/>
                    </a:prstGeom>
                    <a:ln>
                      <a:noFill/>
                    </a:ln>
                    <a:extLst>
                      <a:ext uri="{53640926-AAD7-44D8-BBD7-CCE9431645EC}">
                        <a14:shadowObscured xmlns:a14="http://schemas.microsoft.com/office/drawing/2010/main"/>
                      </a:ext>
                    </a:extLst>
                  </pic:spPr>
                </pic:pic>
              </a:graphicData>
            </a:graphic>
          </wp:inline>
        </w:drawing>
      </w:r>
      <w:r w:rsidR="007B6944">
        <w:rPr>
          <w:rFonts w:asciiTheme="minorHAnsi" w:eastAsia="MS PGothic" w:hAnsiTheme="minorHAnsi"/>
          <w:noProof/>
          <w:color w:val="000000"/>
          <w:sz w:val="22"/>
          <w:szCs w:val="22"/>
          <w:lang w:val="en-US"/>
        </w:rPr>
        <w:t xml:space="preserve">  </w:t>
      </w:r>
      <w:r w:rsidR="00B924F9">
        <w:rPr>
          <w:rFonts w:asciiTheme="minorHAnsi" w:eastAsia="MS PGothic" w:hAnsiTheme="minorHAnsi"/>
          <w:noProof/>
          <w:color w:val="000000"/>
          <w:sz w:val="22"/>
          <w:szCs w:val="22"/>
          <w:lang w:val="en-US"/>
        </w:rPr>
        <w:t>b)</w:t>
      </w:r>
      <w:r w:rsidR="007B6944">
        <w:rPr>
          <w:rFonts w:asciiTheme="minorHAnsi" w:eastAsia="MS PGothic" w:hAnsiTheme="minorHAnsi"/>
          <w:noProof/>
          <w:color w:val="000000"/>
          <w:sz w:val="22"/>
          <w:szCs w:val="22"/>
          <w:lang w:val="en-US"/>
        </w:rPr>
        <w:t xml:space="preserve">          </w:t>
      </w:r>
      <w:r>
        <w:rPr>
          <w:rFonts w:asciiTheme="minorHAnsi" w:eastAsia="MS PGothic" w:hAnsiTheme="minorHAnsi"/>
          <w:noProof/>
          <w:color w:val="000000"/>
          <w:sz w:val="22"/>
          <w:szCs w:val="22"/>
          <w:lang w:val="en-US"/>
        </w:rPr>
        <w:drawing>
          <wp:inline distT="0" distB="0" distL="0" distR="0" wp14:anchorId="47E047F5" wp14:editId="0235703A">
            <wp:extent cx="1953158" cy="732183"/>
            <wp:effectExtent l="0" t="0" r="952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EA-GO_struct.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13405" cy="754768"/>
                    </a:xfrm>
                    <a:prstGeom prst="rect">
                      <a:avLst/>
                    </a:prstGeom>
                  </pic:spPr>
                </pic:pic>
              </a:graphicData>
            </a:graphic>
          </wp:inline>
        </w:drawing>
      </w:r>
      <w:r w:rsidR="007B6944">
        <w:rPr>
          <w:rFonts w:asciiTheme="minorHAnsi" w:eastAsia="MS PGothic" w:hAnsiTheme="minorHAnsi"/>
          <w:noProof/>
          <w:color w:val="000000"/>
          <w:sz w:val="22"/>
          <w:szCs w:val="22"/>
          <w:lang w:val="en-US"/>
        </w:rPr>
        <w:t xml:space="preserve">  </w:t>
      </w:r>
      <w:r w:rsidR="00B924F9">
        <w:rPr>
          <w:rFonts w:asciiTheme="minorHAnsi" w:eastAsia="MS PGothic" w:hAnsiTheme="minorHAnsi"/>
          <w:noProof/>
          <w:color w:val="000000"/>
          <w:sz w:val="22"/>
          <w:szCs w:val="22"/>
          <w:lang w:val="en-US"/>
        </w:rPr>
        <w:t>c)</w:t>
      </w:r>
      <w:r w:rsidR="007B6944">
        <w:rPr>
          <w:rFonts w:asciiTheme="minorHAnsi" w:eastAsia="MS PGothic" w:hAnsiTheme="minorHAnsi"/>
          <w:noProof/>
          <w:color w:val="000000"/>
          <w:sz w:val="22"/>
          <w:szCs w:val="22"/>
          <w:lang w:val="en-US"/>
        </w:rPr>
        <w:t xml:space="preserve">            </w:t>
      </w:r>
      <w:r>
        <w:rPr>
          <w:rFonts w:asciiTheme="minorHAnsi" w:eastAsia="MS PGothic" w:hAnsiTheme="minorHAnsi"/>
          <w:noProof/>
          <w:color w:val="000000"/>
          <w:sz w:val="22"/>
          <w:szCs w:val="22"/>
          <w:lang w:val="en-US"/>
        </w:rPr>
        <w:drawing>
          <wp:inline distT="0" distB="0" distL="0" distR="0" wp14:anchorId="7785FC1F" wp14:editId="6A263B5A">
            <wp:extent cx="710895" cy="761673"/>
            <wp:effectExtent l="0" t="0" r="0" b="63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GO_struct_Tagl_Chuhong-Yu,Bowu-Zhang_Engineering nano-porous graphene oxide by hydroxyl radicals.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40080" cy="792942"/>
                    </a:xfrm>
                    <a:prstGeom prst="rect">
                      <a:avLst/>
                    </a:prstGeom>
                  </pic:spPr>
                </pic:pic>
              </a:graphicData>
            </a:graphic>
          </wp:inline>
        </w:drawing>
      </w:r>
      <w:r w:rsidR="00FC773E">
        <w:rPr>
          <w:rFonts w:asciiTheme="minorHAnsi" w:eastAsia="MS PGothic" w:hAnsiTheme="minorHAnsi"/>
          <w:noProof/>
          <w:color w:val="000000"/>
          <w:sz w:val="22"/>
          <w:szCs w:val="22"/>
          <w:lang w:val="en-US"/>
        </w:rPr>
        <w:t xml:space="preserve"> </w:t>
      </w:r>
      <w:r w:rsidR="00B924F9">
        <w:rPr>
          <w:rFonts w:asciiTheme="minorHAnsi" w:eastAsia="MS PGothic" w:hAnsiTheme="minorHAnsi"/>
          <w:noProof/>
          <w:color w:val="000000"/>
          <w:sz w:val="22"/>
          <w:szCs w:val="22"/>
          <w:lang w:val="en-US"/>
        </w:rPr>
        <w:t>d)</w:t>
      </w:r>
    </w:p>
    <w:p w:rsidR="00090D03" w:rsidRPr="00090D03" w:rsidRDefault="00090D03" w:rsidP="00917414">
      <w:pPr>
        <w:pStyle w:val="Didascalia"/>
        <w:jc w:val="center"/>
        <w:rPr>
          <w:rFonts w:asciiTheme="minorHAnsi" w:hAnsiTheme="minorHAnsi" w:cstheme="minorHAnsi"/>
          <w:b w:val="0"/>
          <w:color w:val="000000" w:themeColor="text1"/>
        </w:rPr>
      </w:pPr>
      <w:r w:rsidRPr="00090D03">
        <w:rPr>
          <w:rFonts w:asciiTheme="minorHAnsi" w:hAnsiTheme="minorHAnsi" w:cstheme="minorHAnsi"/>
          <w:color w:val="000000" w:themeColor="text1"/>
        </w:rPr>
        <w:t xml:space="preserve">Figure </w:t>
      </w:r>
      <w:r w:rsidR="00B924F9">
        <w:rPr>
          <w:rFonts w:asciiTheme="minorHAnsi" w:hAnsiTheme="minorHAnsi" w:cstheme="minorHAnsi"/>
          <w:color w:val="000000" w:themeColor="text1"/>
        </w:rPr>
        <w:t>1</w:t>
      </w:r>
      <w:r w:rsidRPr="00090D03">
        <w:rPr>
          <w:rFonts w:asciiTheme="minorHAnsi" w:hAnsiTheme="minorHAnsi" w:cstheme="minorHAnsi"/>
          <w:color w:val="000000" w:themeColor="text1"/>
        </w:rPr>
        <w:t>:</w:t>
      </w:r>
      <w:r w:rsidR="00B924F9">
        <w:rPr>
          <w:rFonts w:asciiTheme="minorHAnsi" w:hAnsiTheme="minorHAnsi" w:cstheme="minorHAnsi"/>
          <w:color w:val="000000" w:themeColor="text1"/>
        </w:rPr>
        <w:t xml:space="preserve"> </w:t>
      </w:r>
      <w:r w:rsidR="00917414" w:rsidRPr="00566755">
        <w:rPr>
          <w:rFonts w:asciiTheme="minorHAnsi" w:hAnsiTheme="minorHAnsi" w:cstheme="minorHAnsi"/>
          <w:b w:val="0"/>
          <w:color w:val="000000" w:themeColor="text1"/>
        </w:rPr>
        <w:t>S</w:t>
      </w:r>
      <w:r w:rsidR="00F23555">
        <w:rPr>
          <w:rFonts w:asciiTheme="minorHAnsi" w:hAnsiTheme="minorHAnsi" w:cstheme="minorHAnsi"/>
          <w:b w:val="0"/>
          <w:color w:val="000000" w:themeColor="text1"/>
        </w:rPr>
        <w:t xml:space="preserve">tructure of the materials used: </w:t>
      </w:r>
      <w:r w:rsidR="00917414" w:rsidRPr="00B924F9">
        <w:rPr>
          <w:rFonts w:asciiTheme="minorHAnsi" w:hAnsiTheme="minorHAnsi" w:cstheme="minorHAnsi"/>
          <w:b w:val="0"/>
          <w:color w:val="000000" w:themeColor="text1"/>
        </w:rPr>
        <w:t xml:space="preserve">a) </w:t>
      </w:r>
      <w:r w:rsidR="00B924F9" w:rsidRPr="00B924F9">
        <w:rPr>
          <w:rFonts w:asciiTheme="minorHAnsi" w:eastAsia="MS PGothic" w:hAnsiTheme="minorHAnsi" w:cstheme="minorHAnsi"/>
          <w:b w:val="0"/>
          <w:color w:val="000000"/>
          <w:lang w:val="en-US"/>
        </w:rPr>
        <w:t>Pebax®2533</w:t>
      </w:r>
      <w:r w:rsidR="00B924F9" w:rsidRPr="00B924F9">
        <w:rPr>
          <w:rFonts w:asciiTheme="minorHAnsi" w:hAnsiTheme="minorHAnsi" w:cstheme="minorHAnsi"/>
          <w:b w:val="0"/>
          <w:color w:val="000000" w:themeColor="text1"/>
        </w:rPr>
        <w:t>, b)</w:t>
      </w:r>
      <w:bookmarkStart w:id="1" w:name="_GoBack"/>
      <w:bookmarkEnd w:id="1"/>
      <w:r w:rsidR="00B924F9" w:rsidRPr="00B924F9">
        <w:rPr>
          <w:rFonts w:asciiTheme="minorHAnsi" w:hAnsiTheme="minorHAnsi" w:cstheme="minorHAnsi"/>
          <w:b w:val="0"/>
          <w:color w:val="000000" w:themeColor="text1"/>
        </w:rPr>
        <w:t xml:space="preserve"> </w:t>
      </w:r>
      <w:r w:rsidRPr="00B924F9">
        <w:rPr>
          <w:rFonts w:asciiTheme="minorHAnsi" w:hAnsiTheme="minorHAnsi" w:cstheme="minorHAnsi"/>
          <w:b w:val="0"/>
          <w:color w:val="000000" w:themeColor="text1"/>
        </w:rPr>
        <w:t xml:space="preserve">GO, </w:t>
      </w:r>
      <w:r w:rsidR="00B924F9" w:rsidRPr="00B924F9">
        <w:rPr>
          <w:rFonts w:asciiTheme="minorHAnsi" w:hAnsiTheme="minorHAnsi" w:cstheme="minorHAnsi"/>
          <w:b w:val="0"/>
          <w:color w:val="000000" w:themeColor="text1"/>
        </w:rPr>
        <w:t xml:space="preserve">c) </w:t>
      </w:r>
      <w:r w:rsidRPr="00B924F9">
        <w:rPr>
          <w:rFonts w:asciiTheme="minorHAnsi" w:hAnsiTheme="minorHAnsi" w:cstheme="minorHAnsi"/>
          <w:b w:val="0"/>
          <w:color w:val="000000" w:themeColor="text1"/>
        </w:rPr>
        <w:t>PEAGO</w:t>
      </w:r>
      <w:r w:rsidR="00B924F9" w:rsidRPr="00B924F9">
        <w:rPr>
          <w:rFonts w:asciiTheme="minorHAnsi" w:hAnsiTheme="minorHAnsi" w:cstheme="minorHAnsi"/>
          <w:b w:val="0"/>
          <w:color w:val="000000" w:themeColor="text1"/>
        </w:rPr>
        <w:t xml:space="preserve"> and d) </w:t>
      </w:r>
      <w:r w:rsidRPr="00B924F9">
        <w:rPr>
          <w:rFonts w:asciiTheme="minorHAnsi" w:hAnsiTheme="minorHAnsi" w:cstheme="minorHAnsi"/>
          <w:b w:val="0"/>
          <w:color w:val="000000" w:themeColor="text1"/>
        </w:rPr>
        <w:t>PGO</w:t>
      </w:r>
    </w:p>
    <w:p w:rsidR="00704BDF" w:rsidRPr="008D0BEB" w:rsidRDefault="00704BDF" w:rsidP="00C867B1">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7B6944" w:rsidRDefault="007B6944"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For the dispersion of GO in </w:t>
      </w:r>
      <w:r w:rsidRPr="00165AAC">
        <w:rPr>
          <w:rFonts w:asciiTheme="minorHAnsi" w:eastAsia="MS PGothic" w:hAnsiTheme="minorHAnsi"/>
          <w:color w:val="000000"/>
          <w:sz w:val="22"/>
          <w:szCs w:val="22"/>
          <w:lang w:val="en-US"/>
        </w:rPr>
        <w:t>Pebax®2533</w:t>
      </w:r>
      <w:r>
        <w:rPr>
          <w:rFonts w:asciiTheme="minorHAnsi" w:eastAsia="MS PGothic" w:hAnsiTheme="minorHAnsi"/>
          <w:color w:val="000000"/>
          <w:sz w:val="22"/>
          <w:szCs w:val="22"/>
          <w:lang w:val="en-US"/>
        </w:rPr>
        <w:t>, a double-solvent solution has been achieved: water dispersion of GO was dropped in</w:t>
      </w:r>
      <w:r w:rsidR="00B924F9">
        <w:rPr>
          <w:rFonts w:asciiTheme="minorHAnsi" w:eastAsia="MS PGothic" w:hAnsiTheme="minorHAnsi"/>
          <w:color w:val="000000"/>
          <w:sz w:val="22"/>
          <w:szCs w:val="22"/>
          <w:lang w:val="en-US"/>
        </w:rPr>
        <w:t xml:space="preserve"> a</w:t>
      </w:r>
      <w:r>
        <w:rPr>
          <w:rFonts w:asciiTheme="minorHAnsi" w:eastAsia="MS PGothic" w:hAnsiTheme="minorHAnsi"/>
          <w:color w:val="000000"/>
          <w:sz w:val="22"/>
          <w:szCs w:val="22"/>
          <w:lang w:val="en-US"/>
        </w:rPr>
        <w:t xml:space="preserve"> </w:t>
      </w:r>
      <w:r w:rsidRPr="00165AAC">
        <w:rPr>
          <w:rFonts w:asciiTheme="minorHAnsi" w:eastAsia="MS PGothic" w:hAnsiTheme="minorHAnsi"/>
          <w:color w:val="000000"/>
          <w:sz w:val="22"/>
          <w:szCs w:val="22"/>
          <w:lang w:val="en-US"/>
        </w:rPr>
        <w:t>Pebax®2533</w:t>
      </w:r>
      <w:r>
        <w:rPr>
          <w:rFonts w:asciiTheme="minorHAnsi" w:eastAsia="MS PGothic" w:hAnsiTheme="minorHAnsi"/>
          <w:color w:val="000000"/>
          <w:sz w:val="22"/>
          <w:szCs w:val="22"/>
          <w:lang w:val="en-US"/>
        </w:rPr>
        <w:t xml:space="preserve"> </w:t>
      </w:r>
      <w:r w:rsidR="00B924F9">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 xml:space="preserve">ethanol solution in order to reach concentration GO/Polymer of 0,02 to 1 </w:t>
      </w:r>
      <w:proofErr w:type="spellStart"/>
      <w:r>
        <w:rPr>
          <w:rFonts w:asciiTheme="minorHAnsi" w:eastAsia="MS PGothic" w:hAnsiTheme="minorHAnsi"/>
          <w:color w:val="000000"/>
          <w:sz w:val="22"/>
          <w:szCs w:val="22"/>
          <w:lang w:val="en-US"/>
        </w:rPr>
        <w:t>wt</w:t>
      </w:r>
      <w:proofErr w:type="spellEnd"/>
      <w:r>
        <w:rPr>
          <w:rFonts w:asciiTheme="minorHAnsi" w:eastAsia="MS PGothic" w:hAnsiTheme="minorHAnsi"/>
          <w:color w:val="000000"/>
          <w:sz w:val="22"/>
          <w:szCs w:val="22"/>
          <w:lang w:val="en-US"/>
        </w:rPr>
        <w:t xml:space="preserve">%, leading to smooth and totally homogeneous membranes. Same mixing procedure have been used for PEAGO and PGO, but in these cases only 0,02 </w:t>
      </w:r>
      <w:proofErr w:type="spellStart"/>
      <w:r>
        <w:rPr>
          <w:rFonts w:asciiTheme="minorHAnsi" w:eastAsia="MS PGothic" w:hAnsiTheme="minorHAnsi"/>
          <w:color w:val="000000"/>
          <w:sz w:val="22"/>
          <w:szCs w:val="22"/>
          <w:lang w:val="en-US"/>
        </w:rPr>
        <w:t>wt</w:t>
      </w:r>
      <w:proofErr w:type="spellEnd"/>
      <w:r>
        <w:rPr>
          <w:rFonts w:asciiTheme="minorHAnsi" w:eastAsia="MS PGothic" w:hAnsiTheme="minorHAnsi"/>
          <w:color w:val="000000"/>
          <w:sz w:val="22"/>
          <w:szCs w:val="22"/>
          <w:lang w:val="en-US"/>
        </w:rPr>
        <w:t>% loaded composites were homogeneous and reasonable to test.</w:t>
      </w:r>
    </w:p>
    <w:p w:rsidR="00A87CD9" w:rsidRDefault="00A87CD9"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All membranes have been obtained by </w:t>
      </w:r>
      <w:r w:rsidR="00B924F9">
        <w:rPr>
          <w:rFonts w:asciiTheme="minorHAnsi" w:eastAsia="MS PGothic" w:hAnsiTheme="minorHAnsi"/>
          <w:color w:val="000000"/>
          <w:sz w:val="22"/>
          <w:szCs w:val="22"/>
          <w:lang w:val="en-US"/>
        </w:rPr>
        <w:t>pouring</w:t>
      </w:r>
      <w:r>
        <w:rPr>
          <w:rFonts w:asciiTheme="minorHAnsi" w:eastAsia="MS PGothic" w:hAnsiTheme="minorHAnsi"/>
          <w:color w:val="000000"/>
          <w:sz w:val="22"/>
          <w:szCs w:val="22"/>
          <w:lang w:val="en-US"/>
        </w:rPr>
        <w:t xml:space="preserve"> </w:t>
      </w:r>
      <w:r w:rsidR="00B924F9">
        <w:rPr>
          <w:rFonts w:asciiTheme="minorHAnsi" w:eastAsia="MS PGothic" w:hAnsiTheme="minorHAnsi"/>
          <w:color w:val="000000"/>
          <w:sz w:val="22"/>
          <w:szCs w:val="22"/>
          <w:lang w:val="en-US"/>
        </w:rPr>
        <w:t xml:space="preserve">some </w:t>
      </w:r>
      <w:r>
        <w:rPr>
          <w:rFonts w:asciiTheme="minorHAnsi" w:eastAsia="MS PGothic" w:hAnsiTheme="minorHAnsi"/>
          <w:color w:val="000000"/>
          <w:sz w:val="22"/>
          <w:szCs w:val="22"/>
          <w:lang w:val="en-US"/>
        </w:rPr>
        <w:t xml:space="preserve">polymer solution, or polymer + filler dispersion, in </w:t>
      </w:r>
      <w:r w:rsidR="00B924F9">
        <w:rPr>
          <w:rFonts w:asciiTheme="minorHAnsi" w:eastAsia="MS PGothic" w:hAnsiTheme="minorHAnsi"/>
          <w:color w:val="000000"/>
          <w:sz w:val="22"/>
          <w:szCs w:val="22"/>
          <w:lang w:val="en-US"/>
        </w:rPr>
        <w:t xml:space="preserve">a </w:t>
      </w:r>
      <w:r>
        <w:rPr>
          <w:rFonts w:asciiTheme="minorHAnsi" w:eastAsia="MS PGothic" w:hAnsiTheme="minorHAnsi"/>
          <w:color w:val="000000"/>
          <w:sz w:val="22"/>
          <w:szCs w:val="22"/>
          <w:lang w:val="en-US"/>
        </w:rPr>
        <w:t xml:space="preserve">PTFE petri, </w:t>
      </w:r>
      <w:r w:rsidR="00B924F9">
        <w:rPr>
          <w:rFonts w:asciiTheme="minorHAnsi" w:eastAsia="MS PGothic" w:hAnsiTheme="minorHAnsi"/>
          <w:color w:val="000000"/>
          <w:sz w:val="22"/>
          <w:szCs w:val="22"/>
          <w:lang w:val="en-US"/>
        </w:rPr>
        <w:t xml:space="preserve">to then let the solvent </w:t>
      </w:r>
      <w:r w:rsidR="00F23555">
        <w:rPr>
          <w:rFonts w:asciiTheme="minorHAnsi" w:eastAsia="MS PGothic" w:hAnsiTheme="minorHAnsi"/>
          <w:color w:val="000000"/>
          <w:sz w:val="22"/>
          <w:szCs w:val="22"/>
          <w:lang w:val="en-US"/>
        </w:rPr>
        <w:t xml:space="preserve">slowly </w:t>
      </w:r>
      <w:r w:rsidR="00B924F9">
        <w:rPr>
          <w:rFonts w:asciiTheme="minorHAnsi" w:eastAsia="MS PGothic" w:hAnsiTheme="minorHAnsi"/>
          <w:color w:val="000000"/>
          <w:sz w:val="22"/>
          <w:szCs w:val="22"/>
          <w:lang w:val="en-US"/>
        </w:rPr>
        <w:t>e</w:t>
      </w:r>
      <w:r>
        <w:rPr>
          <w:rFonts w:asciiTheme="minorHAnsi" w:eastAsia="MS PGothic" w:hAnsiTheme="minorHAnsi"/>
          <w:color w:val="000000"/>
          <w:sz w:val="22"/>
          <w:szCs w:val="22"/>
          <w:lang w:val="en-US"/>
        </w:rPr>
        <w:t>vaporat</w:t>
      </w:r>
      <w:r w:rsidR="00B924F9">
        <w:rPr>
          <w:rFonts w:asciiTheme="minorHAnsi" w:eastAsia="MS PGothic" w:hAnsiTheme="minorHAnsi"/>
          <w:color w:val="000000"/>
          <w:sz w:val="22"/>
          <w:szCs w:val="22"/>
          <w:lang w:val="en-US"/>
        </w:rPr>
        <w:t>e</w:t>
      </w:r>
      <w:r>
        <w:rPr>
          <w:rFonts w:asciiTheme="minorHAnsi" w:eastAsia="MS PGothic" w:hAnsiTheme="minorHAnsi"/>
          <w:color w:val="000000"/>
          <w:sz w:val="22"/>
          <w:szCs w:val="22"/>
          <w:lang w:val="en-US"/>
        </w:rPr>
        <w:t xml:space="preserve"> at room temperature</w:t>
      </w:r>
    </w:p>
    <w:p w:rsidR="00F63423" w:rsidRDefault="00CD4437"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CO</w:t>
      </w:r>
      <w:r w:rsidRPr="00CD4437">
        <w:rPr>
          <w:rFonts w:asciiTheme="minorHAnsi" w:eastAsia="MS PGothic" w:hAnsiTheme="minorHAnsi"/>
          <w:color w:val="000000"/>
          <w:sz w:val="22"/>
          <w:szCs w:val="22"/>
          <w:vertAlign w:val="subscript"/>
          <w:lang w:val="en-US"/>
        </w:rPr>
        <w:t>2</w:t>
      </w:r>
      <w:r>
        <w:rPr>
          <w:rFonts w:asciiTheme="minorHAnsi" w:eastAsia="MS PGothic" w:hAnsiTheme="minorHAnsi"/>
          <w:color w:val="000000"/>
          <w:sz w:val="22"/>
          <w:szCs w:val="22"/>
          <w:lang w:val="en-US"/>
        </w:rPr>
        <w:t xml:space="preserve"> and N</w:t>
      </w:r>
      <w:r w:rsidRPr="00CD4437">
        <w:rPr>
          <w:rFonts w:asciiTheme="minorHAnsi" w:eastAsia="MS PGothic" w:hAnsiTheme="minorHAnsi"/>
          <w:color w:val="000000"/>
          <w:sz w:val="22"/>
          <w:szCs w:val="22"/>
          <w:vertAlign w:val="subscript"/>
          <w:lang w:val="en-US"/>
        </w:rPr>
        <w:t>2</w:t>
      </w:r>
      <w:r>
        <w:rPr>
          <w:rFonts w:asciiTheme="minorHAnsi" w:eastAsia="MS PGothic" w:hAnsiTheme="minorHAnsi"/>
          <w:color w:val="000000"/>
          <w:sz w:val="22"/>
          <w:szCs w:val="22"/>
          <w:lang w:val="en-US"/>
        </w:rPr>
        <w:t xml:space="preserve"> permeation test on </w:t>
      </w:r>
      <w:r w:rsidR="00F23555">
        <w:rPr>
          <w:rFonts w:asciiTheme="minorHAnsi" w:eastAsia="MS PGothic" w:hAnsiTheme="minorHAnsi"/>
          <w:color w:val="000000"/>
          <w:sz w:val="22"/>
          <w:szCs w:val="22"/>
          <w:lang w:val="en-US"/>
        </w:rPr>
        <w:t xml:space="preserve">the different materials </w:t>
      </w:r>
      <w:r>
        <w:rPr>
          <w:rFonts w:asciiTheme="minorHAnsi" w:eastAsia="MS PGothic" w:hAnsiTheme="minorHAnsi"/>
          <w:color w:val="000000"/>
          <w:sz w:val="22"/>
          <w:szCs w:val="22"/>
          <w:lang w:val="en-US"/>
        </w:rPr>
        <w:t xml:space="preserve">have been </w:t>
      </w:r>
      <w:r w:rsidR="00F23555">
        <w:rPr>
          <w:rFonts w:asciiTheme="minorHAnsi" w:eastAsia="MS PGothic" w:hAnsiTheme="minorHAnsi"/>
          <w:color w:val="000000"/>
          <w:sz w:val="22"/>
          <w:szCs w:val="22"/>
          <w:lang w:val="en-US"/>
        </w:rPr>
        <w:t xml:space="preserve">carried out by </w:t>
      </w:r>
      <w:r>
        <w:rPr>
          <w:rFonts w:asciiTheme="minorHAnsi" w:eastAsia="MS PGothic" w:hAnsiTheme="minorHAnsi"/>
          <w:color w:val="000000"/>
          <w:sz w:val="22"/>
          <w:szCs w:val="22"/>
          <w:lang w:val="en-US"/>
        </w:rPr>
        <w:t>using a</w:t>
      </w:r>
      <w:r w:rsidR="00C90D53">
        <w:rPr>
          <w:rFonts w:asciiTheme="minorHAnsi" w:eastAsia="MS PGothic" w:hAnsiTheme="minorHAnsi"/>
          <w:color w:val="000000"/>
          <w:sz w:val="22"/>
          <w:szCs w:val="22"/>
          <w:lang w:val="en-US"/>
        </w:rPr>
        <w:t xml:space="preserve"> single-gas</w:t>
      </w:r>
      <w:r>
        <w:rPr>
          <w:rFonts w:asciiTheme="minorHAnsi" w:eastAsia="MS PGothic" w:hAnsiTheme="minorHAnsi"/>
          <w:color w:val="000000"/>
          <w:sz w:val="22"/>
          <w:szCs w:val="22"/>
          <w:lang w:val="en-US"/>
        </w:rPr>
        <w:t xml:space="preserve"> static </w:t>
      </w:r>
      <w:proofErr w:type="spellStart"/>
      <w:r>
        <w:rPr>
          <w:rFonts w:asciiTheme="minorHAnsi" w:eastAsia="MS PGothic" w:hAnsiTheme="minorHAnsi"/>
          <w:color w:val="000000"/>
          <w:sz w:val="22"/>
          <w:szCs w:val="22"/>
          <w:lang w:val="en-US"/>
        </w:rPr>
        <w:t>permeometer</w:t>
      </w:r>
      <w:proofErr w:type="spellEnd"/>
      <w:r>
        <w:rPr>
          <w:rFonts w:asciiTheme="minorHAnsi" w:eastAsia="MS PGothic" w:hAnsiTheme="minorHAnsi"/>
          <w:color w:val="000000"/>
          <w:sz w:val="22"/>
          <w:szCs w:val="22"/>
          <w:lang w:val="en-US"/>
        </w:rPr>
        <w:t>.</w:t>
      </w:r>
      <w:r w:rsidR="00C90D53">
        <w:rPr>
          <w:rFonts w:asciiTheme="minorHAnsi" w:eastAsia="MS PGothic" w:hAnsiTheme="minorHAnsi"/>
          <w:color w:val="000000"/>
          <w:sz w:val="22"/>
          <w:szCs w:val="22"/>
          <w:lang w:val="en-US"/>
        </w:rPr>
        <w:t xml:space="preserve"> All permeation test</w:t>
      </w:r>
      <w:r w:rsidR="00F23555">
        <w:rPr>
          <w:rFonts w:asciiTheme="minorHAnsi" w:eastAsia="MS PGothic" w:hAnsiTheme="minorHAnsi"/>
          <w:color w:val="000000"/>
          <w:sz w:val="22"/>
          <w:szCs w:val="22"/>
          <w:lang w:val="en-US"/>
        </w:rPr>
        <w:t>s</w:t>
      </w:r>
      <w:r w:rsidR="00C90D53">
        <w:rPr>
          <w:rFonts w:asciiTheme="minorHAnsi" w:eastAsia="MS PGothic" w:hAnsiTheme="minorHAnsi"/>
          <w:color w:val="000000"/>
          <w:sz w:val="22"/>
          <w:szCs w:val="22"/>
          <w:lang w:val="en-US"/>
        </w:rPr>
        <w:t xml:space="preserve"> have been conducted</w:t>
      </w:r>
      <w:r w:rsidR="00F23555">
        <w:rPr>
          <w:rFonts w:asciiTheme="minorHAnsi" w:eastAsia="MS PGothic" w:hAnsiTheme="minorHAnsi"/>
          <w:color w:val="000000"/>
          <w:sz w:val="22"/>
          <w:szCs w:val="22"/>
          <w:lang w:val="en-US"/>
        </w:rPr>
        <w:t xml:space="preserve"> at 35 °C.</w:t>
      </w:r>
      <w:r w:rsidR="00C90D53">
        <w:rPr>
          <w:rFonts w:asciiTheme="minorHAnsi" w:eastAsia="MS PGothic" w:hAnsiTheme="minorHAnsi"/>
          <w:color w:val="000000"/>
          <w:sz w:val="22"/>
          <w:szCs w:val="22"/>
          <w:lang w:val="en-US"/>
        </w:rPr>
        <w:t xml:space="preserve"> with an upstream pressure </w:t>
      </w:r>
      <w:r w:rsidR="00C90D53">
        <w:rPr>
          <w:rFonts w:asciiTheme="minorHAnsi" w:eastAsia="MS PGothic" w:hAnsiTheme="minorHAnsi"/>
          <w:color w:val="000000"/>
          <w:sz w:val="22"/>
          <w:szCs w:val="22"/>
          <w:lang w:val="en-US"/>
        </w:rPr>
        <w:lastRenderedPageBreak/>
        <w:t>of 1 bar</w:t>
      </w:r>
      <w:r w:rsidR="00F23555">
        <w:rPr>
          <w:rFonts w:asciiTheme="minorHAnsi" w:eastAsia="MS PGothic" w:hAnsiTheme="minorHAnsi"/>
          <w:color w:val="000000"/>
          <w:sz w:val="22"/>
          <w:szCs w:val="22"/>
          <w:lang w:val="en-US"/>
        </w:rPr>
        <w:t xml:space="preserve">. The permeability was measured by monitoring the pressure increase in the calibrated permeate site, which was in vacuum condition at the beginning of each test.  </w:t>
      </w:r>
    </w:p>
    <w:p w:rsidR="001E1CC2"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D87EBD" w:rsidRDefault="001E1CC2" w:rsidP="00704BDF">
      <w:pPr>
        <w:snapToGrid w:val="0"/>
        <w:spacing w:before="240" w:line="300" w:lineRule="auto"/>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 </w:t>
      </w:r>
      <w:r w:rsidR="002F7292">
        <w:rPr>
          <w:rFonts w:asciiTheme="minorHAnsi" w:eastAsia="MS PGothic" w:hAnsiTheme="minorHAnsi"/>
          <w:color w:val="000000"/>
          <w:sz w:val="22"/>
          <w:szCs w:val="22"/>
          <w:lang w:val="en-US"/>
        </w:rPr>
        <w:t xml:space="preserve">Permeation results </w:t>
      </w:r>
      <w:r w:rsidR="00F23555">
        <w:rPr>
          <w:rFonts w:asciiTheme="minorHAnsi" w:eastAsia="MS PGothic" w:hAnsiTheme="minorHAnsi"/>
          <w:color w:val="000000"/>
          <w:sz w:val="22"/>
          <w:szCs w:val="22"/>
          <w:lang w:val="en-US"/>
        </w:rPr>
        <w:t xml:space="preserve">are reported in Figure </w:t>
      </w:r>
      <w:r w:rsidR="00566755">
        <w:rPr>
          <w:rFonts w:asciiTheme="minorHAnsi" w:eastAsia="MS PGothic" w:hAnsiTheme="minorHAnsi"/>
          <w:color w:val="000000"/>
          <w:sz w:val="22"/>
          <w:szCs w:val="22"/>
          <w:lang w:val="en-US"/>
        </w:rPr>
        <w:t>3</w:t>
      </w:r>
      <w:r w:rsidR="00F23555">
        <w:rPr>
          <w:rFonts w:asciiTheme="minorHAnsi" w:eastAsia="MS PGothic" w:hAnsiTheme="minorHAnsi"/>
          <w:color w:val="000000"/>
          <w:sz w:val="22"/>
          <w:szCs w:val="22"/>
          <w:lang w:val="en-US"/>
        </w:rPr>
        <w:t xml:space="preserve"> and table</w:t>
      </w:r>
      <w:r w:rsidR="002F7292">
        <w:rPr>
          <w:rFonts w:asciiTheme="minorHAnsi" w:eastAsia="MS PGothic" w:hAnsiTheme="minorHAnsi"/>
          <w:color w:val="000000"/>
          <w:sz w:val="22"/>
          <w:szCs w:val="22"/>
          <w:lang w:val="en-US"/>
        </w:rPr>
        <w:t xml:space="preserve"> 1</w:t>
      </w:r>
      <w:r w:rsidR="00FC773E">
        <w:rPr>
          <w:rFonts w:asciiTheme="minorHAnsi" w:eastAsia="MS PGothic" w:hAnsiTheme="minorHAnsi"/>
          <w:color w:val="000000"/>
          <w:sz w:val="22"/>
          <w:szCs w:val="22"/>
          <w:lang w:val="en-US"/>
        </w:rPr>
        <w:t xml:space="preserve">; the data in the figure </w:t>
      </w:r>
      <w:proofErr w:type="gramStart"/>
      <w:r w:rsidR="00FC773E">
        <w:rPr>
          <w:rFonts w:asciiTheme="minorHAnsi" w:eastAsia="MS PGothic" w:hAnsiTheme="minorHAnsi"/>
          <w:color w:val="000000"/>
          <w:sz w:val="22"/>
          <w:szCs w:val="22"/>
          <w:lang w:val="en-US"/>
        </w:rPr>
        <w:t>in particular reports</w:t>
      </w:r>
      <w:proofErr w:type="gramEnd"/>
      <w:r w:rsidR="00FC773E">
        <w:rPr>
          <w:rFonts w:asciiTheme="minorHAnsi" w:eastAsia="MS PGothic" w:hAnsiTheme="minorHAnsi"/>
          <w:color w:val="000000"/>
          <w:sz w:val="22"/>
          <w:szCs w:val="22"/>
          <w:lang w:val="en-US"/>
        </w:rPr>
        <w:t xml:space="preserve"> the effect of loading of separation performance on </w:t>
      </w:r>
      <w:proofErr w:type="spellStart"/>
      <w:r w:rsidR="00FC773E">
        <w:rPr>
          <w:rFonts w:asciiTheme="minorHAnsi" w:eastAsia="MS PGothic" w:hAnsiTheme="minorHAnsi"/>
          <w:color w:val="000000"/>
          <w:sz w:val="22"/>
          <w:szCs w:val="22"/>
          <w:lang w:val="en-US"/>
        </w:rPr>
        <w:t>Pebax</w:t>
      </w:r>
      <w:proofErr w:type="spellEnd"/>
      <w:r w:rsidR="00FC773E">
        <w:rPr>
          <w:rFonts w:asciiTheme="minorHAnsi" w:eastAsia="MS PGothic" w:hAnsiTheme="minorHAnsi"/>
          <w:color w:val="000000"/>
          <w:sz w:val="22"/>
          <w:szCs w:val="22"/>
          <w:lang w:val="en-US"/>
        </w:rPr>
        <w:t xml:space="preserve"> + GO</w:t>
      </w:r>
      <w:r w:rsidR="002F7292">
        <w:rPr>
          <w:rFonts w:asciiTheme="minorHAnsi" w:eastAsia="MS PGothic" w:hAnsiTheme="minorHAnsi"/>
          <w:color w:val="000000"/>
          <w:sz w:val="22"/>
          <w:szCs w:val="22"/>
          <w:lang w:val="en-US"/>
        </w:rPr>
        <w:t xml:space="preserve"> </w:t>
      </w:r>
      <w:r w:rsidR="00FC773E">
        <w:rPr>
          <w:rFonts w:asciiTheme="minorHAnsi" w:eastAsia="MS PGothic" w:hAnsiTheme="minorHAnsi"/>
          <w:color w:val="000000"/>
          <w:sz w:val="22"/>
          <w:szCs w:val="22"/>
          <w:lang w:val="en-US"/>
        </w:rPr>
        <w:t xml:space="preserve">matrix </w:t>
      </w:r>
      <w:r w:rsidR="002F7292">
        <w:rPr>
          <w:rFonts w:asciiTheme="minorHAnsi" w:eastAsia="MS PGothic" w:hAnsiTheme="minorHAnsi"/>
          <w:color w:val="000000"/>
          <w:sz w:val="22"/>
          <w:szCs w:val="22"/>
          <w:lang w:val="en-US"/>
        </w:rPr>
        <w:t xml:space="preserve">and </w:t>
      </w:r>
      <w:r w:rsidR="00D87EBD">
        <w:rPr>
          <w:rFonts w:asciiTheme="minorHAnsi" w:eastAsia="MS PGothic" w:hAnsiTheme="minorHAnsi"/>
          <w:color w:val="000000"/>
          <w:sz w:val="22"/>
          <w:szCs w:val="22"/>
          <w:lang w:val="en-US"/>
        </w:rPr>
        <w:t xml:space="preserve">showed that adding GO over 0,02 </w:t>
      </w:r>
      <w:proofErr w:type="spellStart"/>
      <w:r w:rsidR="00D87EBD">
        <w:rPr>
          <w:rFonts w:asciiTheme="minorHAnsi" w:eastAsia="MS PGothic" w:hAnsiTheme="minorHAnsi"/>
          <w:color w:val="000000"/>
          <w:sz w:val="22"/>
          <w:szCs w:val="22"/>
          <w:lang w:val="en-US"/>
        </w:rPr>
        <w:t>wt</w:t>
      </w:r>
      <w:proofErr w:type="spellEnd"/>
      <w:r w:rsidR="00D87EBD">
        <w:rPr>
          <w:rFonts w:asciiTheme="minorHAnsi" w:eastAsia="MS PGothic" w:hAnsiTheme="minorHAnsi"/>
          <w:color w:val="000000"/>
          <w:sz w:val="22"/>
          <w:szCs w:val="22"/>
          <w:lang w:val="en-US"/>
        </w:rPr>
        <w:t>% decrease the CO</w:t>
      </w:r>
      <w:r w:rsidR="00D87EBD" w:rsidRPr="00D87EBD">
        <w:rPr>
          <w:rFonts w:asciiTheme="minorHAnsi" w:eastAsia="MS PGothic" w:hAnsiTheme="minorHAnsi"/>
          <w:color w:val="000000"/>
          <w:sz w:val="22"/>
          <w:szCs w:val="22"/>
          <w:vertAlign w:val="subscript"/>
          <w:lang w:val="en-US"/>
        </w:rPr>
        <w:t>2</w:t>
      </w:r>
      <w:r w:rsidR="00D87EBD">
        <w:rPr>
          <w:rFonts w:asciiTheme="minorHAnsi" w:eastAsia="MS PGothic" w:hAnsiTheme="minorHAnsi"/>
          <w:color w:val="000000"/>
          <w:sz w:val="22"/>
          <w:szCs w:val="22"/>
          <w:lang w:val="en-US"/>
        </w:rPr>
        <w:t xml:space="preserve"> permeability while has no effect on CO</w:t>
      </w:r>
      <w:r w:rsidR="00D87EBD" w:rsidRPr="00D87EBD">
        <w:rPr>
          <w:rFonts w:asciiTheme="minorHAnsi" w:eastAsia="MS PGothic" w:hAnsiTheme="minorHAnsi"/>
          <w:color w:val="000000"/>
          <w:sz w:val="22"/>
          <w:szCs w:val="22"/>
          <w:vertAlign w:val="subscript"/>
          <w:lang w:val="en-US"/>
        </w:rPr>
        <w:t>2</w:t>
      </w:r>
      <w:r w:rsidR="00D87EBD">
        <w:rPr>
          <w:rFonts w:asciiTheme="minorHAnsi" w:eastAsia="MS PGothic" w:hAnsiTheme="minorHAnsi"/>
          <w:color w:val="000000"/>
          <w:sz w:val="22"/>
          <w:szCs w:val="22"/>
          <w:lang w:val="en-US"/>
        </w:rPr>
        <w:t>/N</w:t>
      </w:r>
      <w:r w:rsidR="00D87EBD" w:rsidRPr="00D87EBD">
        <w:rPr>
          <w:rFonts w:asciiTheme="minorHAnsi" w:eastAsia="MS PGothic" w:hAnsiTheme="minorHAnsi"/>
          <w:color w:val="000000"/>
          <w:sz w:val="22"/>
          <w:szCs w:val="22"/>
          <w:vertAlign w:val="subscript"/>
          <w:lang w:val="en-US"/>
        </w:rPr>
        <w:t>2</w:t>
      </w:r>
      <w:r w:rsidR="00D87EBD">
        <w:rPr>
          <w:rFonts w:asciiTheme="minorHAnsi" w:eastAsia="MS PGothic" w:hAnsiTheme="minorHAnsi"/>
          <w:color w:val="000000"/>
          <w:sz w:val="22"/>
          <w:szCs w:val="22"/>
          <w:lang w:val="en-US"/>
        </w:rPr>
        <w:t xml:space="preserve"> selectivity</w:t>
      </w:r>
      <w:r w:rsidR="00FC773E">
        <w:rPr>
          <w:rFonts w:asciiTheme="minorHAnsi" w:eastAsia="MS PGothic" w:hAnsiTheme="minorHAnsi"/>
          <w:color w:val="000000"/>
          <w:sz w:val="22"/>
          <w:szCs w:val="22"/>
          <w:lang w:val="en-US"/>
        </w:rPr>
        <w:t xml:space="preserve">. At 0.02% loading on the other hand a slight increase in permeability was observed which became higher when other types of GO were considered. Porous GO </w:t>
      </w:r>
      <w:proofErr w:type="gramStart"/>
      <w:r w:rsidR="00FC773E">
        <w:rPr>
          <w:rFonts w:asciiTheme="minorHAnsi" w:eastAsia="MS PGothic" w:hAnsiTheme="minorHAnsi"/>
          <w:color w:val="000000"/>
          <w:sz w:val="22"/>
          <w:szCs w:val="22"/>
          <w:lang w:val="en-US"/>
        </w:rPr>
        <w:t>in particular resulted</w:t>
      </w:r>
      <w:proofErr w:type="gramEnd"/>
      <w:r w:rsidR="00FC773E">
        <w:rPr>
          <w:rFonts w:asciiTheme="minorHAnsi" w:eastAsia="MS PGothic" w:hAnsiTheme="minorHAnsi"/>
          <w:color w:val="000000"/>
          <w:sz w:val="22"/>
          <w:szCs w:val="22"/>
          <w:lang w:val="en-US"/>
        </w:rPr>
        <w:t xml:space="preserve"> the best material tested with a permeability increase in the order of 10% with respect to pure Pebax2533. As the increase in permeability did not caused </w:t>
      </w:r>
      <w:r w:rsidR="00D87EBD">
        <w:rPr>
          <w:rFonts w:asciiTheme="minorHAnsi" w:eastAsia="MS PGothic" w:hAnsiTheme="minorHAnsi"/>
          <w:color w:val="000000"/>
          <w:sz w:val="22"/>
          <w:szCs w:val="22"/>
          <w:lang w:val="en-US"/>
        </w:rPr>
        <w:t xml:space="preserve">any loss in selectivity, </w:t>
      </w:r>
      <w:r w:rsidR="00FC773E">
        <w:rPr>
          <w:rFonts w:asciiTheme="minorHAnsi" w:eastAsia="MS PGothic" w:hAnsiTheme="minorHAnsi"/>
          <w:color w:val="000000"/>
          <w:sz w:val="22"/>
          <w:szCs w:val="22"/>
          <w:lang w:val="en-US"/>
        </w:rPr>
        <w:t xml:space="preserve">the addition </w:t>
      </w:r>
      <w:proofErr w:type="spellStart"/>
      <w:r w:rsidR="00FC773E">
        <w:rPr>
          <w:rFonts w:asciiTheme="minorHAnsi" w:eastAsia="MS PGothic" w:hAnsiTheme="minorHAnsi"/>
          <w:color w:val="000000"/>
          <w:sz w:val="22"/>
          <w:szCs w:val="22"/>
          <w:lang w:val="en-US"/>
        </w:rPr>
        <w:t>og</w:t>
      </w:r>
      <w:proofErr w:type="spellEnd"/>
      <w:r w:rsidR="00FC773E">
        <w:rPr>
          <w:rFonts w:asciiTheme="minorHAnsi" w:eastAsia="MS PGothic" w:hAnsiTheme="minorHAnsi"/>
          <w:color w:val="000000"/>
          <w:sz w:val="22"/>
          <w:szCs w:val="22"/>
          <w:lang w:val="en-US"/>
        </w:rPr>
        <w:t xml:space="preserve"> GO based nanofiller generally improved the separation performance of the original polymer</w:t>
      </w:r>
      <w:r w:rsidR="00D87EBD">
        <w:rPr>
          <w:rFonts w:asciiTheme="minorHAnsi" w:eastAsia="MS PGothic" w:hAnsiTheme="minorHAnsi"/>
          <w:color w:val="000000"/>
          <w:sz w:val="22"/>
          <w:szCs w:val="22"/>
          <w:lang w:val="en-US"/>
        </w:rPr>
        <w:t>.</w:t>
      </w:r>
    </w:p>
    <w:tbl>
      <w:tblPr>
        <w:tblpPr w:leftFromText="141" w:rightFromText="141" w:vertAnchor="text" w:horzAnchor="margin" w:tblpXSpec="center" w:tblpY="218"/>
        <w:tblW w:w="7503" w:type="dxa"/>
        <w:tblCellMar>
          <w:left w:w="70" w:type="dxa"/>
          <w:right w:w="70" w:type="dxa"/>
        </w:tblCellMar>
        <w:tblLook w:val="04A0" w:firstRow="1" w:lastRow="0" w:firstColumn="1" w:lastColumn="0" w:noHBand="0" w:noVBand="1"/>
      </w:tblPr>
      <w:tblGrid>
        <w:gridCol w:w="3348"/>
        <w:gridCol w:w="1735"/>
        <w:gridCol w:w="806"/>
        <w:gridCol w:w="806"/>
        <w:gridCol w:w="808"/>
      </w:tblGrid>
      <w:tr w:rsidR="002F7292" w:rsidRPr="00BF63E7" w:rsidTr="00E9720F">
        <w:trPr>
          <w:trHeight w:val="590"/>
        </w:trPr>
        <w:tc>
          <w:tcPr>
            <w:tcW w:w="3348" w:type="dxa"/>
            <w:vMerge w:val="restart"/>
          </w:tcPr>
          <w:p w:rsidR="002F7292" w:rsidRPr="00BF63E7" w:rsidRDefault="002F7292" w:rsidP="002F7292">
            <w:pPr>
              <w:spacing w:line="240" w:lineRule="auto"/>
              <w:jc w:val="center"/>
              <w:rPr>
                <w:rFonts w:ascii="Calibri" w:hAnsi="Calibri" w:cs="Calibri"/>
                <w:b/>
                <w:bCs/>
                <w:color w:val="000000"/>
                <w:sz w:val="24"/>
                <w:szCs w:val="24"/>
                <w:lang w:eastAsia="it-IT"/>
              </w:rPr>
            </w:pPr>
            <w:r>
              <w:rPr>
                <w:noProof/>
              </w:rPr>
              <w:drawing>
                <wp:inline distT="0" distB="0" distL="0" distR="0" wp14:anchorId="47B254BE" wp14:editId="1F69E21B">
                  <wp:extent cx="2019300" cy="1247775"/>
                  <wp:effectExtent l="0" t="0" r="0" b="9525"/>
                  <wp:docPr id="5" name="Grafico 5">
                    <a:extLst xmlns:a="http://schemas.openxmlformats.org/drawingml/2006/main">
                      <a:ext uri="{FF2B5EF4-FFF2-40B4-BE49-F238E27FC236}">
                        <a16:creationId xmlns:a16="http://schemas.microsoft.com/office/drawing/2014/main" id="{DD6867B9-F055-4BF6-9FA8-C949F1D8FDE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c>
          <w:tcPr>
            <w:tcW w:w="4155" w:type="dxa"/>
            <w:gridSpan w:val="4"/>
            <w:shd w:val="clear" w:color="auto" w:fill="auto"/>
            <w:vAlign w:val="center"/>
          </w:tcPr>
          <w:p w:rsidR="002F7292" w:rsidRPr="00BF63E7" w:rsidRDefault="002F7292" w:rsidP="002F7292">
            <w:pPr>
              <w:spacing w:line="240" w:lineRule="auto"/>
              <w:jc w:val="center"/>
              <w:rPr>
                <w:rFonts w:ascii="Calibri" w:hAnsi="Calibri" w:cs="Calibri"/>
                <w:b/>
                <w:bCs/>
                <w:color w:val="000000"/>
                <w:lang w:eastAsia="it-IT"/>
              </w:rPr>
            </w:pPr>
            <w:r w:rsidRPr="002F7292">
              <w:rPr>
                <w:rFonts w:ascii="Calibri" w:hAnsi="Calibri" w:cs="Calibri"/>
                <w:b/>
                <w:color w:val="000000"/>
                <w:lang w:eastAsia="it-IT"/>
              </w:rPr>
              <w:t>Table 1</w:t>
            </w:r>
            <w:r>
              <w:rPr>
                <w:rFonts w:ascii="Calibri" w:hAnsi="Calibri" w:cs="Calibri"/>
                <w:color w:val="000000"/>
                <w:lang w:eastAsia="it-IT"/>
              </w:rPr>
              <w:t xml:space="preserve"> CO2 </w:t>
            </w:r>
            <w:proofErr w:type="spellStart"/>
            <w:r>
              <w:rPr>
                <w:rFonts w:ascii="Calibri" w:hAnsi="Calibri" w:cs="Calibri"/>
                <w:color w:val="000000"/>
                <w:lang w:eastAsia="it-IT"/>
              </w:rPr>
              <w:t>ppermeability</w:t>
            </w:r>
            <w:proofErr w:type="spellEnd"/>
            <w:r>
              <w:rPr>
                <w:rFonts w:ascii="Calibri" w:hAnsi="Calibri" w:cs="Calibri"/>
                <w:color w:val="000000"/>
                <w:lang w:eastAsia="it-IT"/>
              </w:rPr>
              <w:t xml:space="preserve"> and CO2/N2 selectivity of the different materials </w:t>
            </w:r>
            <w:proofErr w:type="spellStart"/>
            <w:r>
              <w:rPr>
                <w:rFonts w:ascii="Calibri" w:hAnsi="Calibri" w:cs="Calibri"/>
                <w:color w:val="000000"/>
                <w:lang w:eastAsia="it-IT"/>
              </w:rPr>
              <w:t>testedin</w:t>
            </w:r>
            <w:proofErr w:type="spellEnd"/>
            <w:r>
              <w:rPr>
                <w:rFonts w:ascii="Calibri" w:hAnsi="Calibri" w:cs="Calibri"/>
                <w:color w:val="000000"/>
                <w:lang w:eastAsia="it-IT"/>
              </w:rPr>
              <w:t xml:space="preserve"> the present work</w:t>
            </w:r>
          </w:p>
        </w:tc>
      </w:tr>
      <w:tr w:rsidR="002F7292" w:rsidRPr="00BF63E7" w:rsidTr="00E9720F">
        <w:trPr>
          <w:trHeight w:val="286"/>
        </w:trPr>
        <w:tc>
          <w:tcPr>
            <w:tcW w:w="3348" w:type="dxa"/>
            <w:vMerge/>
          </w:tcPr>
          <w:p w:rsidR="002F7292" w:rsidRPr="00BF63E7" w:rsidRDefault="002F7292" w:rsidP="002F7292">
            <w:pPr>
              <w:spacing w:line="240" w:lineRule="auto"/>
              <w:jc w:val="center"/>
              <w:rPr>
                <w:rFonts w:ascii="Calibri" w:hAnsi="Calibri" w:cs="Calibri"/>
                <w:b/>
                <w:bCs/>
                <w:color w:val="000000"/>
                <w:lang w:eastAsia="it-IT"/>
              </w:rPr>
            </w:pPr>
          </w:p>
        </w:tc>
        <w:tc>
          <w:tcPr>
            <w:tcW w:w="1735" w:type="dxa"/>
            <w:shd w:val="clear" w:color="auto" w:fill="auto"/>
            <w:noWrap/>
            <w:vAlign w:val="center"/>
            <w:hideMark/>
          </w:tcPr>
          <w:p w:rsidR="002F7292" w:rsidRPr="00BF63E7" w:rsidRDefault="002F7292" w:rsidP="002F7292">
            <w:pPr>
              <w:spacing w:line="240" w:lineRule="auto"/>
              <w:jc w:val="center"/>
              <w:rPr>
                <w:rFonts w:ascii="Calibri" w:hAnsi="Calibri" w:cs="Calibri"/>
                <w:b/>
                <w:bCs/>
                <w:color w:val="000000"/>
                <w:sz w:val="24"/>
                <w:szCs w:val="24"/>
                <w:lang w:eastAsia="it-IT"/>
              </w:rPr>
            </w:pPr>
            <w:r w:rsidRPr="00BF63E7">
              <w:rPr>
                <w:rFonts w:ascii="Calibri" w:hAnsi="Calibri" w:cs="Calibri"/>
                <w:b/>
                <w:bCs/>
                <w:color w:val="000000"/>
                <w:sz w:val="24"/>
                <w:szCs w:val="24"/>
                <w:lang w:eastAsia="it-IT"/>
              </w:rPr>
              <w:t>Sample Name</w:t>
            </w:r>
          </w:p>
        </w:tc>
        <w:tc>
          <w:tcPr>
            <w:tcW w:w="806" w:type="dxa"/>
            <w:shd w:val="clear" w:color="auto" w:fill="auto"/>
            <w:noWrap/>
            <w:vAlign w:val="center"/>
            <w:hideMark/>
          </w:tcPr>
          <w:p w:rsidR="002F7292" w:rsidRPr="00BF63E7" w:rsidRDefault="002F7292" w:rsidP="002F7292">
            <w:pPr>
              <w:spacing w:line="240" w:lineRule="auto"/>
              <w:jc w:val="center"/>
              <w:rPr>
                <w:rFonts w:ascii="Calibri" w:hAnsi="Calibri" w:cs="Calibri"/>
                <w:b/>
                <w:bCs/>
                <w:color w:val="000000"/>
                <w:lang w:eastAsia="it-IT"/>
              </w:rPr>
            </w:pPr>
            <w:proofErr w:type="spellStart"/>
            <w:r w:rsidRPr="00BF63E7">
              <w:rPr>
                <w:rFonts w:ascii="Calibri" w:hAnsi="Calibri" w:cs="Calibri"/>
                <w:b/>
                <w:bCs/>
                <w:color w:val="000000"/>
                <w:lang w:eastAsia="it-IT"/>
              </w:rPr>
              <w:t>wt</w:t>
            </w:r>
            <w:proofErr w:type="spellEnd"/>
            <w:r w:rsidRPr="00BF63E7">
              <w:rPr>
                <w:rFonts w:ascii="Calibri" w:hAnsi="Calibri" w:cs="Calibri"/>
                <w:b/>
                <w:bCs/>
                <w:color w:val="000000"/>
                <w:lang w:eastAsia="it-IT"/>
              </w:rPr>
              <w:t>% loaded</w:t>
            </w:r>
          </w:p>
        </w:tc>
        <w:tc>
          <w:tcPr>
            <w:tcW w:w="806" w:type="dxa"/>
            <w:shd w:val="clear" w:color="auto" w:fill="auto"/>
            <w:noWrap/>
            <w:vAlign w:val="center"/>
            <w:hideMark/>
          </w:tcPr>
          <w:p w:rsidR="002F7292" w:rsidRPr="00BF63E7" w:rsidRDefault="002F7292" w:rsidP="002F7292">
            <w:pPr>
              <w:spacing w:line="240" w:lineRule="auto"/>
              <w:jc w:val="center"/>
              <w:rPr>
                <w:rFonts w:ascii="Calibri" w:hAnsi="Calibri" w:cs="Calibri"/>
                <w:b/>
                <w:bCs/>
                <w:color w:val="000000"/>
                <w:lang w:eastAsia="it-IT"/>
              </w:rPr>
            </w:pPr>
            <w:r w:rsidRPr="00BF63E7">
              <w:rPr>
                <w:rFonts w:ascii="Calibri" w:hAnsi="Calibri" w:cs="Calibri"/>
                <w:b/>
                <w:bCs/>
                <w:color w:val="000000"/>
                <w:lang w:eastAsia="it-IT"/>
              </w:rPr>
              <w:t>P CO2</w:t>
            </w:r>
            <w:r>
              <w:rPr>
                <w:rFonts w:ascii="Calibri" w:hAnsi="Calibri" w:cs="Calibri"/>
                <w:b/>
                <w:bCs/>
                <w:color w:val="000000"/>
                <w:lang w:eastAsia="it-IT"/>
              </w:rPr>
              <w:t xml:space="preserve"> (</w:t>
            </w:r>
            <w:proofErr w:type="spellStart"/>
            <w:r>
              <w:rPr>
                <w:rFonts w:ascii="Calibri" w:hAnsi="Calibri" w:cs="Calibri"/>
                <w:b/>
                <w:bCs/>
                <w:color w:val="000000"/>
                <w:lang w:eastAsia="it-IT"/>
              </w:rPr>
              <w:t>barrer</w:t>
            </w:r>
            <w:proofErr w:type="spellEnd"/>
            <w:r>
              <w:rPr>
                <w:rFonts w:ascii="Calibri" w:hAnsi="Calibri" w:cs="Calibri"/>
                <w:b/>
                <w:bCs/>
                <w:color w:val="000000"/>
                <w:lang w:eastAsia="it-IT"/>
              </w:rPr>
              <w:t>)</w:t>
            </w:r>
          </w:p>
        </w:tc>
        <w:tc>
          <w:tcPr>
            <w:tcW w:w="806" w:type="dxa"/>
            <w:shd w:val="clear" w:color="auto" w:fill="auto"/>
            <w:noWrap/>
            <w:vAlign w:val="center"/>
            <w:hideMark/>
          </w:tcPr>
          <w:p w:rsidR="002F7292" w:rsidRPr="00BF63E7" w:rsidRDefault="002F7292" w:rsidP="002F7292">
            <w:pPr>
              <w:spacing w:line="240" w:lineRule="auto"/>
              <w:jc w:val="center"/>
              <w:rPr>
                <w:rFonts w:ascii="Calibri" w:hAnsi="Calibri" w:cs="Calibri"/>
                <w:b/>
                <w:bCs/>
                <w:color w:val="000000"/>
                <w:lang w:eastAsia="it-IT"/>
              </w:rPr>
            </w:pPr>
            <w:r>
              <w:rPr>
                <w:rFonts w:ascii="Calibri" w:hAnsi="Calibri" w:cs="Calibri"/>
                <w:b/>
                <w:bCs/>
                <w:color w:val="000000"/>
                <w:lang w:eastAsia="it-IT"/>
              </w:rPr>
              <w:t xml:space="preserve">Ideal </w:t>
            </w:r>
            <w:r w:rsidRPr="00BF63E7">
              <w:rPr>
                <w:rFonts w:ascii="Calibri" w:hAnsi="Calibri" w:cs="Calibri"/>
                <w:b/>
                <w:bCs/>
                <w:color w:val="000000"/>
                <w:lang w:eastAsia="it-IT"/>
              </w:rPr>
              <w:t>α CO2/N2</w:t>
            </w:r>
          </w:p>
        </w:tc>
      </w:tr>
      <w:tr w:rsidR="002F7292" w:rsidRPr="00BF63E7" w:rsidTr="00E9720F">
        <w:trPr>
          <w:trHeight w:val="286"/>
        </w:trPr>
        <w:tc>
          <w:tcPr>
            <w:tcW w:w="3348" w:type="dxa"/>
            <w:vMerge/>
          </w:tcPr>
          <w:p w:rsidR="002F7292" w:rsidRPr="00BF63E7" w:rsidRDefault="002F7292" w:rsidP="002F7292">
            <w:pPr>
              <w:spacing w:line="240" w:lineRule="auto"/>
              <w:jc w:val="center"/>
              <w:rPr>
                <w:rFonts w:ascii="Calibri" w:hAnsi="Calibri" w:cs="Calibri"/>
                <w:b/>
                <w:bCs/>
                <w:color w:val="000000"/>
                <w:lang w:eastAsia="it-IT"/>
              </w:rPr>
            </w:pPr>
          </w:p>
        </w:tc>
        <w:tc>
          <w:tcPr>
            <w:tcW w:w="1735" w:type="dxa"/>
            <w:tcBorders>
              <w:top w:val="nil"/>
            </w:tcBorders>
            <w:shd w:val="clear" w:color="auto" w:fill="auto"/>
            <w:noWrap/>
            <w:vAlign w:val="center"/>
            <w:hideMark/>
          </w:tcPr>
          <w:p w:rsidR="002F7292" w:rsidRPr="00BF63E7" w:rsidRDefault="002F7292" w:rsidP="002F7292">
            <w:pPr>
              <w:spacing w:line="240" w:lineRule="auto"/>
              <w:jc w:val="center"/>
              <w:rPr>
                <w:rFonts w:ascii="Calibri" w:hAnsi="Calibri" w:cs="Calibri"/>
                <w:b/>
                <w:bCs/>
                <w:color w:val="000000"/>
                <w:lang w:eastAsia="it-IT"/>
              </w:rPr>
            </w:pPr>
            <w:r w:rsidRPr="00BF63E7">
              <w:rPr>
                <w:rFonts w:ascii="Calibri" w:hAnsi="Calibri" w:cs="Calibri"/>
                <w:b/>
                <w:bCs/>
                <w:color w:val="000000"/>
                <w:lang w:eastAsia="it-IT"/>
              </w:rPr>
              <w:t>Pebax2533 Pristine</w:t>
            </w:r>
          </w:p>
        </w:tc>
        <w:tc>
          <w:tcPr>
            <w:tcW w:w="806" w:type="dxa"/>
            <w:tcBorders>
              <w:top w:val="nil"/>
            </w:tcBorders>
            <w:shd w:val="clear" w:color="auto" w:fill="auto"/>
            <w:noWrap/>
            <w:vAlign w:val="center"/>
            <w:hideMark/>
          </w:tcPr>
          <w:p w:rsidR="002F7292" w:rsidRPr="00BF63E7" w:rsidRDefault="002F7292" w:rsidP="002F7292">
            <w:pPr>
              <w:spacing w:line="240" w:lineRule="auto"/>
              <w:jc w:val="center"/>
              <w:rPr>
                <w:rFonts w:ascii="Calibri" w:hAnsi="Calibri" w:cs="Calibri"/>
                <w:color w:val="000000"/>
                <w:lang w:eastAsia="it-IT"/>
              </w:rPr>
            </w:pPr>
            <w:r w:rsidRPr="00BF63E7">
              <w:rPr>
                <w:rFonts w:ascii="Calibri" w:hAnsi="Calibri" w:cs="Calibri"/>
                <w:color w:val="000000"/>
                <w:lang w:eastAsia="it-IT"/>
              </w:rPr>
              <w:t>0,00</w:t>
            </w:r>
          </w:p>
        </w:tc>
        <w:tc>
          <w:tcPr>
            <w:tcW w:w="806" w:type="dxa"/>
            <w:tcBorders>
              <w:top w:val="nil"/>
            </w:tcBorders>
            <w:shd w:val="clear" w:color="auto" w:fill="auto"/>
            <w:noWrap/>
            <w:vAlign w:val="center"/>
            <w:hideMark/>
          </w:tcPr>
          <w:p w:rsidR="002F7292" w:rsidRPr="00BF63E7" w:rsidRDefault="002F7292" w:rsidP="002F7292">
            <w:pPr>
              <w:spacing w:line="240" w:lineRule="auto"/>
              <w:jc w:val="center"/>
              <w:rPr>
                <w:rFonts w:ascii="Calibri" w:hAnsi="Calibri" w:cs="Calibri"/>
                <w:color w:val="000000"/>
                <w:lang w:eastAsia="it-IT"/>
              </w:rPr>
            </w:pPr>
            <w:r w:rsidRPr="00BF63E7">
              <w:rPr>
                <w:rFonts w:ascii="Calibri" w:hAnsi="Calibri" w:cs="Calibri"/>
                <w:color w:val="000000"/>
                <w:lang w:eastAsia="it-IT"/>
              </w:rPr>
              <w:t>364,62</w:t>
            </w:r>
          </w:p>
        </w:tc>
        <w:tc>
          <w:tcPr>
            <w:tcW w:w="806" w:type="dxa"/>
            <w:tcBorders>
              <w:top w:val="nil"/>
            </w:tcBorders>
            <w:shd w:val="clear" w:color="auto" w:fill="auto"/>
            <w:noWrap/>
            <w:vAlign w:val="center"/>
            <w:hideMark/>
          </w:tcPr>
          <w:p w:rsidR="002F7292" w:rsidRPr="00BF63E7" w:rsidRDefault="002F7292" w:rsidP="002F7292">
            <w:pPr>
              <w:spacing w:line="240" w:lineRule="auto"/>
              <w:jc w:val="center"/>
              <w:rPr>
                <w:rFonts w:ascii="Calibri" w:hAnsi="Calibri" w:cs="Calibri"/>
                <w:color w:val="000000"/>
                <w:lang w:eastAsia="it-IT"/>
              </w:rPr>
            </w:pPr>
            <w:r w:rsidRPr="00BF63E7">
              <w:rPr>
                <w:rFonts w:ascii="Calibri" w:hAnsi="Calibri" w:cs="Calibri"/>
                <w:color w:val="000000"/>
                <w:lang w:eastAsia="it-IT"/>
              </w:rPr>
              <w:t>23,80</w:t>
            </w:r>
          </w:p>
        </w:tc>
      </w:tr>
      <w:tr w:rsidR="002F7292" w:rsidRPr="00BF63E7" w:rsidTr="00E9720F">
        <w:trPr>
          <w:trHeight w:val="286"/>
        </w:trPr>
        <w:tc>
          <w:tcPr>
            <w:tcW w:w="3348" w:type="dxa"/>
            <w:vMerge/>
          </w:tcPr>
          <w:p w:rsidR="002F7292" w:rsidRPr="00BF63E7" w:rsidRDefault="002F7292" w:rsidP="002F7292">
            <w:pPr>
              <w:spacing w:line="240" w:lineRule="auto"/>
              <w:jc w:val="center"/>
              <w:rPr>
                <w:rFonts w:ascii="Calibri" w:hAnsi="Calibri" w:cs="Calibri"/>
                <w:b/>
                <w:bCs/>
                <w:color w:val="000000"/>
                <w:lang w:eastAsia="it-IT"/>
              </w:rPr>
            </w:pPr>
          </w:p>
        </w:tc>
        <w:tc>
          <w:tcPr>
            <w:tcW w:w="1735" w:type="dxa"/>
            <w:tcBorders>
              <w:top w:val="nil"/>
            </w:tcBorders>
            <w:shd w:val="clear" w:color="auto" w:fill="auto"/>
            <w:noWrap/>
            <w:vAlign w:val="center"/>
            <w:hideMark/>
          </w:tcPr>
          <w:p w:rsidR="002F7292" w:rsidRPr="00BF63E7" w:rsidRDefault="002F7292" w:rsidP="002F7292">
            <w:pPr>
              <w:spacing w:line="240" w:lineRule="auto"/>
              <w:jc w:val="center"/>
              <w:rPr>
                <w:rFonts w:ascii="Calibri" w:hAnsi="Calibri" w:cs="Calibri"/>
                <w:b/>
                <w:bCs/>
                <w:color w:val="000000"/>
                <w:lang w:eastAsia="it-IT"/>
              </w:rPr>
            </w:pPr>
            <w:r w:rsidRPr="00BF63E7">
              <w:rPr>
                <w:rFonts w:ascii="Calibri" w:hAnsi="Calibri" w:cs="Calibri"/>
                <w:b/>
                <w:bCs/>
                <w:color w:val="000000"/>
                <w:lang w:eastAsia="it-IT"/>
              </w:rPr>
              <w:t>Pebax2533 + GO</w:t>
            </w:r>
          </w:p>
        </w:tc>
        <w:tc>
          <w:tcPr>
            <w:tcW w:w="806" w:type="dxa"/>
            <w:tcBorders>
              <w:top w:val="nil"/>
            </w:tcBorders>
            <w:shd w:val="clear" w:color="auto" w:fill="auto"/>
            <w:noWrap/>
            <w:vAlign w:val="center"/>
            <w:hideMark/>
          </w:tcPr>
          <w:p w:rsidR="002F7292" w:rsidRPr="00BF63E7" w:rsidRDefault="002F7292" w:rsidP="002F7292">
            <w:pPr>
              <w:spacing w:line="240" w:lineRule="auto"/>
              <w:jc w:val="center"/>
              <w:rPr>
                <w:rFonts w:ascii="Calibri" w:hAnsi="Calibri" w:cs="Calibri"/>
                <w:color w:val="000000"/>
                <w:lang w:eastAsia="it-IT"/>
              </w:rPr>
            </w:pPr>
            <w:r w:rsidRPr="00BF63E7">
              <w:rPr>
                <w:rFonts w:ascii="Calibri" w:hAnsi="Calibri" w:cs="Calibri"/>
                <w:color w:val="000000"/>
                <w:lang w:eastAsia="it-IT"/>
              </w:rPr>
              <w:t>0,02</w:t>
            </w:r>
          </w:p>
        </w:tc>
        <w:tc>
          <w:tcPr>
            <w:tcW w:w="806" w:type="dxa"/>
            <w:tcBorders>
              <w:top w:val="nil"/>
            </w:tcBorders>
            <w:shd w:val="clear" w:color="auto" w:fill="auto"/>
            <w:noWrap/>
            <w:vAlign w:val="center"/>
            <w:hideMark/>
          </w:tcPr>
          <w:p w:rsidR="002F7292" w:rsidRPr="00BF63E7" w:rsidRDefault="002F7292" w:rsidP="002F7292">
            <w:pPr>
              <w:spacing w:line="240" w:lineRule="auto"/>
              <w:jc w:val="center"/>
              <w:rPr>
                <w:rFonts w:ascii="Calibri" w:hAnsi="Calibri" w:cs="Calibri"/>
                <w:color w:val="000000"/>
                <w:lang w:eastAsia="it-IT"/>
              </w:rPr>
            </w:pPr>
            <w:r w:rsidRPr="00BF63E7">
              <w:rPr>
                <w:rFonts w:ascii="Calibri" w:hAnsi="Calibri" w:cs="Calibri"/>
                <w:color w:val="000000"/>
                <w:lang w:eastAsia="it-IT"/>
              </w:rPr>
              <w:t>371,39</w:t>
            </w:r>
          </w:p>
        </w:tc>
        <w:tc>
          <w:tcPr>
            <w:tcW w:w="806" w:type="dxa"/>
            <w:tcBorders>
              <w:top w:val="nil"/>
            </w:tcBorders>
            <w:shd w:val="clear" w:color="auto" w:fill="auto"/>
            <w:noWrap/>
            <w:vAlign w:val="center"/>
            <w:hideMark/>
          </w:tcPr>
          <w:p w:rsidR="002F7292" w:rsidRPr="00BF63E7" w:rsidRDefault="002F7292" w:rsidP="002F7292">
            <w:pPr>
              <w:spacing w:line="240" w:lineRule="auto"/>
              <w:jc w:val="center"/>
              <w:rPr>
                <w:rFonts w:ascii="Calibri" w:hAnsi="Calibri" w:cs="Calibri"/>
                <w:color w:val="000000"/>
                <w:lang w:eastAsia="it-IT"/>
              </w:rPr>
            </w:pPr>
            <w:r w:rsidRPr="00BF63E7">
              <w:rPr>
                <w:rFonts w:ascii="Calibri" w:hAnsi="Calibri" w:cs="Calibri"/>
                <w:color w:val="000000"/>
                <w:lang w:eastAsia="it-IT"/>
              </w:rPr>
              <w:t>24,00</w:t>
            </w:r>
          </w:p>
        </w:tc>
      </w:tr>
      <w:tr w:rsidR="002F7292" w:rsidRPr="00BF63E7" w:rsidTr="00E9720F">
        <w:trPr>
          <w:trHeight w:val="286"/>
        </w:trPr>
        <w:tc>
          <w:tcPr>
            <w:tcW w:w="3348" w:type="dxa"/>
            <w:vMerge/>
          </w:tcPr>
          <w:p w:rsidR="002F7292" w:rsidRPr="00BF63E7" w:rsidRDefault="002F7292" w:rsidP="002F7292">
            <w:pPr>
              <w:spacing w:line="240" w:lineRule="auto"/>
              <w:jc w:val="center"/>
              <w:rPr>
                <w:rFonts w:ascii="Calibri" w:hAnsi="Calibri" w:cs="Calibri"/>
                <w:b/>
                <w:bCs/>
                <w:color w:val="000000"/>
                <w:lang w:eastAsia="it-IT"/>
              </w:rPr>
            </w:pPr>
          </w:p>
        </w:tc>
        <w:tc>
          <w:tcPr>
            <w:tcW w:w="1735" w:type="dxa"/>
            <w:shd w:val="clear" w:color="auto" w:fill="auto"/>
            <w:noWrap/>
            <w:vAlign w:val="center"/>
            <w:hideMark/>
          </w:tcPr>
          <w:p w:rsidR="002F7292" w:rsidRPr="00BF63E7" w:rsidRDefault="002F7292" w:rsidP="002F7292">
            <w:pPr>
              <w:spacing w:line="240" w:lineRule="auto"/>
              <w:jc w:val="center"/>
              <w:rPr>
                <w:rFonts w:ascii="Calibri" w:hAnsi="Calibri" w:cs="Calibri"/>
                <w:b/>
                <w:bCs/>
                <w:color w:val="000000"/>
                <w:lang w:eastAsia="it-IT"/>
              </w:rPr>
            </w:pPr>
            <w:r w:rsidRPr="00BF63E7">
              <w:rPr>
                <w:rFonts w:ascii="Calibri" w:hAnsi="Calibri" w:cs="Calibri"/>
                <w:b/>
                <w:bCs/>
                <w:color w:val="000000"/>
                <w:lang w:eastAsia="it-IT"/>
              </w:rPr>
              <w:t>Pebax2533 + PEAGO</w:t>
            </w:r>
          </w:p>
        </w:tc>
        <w:tc>
          <w:tcPr>
            <w:tcW w:w="806" w:type="dxa"/>
            <w:shd w:val="clear" w:color="auto" w:fill="auto"/>
            <w:noWrap/>
            <w:vAlign w:val="center"/>
            <w:hideMark/>
          </w:tcPr>
          <w:p w:rsidR="002F7292" w:rsidRPr="00BF63E7" w:rsidRDefault="002F7292" w:rsidP="002F7292">
            <w:pPr>
              <w:spacing w:line="240" w:lineRule="auto"/>
              <w:jc w:val="center"/>
              <w:rPr>
                <w:rFonts w:ascii="Calibri" w:hAnsi="Calibri" w:cs="Calibri"/>
                <w:color w:val="000000"/>
                <w:lang w:eastAsia="it-IT"/>
              </w:rPr>
            </w:pPr>
            <w:r w:rsidRPr="00BF63E7">
              <w:rPr>
                <w:rFonts w:ascii="Calibri" w:hAnsi="Calibri" w:cs="Calibri"/>
                <w:color w:val="000000"/>
                <w:lang w:eastAsia="it-IT"/>
              </w:rPr>
              <w:t>0,02</w:t>
            </w:r>
          </w:p>
        </w:tc>
        <w:tc>
          <w:tcPr>
            <w:tcW w:w="806" w:type="dxa"/>
            <w:shd w:val="clear" w:color="auto" w:fill="auto"/>
            <w:noWrap/>
            <w:vAlign w:val="center"/>
            <w:hideMark/>
          </w:tcPr>
          <w:p w:rsidR="002F7292" w:rsidRPr="00BF63E7" w:rsidRDefault="002F7292" w:rsidP="002F7292">
            <w:pPr>
              <w:spacing w:line="240" w:lineRule="auto"/>
              <w:jc w:val="center"/>
              <w:rPr>
                <w:rFonts w:ascii="Calibri" w:hAnsi="Calibri" w:cs="Calibri"/>
                <w:color w:val="000000"/>
                <w:lang w:eastAsia="it-IT"/>
              </w:rPr>
            </w:pPr>
            <w:r w:rsidRPr="00BF63E7">
              <w:rPr>
                <w:rFonts w:ascii="Calibri" w:hAnsi="Calibri" w:cs="Calibri"/>
                <w:color w:val="000000"/>
                <w:lang w:eastAsia="it-IT"/>
              </w:rPr>
              <w:t>380,44</w:t>
            </w:r>
          </w:p>
        </w:tc>
        <w:tc>
          <w:tcPr>
            <w:tcW w:w="806" w:type="dxa"/>
            <w:shd w:val="clear" w:color="auto" w:fill="auto"/>
            <w:noWrap/>
            <w:vAlign w:val="center"/>
            <w:hideMark/>
          </w:tcPr>
          <w:p w:rsidR="002F7292" w:rsidRPr="00BF63E7" w:rsidRDefault="002F7292" w:rsidP="002F7292">
            <w:pPr>
              <w:spacing w:line="240" w:lineRule="auto"/>
              <w:jc w:val="center"/>
              <w:rPr>
                <w:rFonts w:ascii="Calibri" w:hAnsi="Calibri" w:cs="Calibri"/>
                <w:color w:val="000000"/>
                <w:lang w:eastAsia="it-IT"/>
              </w:rPr>
            </w:pPr>
            <w:r w:rsidRPr="00BF63E7">
              <w:rPr>
                <w:rFonts w:ascii="Calibri" w:hAnsi="Calibri" w:cs="Calibri"/>
                <w:color w:val="000000"/>
                <w:lang w:eastAsia="it-IT"/>
              </w:rPr>
              <w:t>24,19</w:t>
            </w:r>
          </w:p>
        </w:tc>
      </w:tr>
      <w:tr w:rsidR="002F7292" w:rsidRPr="00BF63E7" w:rsidTr="00E9720F">
        <w:trPr>
          <w:trHeight w:val="286"/>
        </w:trPr>
        <w:tc>
          <w:tcPr>
            <w:tcW w:w="3348" w:type="dxa"/>
          </w:tcPr>
          <w:p w:rsidR="002F7292" w:rsidRPr="00BF63E7" w:rsidRDefault="002F7292" w:rsidP="002F7292">
            <w:pPr>
              <w:spacing w:line="240" w:lineRule="auto"/>
              <w:jc w:val="center"/>
              <w:rPr>
                <w:rFonts w:ascii="Calibri" w:hAnsi="Calibri" w:cs="Calibri"/>
                <w:b/>
                <w:bCs/>
                <w:color w:val="000000"/>
                <w:lang w:eastAsia="it-IT"/>
              </w:rPr>
            </w:pPr>
            <w:r>
              <w:rPr>
                <w:rFonts w:ascii="Calibri" w:hAnsi="Calibri" w:cs="Calibri"/>
                <w:b/>
                <w:bCs/>
                <w:color w:val="000000"/>
                <w:lang w:eastAsia="it-IT"/>
              </w:rPr>
              <w:t xml:space="preserve">Figure 3 </w:t>
            </w:r>
            <w:proofErr w:type="spellStart"/>
            <w:r w:rsidRPr="002F7292">
              <w:rPr>
                <w:rFonts w:ascii="Calibri" w:hAnsi="Calibri" w:cs="Calibri"/>
                <w:bCs/>
                <w:color w:val="000000"/>
                <w:lang w:eastAsia="it-IT"/>
              </w:rPr>
              <w:t>P</w:t>
            </w:r>
            <w:r>
              <w:rPr>
                <w:rFonts w:ascii="Calibri" w:hAnsi="Calibri" w:cs="Calibri"/>
                <w:bCs/>
                <w:color w:val="000000"/>
                <w:lang w:eastAsia="it-IT"/>
              </w:rPr>
              <w:t>e</w:t>
            </w:r>
            <w:r w:rsidRPr="002F7292">
              <w:rPr>
                <w:rFonts w:ascii="Calibri" w:hAnsi="Calibri" w:cs="Calibri"/>
                <w:bCs/>
                <w:color w:val="000000"/>
                <w:lang w:eastAsia="it-IT"/>
              </w:rPr>
              <w:t>bax</w:t>
            </w:r>
            <w:proofErr w:type="spellEnd"/>
            <w:r w:rsidRPr="002F7292">
              <w:rPr>
                <w:rFonts w:ascii="Calibri" w:hAnsi="Calibri" w:cs="Calibri"/>
                <w:bCs/>
                <w:color w:val="000000"/>
                <w:lang w:eastAsia="it-IT"/>
              </w:rPr>
              <w:t>-GO permeability as a function of loading</w:t>
            </w:r>
          </w:p>
        </w:tc>
        <w:tc>
          <w:tcPr>
            <w:tcW w:w="1735" w:type="dxa"/>
            <w:shd w:val="clear" w:color="auto" w:fill="auto"/>
            <w:noWrap/>
            <w:vAlign w:val="center"/>
          </w:tcPr>
          <w:p w:rsidR="002F7292" w:rsidRPr="00BF63E7" w:rsidRDefault="002F7292" w:rsidP="002F7292">
            <w:pPr>
              <w:spacing w:line="240" w:lineRule="auto"/>
              <w:jc w:val="center"/>
              <w:rPr>
                <w:rFonts w:ascii="Calibri" w:hAnsi="Calibri" w:cs="Calibri"/>
                <w:b/>
                <w:bCs/>
                <w:color w:val="000000"/>
                <w:lang w:eastAsia="it-IT"/>
              </w:rPr>
            </w:pPr>
            <w:r w:rsidRPr="00BF63E7">
              <w:rPr>
                <w:rFonts w:ascii="Calibri" w:hAnsi="Calibri" w:cs="Calibri"/>
                <w:b/>
                <w:bCs/>
                <w:color w:val="000000"/>
                <w:lang w:eastAsia="it-IT"/>
              </w:rPr>
              <w:t>Pebax2533 + PGO</w:t>
            </w:r>
          </w:p>
        </w:tc>
        <w:tc>
          <w:tcPr>
            <w:tcW w:w="806" w:type="dxa"/>
            <w:shd w:val="clear" w:color="auto" w:fill="auto"/>
            <w:noWrap/>
            <w:vAlign w:val="center"/>
          </w:tcPr>
          <w:p w:rsidR="002F7292" w:rsidRPr="00BF63E7" w:rsidRDefault="002F7292" w:rsidP="002F7292">
            <w:pPr>
              <w:spacing w:line="240" w:lineRule="auto"/>
              <w:jc w:val="center"/>
              <w:rPr>
                <w:rFonts w:ascii="Calibri" w:hAnsi="Calibri" w:cs="Calibri"/>
                <w:color w:val="000000"/>
                <w:lang w:eastAsia="it-IT"/>
              </w:rPr>
            </w:pPr>
            <w:r w:rsidRPr="00BF63E7">
              <w:rPr>
                <w:rFonts w:ascii="Calibri" w:hAnsi="Calibri" w:cs="Calibri"/>
                <w:color w:val="000000"/>
                <w:lang w:eastAsia="it-IT"/>
              </w:rPr>
              <w:t>0,02</w:t>
            </w:r>
          </w:p>
        </w:tc>
        <w:tc>
          <w:tcPr>
            <w:tcW w:w="806" w:type="dxa"/>
            <w:shd w:val="clear" w:color="auto" w:fill="auto"/>
            <w:noWrap/>
            <w:vAlign w:val="center"/>
          </w:tcPr>
          <w:p w:rsidR="002F7292" w:rsidRPr="00BF63E7" w:rsidRDefault="002F7292" w:rsidP="002F7292">
            <w:pPr>
              <w:spacing w:line="240" w:lineRule="auto"/>
              <w:jc w:val="center"/>
              <w:rPr>
                <w:rFonts w:ascii="Calibri" w:hAnsi="Calibri" w:cs="Calibri"/>
                <w:color w:val="000000"/>
                <w:lang w:eastAsia="it-IT"/>
              </w:rPr>
            </w:pPr>
            <w:r w:rsidRPr="00BF63E7">
              <w:rPr>
                <w:rFonts w:ascii="Calibri" w:hAnsi="Calibri" w:cs="Calibri"/>
                <w:color w:val="000000"/>
                <w:lang w:eastAsia="it-IT"/>
              </w:rPr>
              <w:t>397,35</w:t>
            </w:r>
          </w:p>
        </w:tc>
        <w:tc>
          <w:tcPr>
            <w:tcW w:w="806" w:type="dxa"/>
            <w:shd w:val="clear" w:color="auto" w:fill="auto"/>
            <w:noWrap/>
            <w:vAlign w:val="center"/>
          </w:tcPr>
          <w:p w:rsidR="002F7292" w:rsidRPr="00BF63E7" w:rsidRDefault="002F7292" w:rsidP="002F7292">
            <w:pPr>
              <w:spacing w:line="240" w:lineRule="auto"/>
              <w:jc w:val="center"/>
              <w:rPr>
                <w:rFonts w:ascii="Calibri" w:hAnsi="Calibri" w:cs="Calibri"/>
                <w:color w:val="000000"/>
                <w:lang w:eastAsia="it-IT"/>
              </w:rPr>
            </w:pPr>
            <w:r w:rsidRPr="00BF63E7">
              <w:rPr>
                <w:rFonts w:ascii="Calibri" w:hAnsi="Calibri" w:cs="Calibri"/>
                <w:color w:val="000000"/>
                <w:lang w:eastAsia="it-IT"/>
              </w:rPr>
              <w:t>23,75</w:t>
            </w:r>
          </w:p>
        </w:tc>
      </w:tr>
    </w:tbl>
    <w:p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704BDF" w:rsidRDefault="00886CC2" w:rsidP="00886CC2">
      <w:pPr>
        <w:tabs>
          <w:tab w:val="clear" w:pos="7100"/>
          <w:tab w:val="left" w:pos="6659"/>
        </w:tabs>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In this work, </w:t>
      </w:r>
      <w:proofErr w:type="gramStart"/>
      <w:r>
        <w:rPr>
          <w:rFonts w:asciiTheme="minorHAnsi" w:eastAsia="MS PGothic" w:hAnsiTheme="minorHAnsi"/>
          <w:color w:val="000000"/>
          <w:sz w:val="22"/>
          <w:szCs w:val="22"/>
          <w:lang w:val="en-US"/>
        </w:rPr>
        <w:t>It</w:t>
      </w:r>
      <w:proofErr w:type="gramEnd"/>
      <w:r>
        <w:rPr>
          <w:rFonts w:asciiTheme="minorHAnsi" w:eastAsia="MS PGothic" w:hAnsiTheme="minorHAnsi"/>
          <w:color w:val="000000"/>
          <w:sz w:val="22"/>
          <w:szCs w:val="22"/>
          <w:lang w:val="en-US"/>
        </w:rPr>
        <w:t xml:space="preserve"> has been shown that mixing </w:t>
      </w:r>
      <w:r w:rsidR="00A87CD9">
        <w:rPr>
          <w:rFonts w:asciiTheme="minorHAnsi" w:eastAsia="MS PGothic" w:hAnsiTheme="minorHAnsi"/>
          <w:color w:val="000000"/>
          <w:sz w:val="22"/>
          <w:szCs w:val="22"/>
          <w:lang w:val="en-US"/>
        </w:rPr>
        <w:t xml:space="preserve">ethanol solution of </w:t>
      </w:r>
      <w:r w:rsidR="00A87CD9" w:rsidRPr="00165AAC">
        <w:rPr>
          <w:rFonts w:asciiTheme="minorHAnsi" w:eastAsia="MS PGothic" w:hAnsiTheme="minorHAnsi"/>
          <w:color w:val="000000"/>
          <w:sz w:val="22"/>
          <w:szCs w:val="22"/>
          <w:lang w:val="en-US"/>
        </w:rPr>
        <w:t>Pebax®2533</w:t>
      </w:r>
      <w:r w:rsidR="00A87CD9">
        <w:rPr>
          <w:rFonts w:asciiTheme="minorHAnsi" w:eastAsia="MS PGothic" w:hAnsiTheme="minorHAnsi"/>
          <w:color w:val="000000"/>
          <w:sz w:val="22"/>
          <w:szCs w:val="22"/>
          <w:lang w:val="en-US"/>
        </w:rPr>
        <w:t xml:space="preserve"> with water dispersion of graphene oxide leads to a very homogeneous system and membranes.</w:t>
      </w:r>
    </w:p>
    <w:p w:rsidR="00A87CD9" w:rsidRDefault="00A87CD9" w:rsidP="00886CC2">
      <w:pPr>
        <w:tabs>
          <w:tab w:val="clear" w:pos="7100"/>
          <w:tab w:val="left" w:pos="6659"/>
        </w:tabs>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It has been also determined that low concentration (0,02 </w:t>
      </w:r>
      <w:proofErr w:type="spellStart"/>
      <w:r>
        <w:rPr>
          <w:rFonts w:asciiTheme="minorHAnsi" w:eastAsia="MS PGothic" w:hAnsiTheme="minorHAnsi"/>
          <w:color w:val="000000"/>
          <w:sz w:val="22"/>
          <w:szCs w:val="22"/>
          <w:lang w:val="en-US"/>
        </w:rPr>
        <w:t>wt</w:t>
      </w:r>
      <w:proofErr w:type="spellEnd"/>
      <w:r>
        <w:rPr>
          <w:rFonts w:asciiTheme="minorHAnsi" w:eastAsia="MS PGothic" w:hAnsiTheme="minorHAnsi"/>
          <w:color w:val="000000"/>
          <w:sz w:val="22"/>
          <w:szCs w:val="22"/>
          <w:lang w:val="en-US"/>
        </w:rPr>
        <w:t xml:space="preserve">%) of </w:t>
      </w:r>
      <w:proofErr w:type="spellStart"/>
      <w:r>
        <w:rPr>
          <w:rFonts w:asciiTheme="minorHAnsi" w:eastAsia="MS PGothic" w:hAnsiTheme="minorHAnsi"/>
          <w:color w:val="000000"/>
          <w:sz w:val="22"/>
          <w:szCs w:val="22"/>
          <w:lang w:val="en-US"/>
        </w:rPr>
        <w:t>nano</w:t>
      </w:r>
      <w:proofErr w:type="spellEnd"/>
      <w:r>
        <w:rPr>
          <w:rFonts w:asciiTheme="minorHAnsi" w:eastAsia="MS PGothic" w:hAnsiTheme="minorHAnsi"/>
          <w:color w:val="000000"/>
          <w:sz w:val="22"/>
          <w:szCs w:val="22"/>
          <w:lang w:val="en-US"/>
        </w:rPr>
        <w:t xml:space="preserve">-fillers used in </w:t>
      </w:r>
      <w:r w:rsidRPr="00165AAC">
        <w:rPr>
          <w:rFonts w:asciiTheme="minorHAnsi" w:eastAsia="MS PGothic" w:hAnsiTheme="minorHAnsi"/>
          <w:color w:val="000000"/>
          <w:sz w:val="22"/>
          <w:szCs w:val="22"/>
          <w:lang w:val="en-US"/>
        </w:rPr>
        <w:t>Pebax®2533</w:t>
      </w:r>
      <w:r>
        <w:rPr>
          <w:rFonts w:asciiTheme="minorHAnsi" w:eastAsia="MS PGothic" w:hAnsiTheme="minorHAnsi"/>
          <w:color w:val="000000"/>
          <w:sz w:val="22"/>
          <w:szCs w:val="22"/>
          <w:lang w:val="en-US"/>
        </w:rPr>
        <w:t xml:space="preserve"> increase CO2 permeability (</w:t>
      </w:r>
      <w:r w:rsidR="00FC773E">
        <w:rPr>
          <w:rFonts w:asciiTheme="minorHAnsi" w:eastAsia="MS PGothic" w:hAnsiTheme="minorHAnsi"/>
          <w:color w:val="000000"/>
          <w:sz w:val="22"/>
          <w:szCs w:val="22"/>
          <w:lang w:val="en-US"/>
        </w:rPr>
        <w:t>1%</w:t>
      </w:r>
      <w:r>
        <w:rPr>
          <w:rFonts w:asciiTheme="minorHAnsi" w:eastAsia="MS PGothic" w:hAnsiTheme="minorHAnsi"/>
          <w:color w:val="000000"/>
          <w:sz w:val="22"/>
          <w:szCs w:val="22"/>
          <w:lang w:val="en-US"/>
        </w:rPr>
        <w:t>, 5</w:t>
      </w:r>
      <w:r w:rsidR="00FC773E">
        <w:rPr>
          <w:rFonts w:asciiTheme="minorHAnsi" w:eastAsia="MS PGothic" w:hAnsiTheme="minorHAnsi"/>
          <w:color w:val="000000"/>
          <w:sz w:val="22"/>
          <w:szCs w:val="22"/>
          <w:lang w:val="en-US"/>
        </w:rPr>
        <w:t>%</w:t>
      </w:r>
      <w:r>
        <w:rPr>
          <w:rFonts w:asciiTheme="minorHAnsi" w:eastAsia="MS PGothic" w:hAnsiTheme="minorHAnsi"/>
          <w:color w:val="000000"/>
          <w:sz w:val="22"/>
          <w:szCs w:val="22"/>
          <w:lang w:val="en-US"/>
        </w:rPr>
        <w:t xml:space="preserve"> and </w:t>
      </w:r>
      <w:r w:rsidR="00FC773E">
        <w:rPr>
          <w:rFonts w:asciiTheme="minorHAnsi" w:eastAsia="MS PGothic" w:hAnsiTheme="minorHAnsi"/>
          <w:color w:val="000000"/>
          <w:sz w:val="22"/>
          <w:szCs w:val="22"/>
          <w:lang w:val="en-US"/>
        </w:rPr>
        <w:t>1</w:t>
      </w:r>
      <w:r>
        <w:rPr>
          <w:rFonts w:asciiTheme="minorHAnsi" w:eastAsia="MS PGothic" w:hAnsiTheme="minorHAnsi"/>
          <w:color w:val="000000"/>
          <w:sz w:val="22"/>
          <w:szCs w:val="22"/>
          <w:lang w:val="en-US"/>
        </w:rPr>
        <w:t>0</w:t>
      </w:r>
      <w:r w:rsidR="00FC773E">
        <w:rPr>
          <w:rFonts w:asciiTheme="minorHAnsi" w:eastAsia="MS PGothic" w:hAnsiTheme="minorHAnsi"/>
          <w:color w:val="000000"/>
          <w:sz w:val="22"/>
          <w:szCs w:val="22"/>
          <w:lang w:val="en-US"/>
        </w:rPr>
        <w:t>%</w:t>
      </w:r>
      <w:r>
        <w:rPr>
          <w:rFonts w:asciiTheme="minorHAnsi" w:eastAsia="MS PGothic" w:hAnsiTheme="minorHAnsi"/>
          <w:color w:val="000000"/>
          <w:sz w:val="22"/>
          <w:szCs w:val="22"/>
          <w:lang w:val="en-US"/>
        </w:rPr>
        <w:t xml:space="preserve"> </w:t>
      </w:r>
      <w:r w:rsidR="00FC773E">
        <w:rPr>
          <w:rFonts w:asciiTheme="minorHAnsi" w:eastAsia="MS PGothic" w:hAnsiTheme="minorHAnsi"/>
          <w:color w:val="000000"/>
          <w:sz w:val="22"/>
          <w:szCs w:val="22"/>
          <w:lang w:val="en-US"/>
        </w:rPr>
        <w:t>increase</w:t>
      </w:r>
      <w:r>
        <w:rPr>
          <w:rFonts w:asciiTheme="minorHAnsi" w:eastAsia="MS PGothic" w:hAnsiTheme="minorHAnsi"/>
          <w:color w:val="000000"/>
          <w:sz w:val="22"/>
          <w:szCs w:val="22"/>
          <w:lang w:val="en-US"/>
        </w:rPr>
        <w:t xml:space="preserve"> respectively achieved with GO, PEAGO and PGO) without any loss of selectivity</w:t>
      </w:r>
      <w:r w:rsidR="00FC773E">
        <w:rPr>
          <w:rFonts w:asciiTheme="minorHAnsi" w:eastAsia="MS PGothic" w:hAnsiTheme="minorHAnsi"/>
          <w:color w:val="000000"/>
          <w:sz w:val="22"/>
          <w:szCs w:val="22"/>
          <w:lang w:val="en-US"/>
        </w:rPr>
        <w:t xml:space="preserve"> thus slightly improving the separation performance of the composite membranes with respect to the initial polymer.</w:t>
      </w:r>
    </w:p>
    <w:p w:rsidR="00917414" w:rsidRPr="00917414" w:rsidRDefault="00917414" w:rsidP="00917414">
      <w:pPr>
        <w:snapToGrid w:val="0"/>
        <w:spacing w:before="240" w:line="300" w:lineRule="auto"/>
        <w:rPr>
          <w:rFonts w:asciiTheme="minorHAnsi" w:eastAsia="MS PGothic" w:hAnsiTheme="minorHAnsi"/>
          <w:color w:val="000000"/>
          <w:sz w:val="22"/>
          <w:szCs w:val="22"/>
          <w:lang w:val="en-US"/>
        </w:rPr>
      </w:pPr>
      <w:r>
        <w:rPr>
          <w:rFonts w:asciiTheme="minorHAnsi" w:eastAsia="MS PGothic" w:hAnsiTheme="minorHAnsi"/>
          <w:b/>
          <w:bCs/>
          <w:color w:val="000000"/>
          <w:sz w:val="20"/>
          <w:lang w:val="en-US"/>
        </w:rPr>
        <w:t xml:space="preserve">Acknowledgements: </w:t>
      </w:r>
      <w:r w:rsidRPr="00917414">
        <w:rPr>
          <w:rFonts w:ascii="URWPalladioL-Roma" w:eastAsiaTheme="minorHAnsi" w:hAnsi="URWPalladioL-Roma" w:cs="URWPalladioL-Roma"/>
          <w:szCs w:val="18"/>
          <w:lang w:val="en-US"/>
        </w:rPr>
        <w:t>This work has been performed in the framework of the European Project H2020 NANOMEM</w:t>
      </w:r>
      <w:r>
        <w:rPr>
          <w:rFonts w:ascii="URWPalladioL-Roma" w:eastAsiaTheme="minorHAnsi" w:hAnsi="URWPalladioL-Roma" w:cs="URWPalladioL-Roma"/>
          <w:szCs w:val="18"/>
          <w:lang w:val="en-US"/>
        </w:rPr>
        <w:t>C</w:t>
      </w:r>
      <w:r w:rsidRPr="00917414">
        <w:rPr>
          <w:rFonts w:ascii="URWPalladioL-Roma" w:eastAsiaTheme="minorHAnsi" w:hAnsi="URWPalladioL-Roma" w:cs="URWPalladioL-Roma"/>
          <w:szCs w:val="18"/>
          <w:vertAlign w:val="superscript"/>
          <w:lang w:val="en-US"/>
        </w:rPr>
        <w:t>2</w:t>
      </w:r>
      <w:r>
        <w:rPr>
          <w:rFonts w:ascii="URWPalladioL-Roma" w:eastAsiaTheme="minorHAnsi" w:hAnsi="URWPalladioL-Roma" w:cs="URWPalladioL-Roma"/>
          <w:sz w:val="14"/>
          <w:szCs w:val="14"/>
          <w:lang w:val="en-US"/>
        </w:rPr>
        <w:t xml:space="preserve"> </w:t>
      </w:r>
      <w:r w:rsidRPr="00917414">
        <w:rPr>
          <w:rFonts w:ascii="URWPalladioL-Roma" w:eastAsiaTheme="minorHAnsi" w:hAnsi="URWPalladioL-Roma" w:cs="URWPalladioL-Roma"/>
          <w:szCs w:val="18"/>
          <w:lang w:val="en-US"/>
        </w:rPr>
        <w:t>“</w:t>
      </w:r>
      <w:proofErr w:type="spellStart"/>
      <w:r w:rsidRPr="00917414">
        <w:rPr>
          <w:rFonts w:ascii="URWPalladioL-Roma" w:eastAsiaTheme="minorHAnsi" w:hAnsi="URWPalladioL-Roma" w:cs="URWPalladioL-Roma"/>
          <w:szCs w:val="18"/>
          <w:lang w:val="en-US"/>
        </w:rPr>
        <w:t>NanoMaterials</w:t>
      </w:r>
      <w:proofErr w:type="spellEnd"/>
      <w:r w:rsidRPr="00917414">
        <w:rPr>
          <w:rFonts w:ascii="URWPalladioL-Roma" w:eastAsiaTheme="minorHAnsi" w:hAnsi="URWPalladioL-Roma" w:cs="URWPalladioL-Roma"/>
          <w:szCs w:val="18"/>
          <w:lang w:val="en-US"/>
        </w:rPr>
        <w:t xml:space="preserve"> Enhanced Membranes for Carbon Capture”, funded by the Innovation and Networks Executive</w:t>
      </w:r>
      <w:r>
        <w:rPr>
          <w:rFonts w:ascii="URWPalladioL-Roma" w:eastAsiaTheme="minorHAnsi" w:hAnsi="URWPalladioL-Roma" w:cs="URWPalladioL-Roma"/>
          <w:szCs w:val="18"/>
          <w:lang w:val="en-US"/>
        </w:rPr>
        <w:t xml:space="preserve"> </w:t>
      </w:r>
      <w:r w:rsidRPr="00917414">
        <w:rPr>
          <w:rFonts w:ascii="URWPalladioL-Roma" w:eastAsiaTheme="minorHAnsi" w:hAnsi="URWPalladioL-Roma" w:cs="URWPalladioL-Roma"/>
          <w:szCs w:val="18"/>
          <w:lang w:val="en-US"/>
        </w:rPr>
        <w:t>Agency (INEA) Grant Agreement Number: 727734</w:t>
      </w:r>
    </w:p>
    <w:p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References</w:t>
      </w:r>
    </w:p>
    <w:p w:rsidR="006129E7" w:rsidRPr="006129E7" w:rsidRDefault="008C10F4" w:rsidP="006129E7">
      <w:pPr>
        <w:widowControl w:val="0"/>
        <w:autoSpaceDE w:val="0"/>
        <w:autoSpaceDN w:val="0"/>
        <w:adjustRightInd w:val="0"/>
        <w:spacing w:line="240" w:lineRule="auto"/>
        <w:ind w:left="640" w:hanging="640"/>
        <w:rPr>
          <w:rFonts w:ascii="Calibri" w:hAnsi="Calibri" w:cs="Calibri"/>
          <w:noProof/>
          <w:sz w:val="20"/>
          <w:szCs w:val="24"/>
        </w:rPr>
      </w:pPr>
      <w:r>
        <w:rPr>
          <w:rFonts w:asciiTheme="minorHAnsi" w:eastAsia="SimSun" w:hAnsiTheme="minorHAnsi"/>
          <w:szCs w:val="22"/>
          <w:lang w:eastAsia="zh-CN"/>
        </w:rPr>
        <w:fldChar w:fldCharType="begin" w:fldLock="1"/>
      </w:r>
      <w:r>
        <w:rPr>
          <w:rFonts w:asciiTheme="minorHAnsi" w:eastAsia="SimSun" w:hAnsiTheme="minorHAnsi"/>
          <w:szCs w:val="22"/>
          <w:lang w:eastAsia="zh-CN"/>
        </w:rPr>
        <w:instrText xml:space="preserve">ADDIN Mendeley Bibliography CSL_BIBLIOGRAPHY </w:instrText>
      </w:r>
      <w:r>
        <w:rPr>
          <w:rFonts w:asciiTheme="minorHAnsi" w:eastAsia="SimSun" w:hAnsiTheme="minorHAnsi"/>
          <w:szCs w:val="22"/>
          <w:lang w:eastAsia="zh-CN"/>
        </w:rPr>
        <w:fldChar w:fldCharType="separate"/>
      </w:r>
      <w:r w:rsidR="006129E7" w:rsidRPr="006129E7">
        <w:rPr>
          <w:rFonts w:ascii="Calibri" w:hAnsi="Calibri" w:cs="Calibri"/>
          <w:noProof/>
          <w:sz w:val="20"/>
          <w:szCs w:val="24"/>
        </w:rPr>
        <w:t>[1]</w:t>
      </w:r>
      <w:r w:rsidR="006129E7" w:rsidRPr="006129E7">
        <w:rPr>
          <w:rFonts w:ascii="Calibri" w:hAnsi="Calibri" w:cs="Calibri"/>
          <w:noProof/>
          <w:sz w:val="20"/>
          <w:szCs w:val="24"/>
        </w:rPr>
        <w:tab/>
        <w:t xml:space="preserve">D.Y.C. Leung, G. Caramanna, M.M. Maroto-Valer, An overview of current status of carbon dioxide capture and storage technologies, Renew. Sustain. Energy Rev. 39 (2014) 426–443. </w:t>
      </w:r>
    </w:p>
    <w:p w:rsidR="006129E7" w:rsidRPr="006129E7" w:rsidRDefault="006129E7" w:rsidP="006129E7">
      <w:pPr>
        <w:widowControl w:val="0"/>
        <w:autoSpaceDE w:val="0"/>
        <w:autoSpaceDN w:val="0"/>
        <w:adjustRightInd w:val="0"/>
        <w:spacing w:line="240" w:lineRule="auto"/>
        <w:ind w:left="640" w:hanging="640"/>
        <w:rPr>
          <w:rFonts w:ascii="Calibri" w:hAnsi="Calibri" w:cs="Calibri"/>
          <w:noProof/>
          <w:sz w:val="20"/>
          <w:szCs w:val="24"/>
        </w:rPr>
      </w:pPr>
      <w:r w:rsidRPr="006129E7">
        <w:rPr>
          <w:rFonts w:ascii="Calibri" w:hAnsi="Calibri" w:cs="Calibri"/>
          <w:noProof/>
          <w:sz w:val="20"/>
          <w:szCs w:val="24"/>
        </w:rPr>
        <w:t>[2]</w:t>
      </w:r>
      <w:r w:rsidRPr="006129E7">
        <w:rPr>
          <w:rFonts w:ascii="Calibri" w:hAnsi="Calibri" w:cs="Calibri"/>
          <w:noProof/>
          <w:sz w:val="20"/>
          <w:szCs w:val="24"/>
        </w:rPr>
        <w:tab/>
        <w:t>I. Sreedhar, R. Vaidhiswaran, B.M. Kamani, A. Venugopal, Process and engineering trends in membrane based carbon capture, Renew. Sustain. Energy Rev. 68 (2017) 659–684.</w:t>
      </w:r>
    </w:p>
    <w:p w:rsidR="006129E7" w:rsidRPr="006129E7" w:rsidRDefault="006129E7" w:rsidP="006129E7">
      <w:pPr>
        <w:widowControl w:val="0"/>
        <w:autoSpaceDE w:val="0"/>
        <w:autoSpaceDN w:val="0"/>
        <w:adjustRightInd w:val="0"/>
        <w:spacing w:line="240" w:lineRule="auto"/>
        <w:ind w:left="640" w:hanging="640"/>
        <w:rPr>
          <w:rFonts w:ascii="Calibri" w:hAnsi="Calibri" w:cs="Calibri"/>
          <w:noProof/>
          <w:sz w:val="20"/>
          <w:szCs w:val="24"/>
        </w:rPr>
      </w:pPr>
      <w:r w:rsidRPr="006129E7">
        <w:rPr>
          <w:rFonts w:ascii="Calibri" w:hAnsi="Calibri" w:cs="Calibri"/>
          <w:noProof/>
          <w:sz w:val="20"/>
          <w:szCs w:val="24"/>
        </w:rPr>
        <w:t>[3]</w:t>
      </w:r>
      <w:r w:rsidRPr="006129E7">
        <w:rPr>
          <w:rFonts w:ascii="Calibri" w:hAnsi="Calibri" w:cs="Calibri"/>
          <w:noProof/>
          <w:sz w:val="20"/>
          <w:szCs w:val="24"/>
        </w:rPr>
        <w:tab/>
        <w:t>M.J. Yoo, H.W. Kim, B.M. Yoo, H.B. Park, Highly soluble polyetheramine-functionalized graphene oxide and reduced graphene oxide both in aqueous and non-aqueous solvents, Carbon N. Y. 75 (2014) 149–160.</w:t>
      </w:r>
    </w:p>
    <w:p w:rsidR="00917414" w:rsidRPr="00704BDF" w:rsidRDefault="006129E7" w:rsidP="00917414">
      <w:pPr>
        <w:widowControl w:val="0"/>
        <w:autoSpaceDE w:val="0"/>
        <w:autoSpaceDN w:val="0"/>
        <w:adjustRightInd w:val="0"/>
        <w:spacing w:line="240" w:lineRule="auto"/>
        <w:ind w:left="640" w:hanging="640"/>
        <w:rPr>
          <w:rFonts w:asciiTheme="minorHAnsi" w:eastAsia="SimSun" w:hAnsiTheme="minorHAnsi"/>
          <w:sz w:val="22"/>
          <w:szCs w:val="22"/>
          <w:lang w:eastAsia="zh-CN"/>
        </w:rPr>
      </w:pPr>
      <w:r w:rsidRPr="006129E7">
        <w:rPr>
          <w:rFonts w:ascii="Calibri" w:hAnsi="Calibri" w:cs="Calibri"/>
          <w:noProof/>
          <w:sz w:val="20"/>
          <w:szCs w:val="24"/>
        </w:rPr>
        <w:t>[4]</w:t>
      </w:r>
      <w:r w:rsidRPr="006129E7">
        <w:rPr>
          <w:rFonts w:ascii="Calibri" w:hAnsi="Calibri" w:cs="Calibri"/>
          <w:noProof/>
          <w:sz w:val="20"/>
          <w:szCs w:val="24"/>
        </w:rPr>
        <w:tab/>
        <w:t>[6]</w:t>
      </w:r>
      <w:r w:rsidRPr="006129E7">
        <w:rPr>
          <w:rFonts w:ascii="Calibri" w:hAnsi="Calibri" w:cs="Calibri"/>
          <w:noProof/>
          <w:sz w:val="20"/>
          <w:szCs w:val="24"/>
        </w:rPr>
        <w:tab/>
        <w:t xml:space="preserve">C. Yu, B. Zhang, F. Yan, J. Zhao, J. Li, L. Li, Engineering nano-porous graphene oxide by hydroxyl radicals, Carbon N. Y. 105 (2019) 291–296. </w:t>
      </w:r>
      <w:r w:rsidR="008C10F4">
        <w:rPr>
          <w:rFonts w:asciiTheme="minorHAnsi" w:eastAsia="SimSun" w:hAnsiTheme="minorHAnsi"/>
          <w:szCs w:val="22"/>
          <w:lang w:eastAsia="zh-CN"/>
        </w:rPr>
        <w:fldChar w:fldCharType="end"/>
      </w:r>
    </w:p>
    <w:sectPr w:rsidR="00917414" w:rsidRPr="00704BD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5D0A" w:rsidRDefault="00695D0A" w:rsidP="004F5E36">
      <w:r>
        <w:separator/>
      </w:r>
    </w:p>
  </w:endnote>
  <w:endnote w:type="continuationSeparator" w:id="0">
    <w:p w:rsidR="00695D0A" w:rsidRDefault="00695D0A"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URWPalladioL-Roma">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5D0A" w:rsidRDefault="00695D0A" w:rsidP="004F5E36">
      <w:r>
        <w:separator/>
      </w:r>
    </w:p>
  </w:footnote>
  <w:footnote w:type="continuationSeparator" w:id="0">
    <w:p w:rsidR="00695D0A" w:rsidRDefault="00695D0A"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162" w:rsidRDefault="00594E9F">
    <w:pPr>
      <w:pStyle w:val="Intestazione"/>
    </w:pPr>
    <w:r>
      <w:rPr>
        <w:noProof/>
        <w:lang w:val="en-US"/>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75A8B8A7"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en-US"/>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BDF" w:rsidRPr="00DE0019" w:rsidRDefault="00704BDF" w:rsidP="00704BDF">
    <w:pPr>
      <w:ind w:left="-426" w:right="-285"/>
      <w:jc w:val="center"/>
      <w:rPr>
        <w:rFonts w:asciiTheme="minorHAnsi" w:hAnsiTheme="minorHAnsi"/>
        <w:b/>
        <w:i/>
        <w:color w:val="002060"/>
        <w:sz w:val="24"/>
        <w:szCs w:val="24"/>
        <w:lang w:val="en-US"/>
      </w:rPr>
    </w:pPr>
    <w:r>
      <w:rPr>
        <w:noProof/>
        <w:lang w:val="en-US"/>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Intestazione"/>
    </w:pPr>
  </w:p>
  <w:p w:rsidR="00704BDF" w:rsidRDefault="00704BDF">
    <w:pPr>
      <w:pStyle w:val="Intestazione"/>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5B20EF6F"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14A"/>
    <w:rsid w:val="000027C0"/>
    <w:rsid w:val="000117CB"/>
    <w:rsid w:val="0003148D"/>
    <w:rsid w:val="0005149B"/>
    <w:rsid w:val="00062A9A"/>
    <w:rsid w:val="00090D03"/>
    <w:rsid w:val="000A03B2"/>
    <w:rsid w:val="000D34BE"/>
    <w:rsid w:val="000E36F1"/>
    <w:rsid w:val="000E3A73"/>
    <w:rsid w:val="000E414A"/>
    <w:rsid w:val="0013121F"/>
    <w:rsid w:val="00134DE4"/>
    <w:rsid w:val="00150E59"/>
    <w:rsid w:val="00165AAC"/>
    <w:rsid w:val="00184AD6"/>
    <w:rsid w:val="001A1498"/>
    <w:rsid w:val="001B65C1"/>
    <w:rsid w:val="001C684B"/>
    <w:rsid w:val="001D53FC"/>
    <w:rsid w:val="001E1CC2"/>
    <w:rsid w:val="001F2EC7"/>
    <w:rsid w:val="002065DB"/>
    <w:rsid w:val="002447EF"/>
    <w:rsid w:val="00251550"/>
    <w:rsid w:val="0027221A"/>
    <w:rsid w:val="00275B61"/>
    <w:rsid w:val="002A32C0"/>
    <w:rsid w:val="002D1F12"/>
    <w:rsid w:val="002F3AE3"/>
    <w:rsid w:val="002F7292"/>
    <w:rsid w:val="003009B7"/>
    <w:rsid w:val="0030469C"/>
    <w:rsid w:val="00310B31"/>
    <w:rsid w:val="00316E19"/>
    <w:rsid w:val="003723D4"/>
    <w:rsid w:val="00382D2C"/>
    <w:rsid w:val="003A7D1C"/>
    <w:rsid w:val="003C7325"/>
    <w:rsid w:val="003D16F7"/>
    <w:rsid w:val="0046164A"/>
    <w:rsid w:val="00462DCD"/>
    <w:rsid w:val="004B68E9"/>
    <w:rsid w:val="004D1162"/>
    <w:rsid w:val="004E4DD6"/>
    <w:rsid w:val="004F5E36"/>
    <w:rsid w:val="005119A5"/>
    <w:rsid w:val="005278B7"/>
    <w:rsid w:val="005346C8"/>
    <w:rsid w:val="005471B5"/>
    <w:rsid w:val="00566755"/>
    <w:rsid w:val="0058055D"/>
    <w:rsid w:val="00594E9F"/>
    <w:rsid w:val="005B61E6"/>
    <w:rsid w:val="005C77E1"/>
    <w:rsid w:val="005D6A2F"/>
    <w:rsid w:val="005E1A82"/>
    <w:rsid w:val="005F0A28"/>
    <w:rsid w:val="005F0E5E"/>
    <w:rsid w:val="006129E7"/>
    <w:rsid w:val="00620DEE"/>
    <w:rsid w:val="00625639"/>
    <w:rsid w:val="0064184D"/>
    <w:rsid w:val="00660D08"/>
    <w:rsid w:val="00660E3E"/>
    <w:rsid w:val="00662E74"/>
    <w:rsid w:val="00695D0A"/>
    <w:rsid w:val="006A58D2"/>
    <w:rsid w:val="006B3F81"/>
    <w:rsid w:val="006C5579"/>
    <w:rsid w:val="006E390C"/>
    <w:rsid w:val="006E7284"/>
    <w:rsid w:val="00704BDF"/>
    <w:rsid w:val="00736B13"/>
    <w:rsid w:val="007447F3"/>
    <w:rsid w:val="007661C8"/>
    <w:rsid w:val="007B6944"/>
    <w:rsid w:val="007D52CD"/>
    <w:rsid w:val="007F3126"/>
    <w:rsid w:val="00813288"/>
    <w:rsid w:val="008168FC"/>
    <w:rsid w:val="008479A2"/>
    <w:rsid w:val="0087637F"/>
    <w:rsid w:val="00886CC2"/>
    <w:rsid w:val="008A1512"/>
    <w:rsid w:val="008C10F4"/>
    <w:rsid w:val="008D0BEB"/>
    <w:rsid w:val="008E566E"/>
    <w:rsid w:val="00901EB6"/>
    <w:rsid w:val="00917414"/>
    <w:rsid w:val="009450CE"/>
    <w:rsid w:val="0095164B"/>
    <w:rsid w:val="00996483"/>
    <w:rsid w:val="009E788A"/>
    <w:rsid w:val="00A1763D"/>
    <w:rsid w:val="00A17CEC"/>
    <w:rsid w:val="00A27EF0"/>
    <w:rsid w:val="00A76EFC"/>
    <w:rsid w:val="00A87CD9"/>
    <w:rsid w:val="00A9626B"/>
    <w:rsid w:val="00A97F29"/>
    <w:rsid w:val="00AA6B9E"/>
    <w:rsid w:val="00AB0964"/>
    <w:rsid w:val="00AB3823"/>
    <w:rsid w:val="00AE377D"/>
    <w:rsid w:val="00B61DBF"/>
    <w:rsid w:val="00B924F9"/>
    <w:rsid w:val="00BC30C9"/>
    <w:rsid w:val="00BE3E58"/>
    <w:rsid w:val="00C01616"/>
    <w:rsid w:val="00C0162B"/>
    <w:rsid w:val="00C07824"/>
    <w:rsid w:val="00C345B1"/>
    <w:rsid w:val="00C40142"/>
    <w:rsid w:val="00C57182"/>
    <w:rsid w:val="00C655FD"/>
    <w:rsid w:val="00C867B1"/>
    <w:rsid w:val="00C90D53"/>
    <w:rsid w:val="00C94434"/>
    <w:rsid w:val="00CA1C95"/>
    <w:rsid w:val="00CA5A9C"/>
    <w:rsid w:val="00CD4437"/>
    <w:rsid w:val="00CD5FE2"/>
    <w:rsid w:val="00D02B4C"/>
    <w:rsid w:val="00D03A25"/>
    <w:rsid w:val="00D84576"/>
    <w:rsid w:val="00D87EBD"/>
    <w:rsid w:val="00DE0019"/>
    <w:rsid w:val="00DE264A"/>
    <w:rsid w:val="00E041E7"/>
    <w:rsid w:val="00E23CA1"/>
    <w:rsid w:val="00E409A8"/>
    <w:rsid w:val="00E7209D"/>
    <w:rsid w:val="00E9720F"/>
    <w:rsid w:val="00EA50E1"/>
    <w:rsid w:val="00EA6675"/>
    <w:rsid w:val="00EB5EB8"/>
    <w:rsid w:val="00EE0131"/>
    <w:rsid w:val="00F23555"/>
    <w:rsid w:val="00F30C64"/>
    <w:rsid w:val="00F63423"/>
    <w:rsid w:val="00FB730C"/>
    <w:rsid w:val="00FC2695"/>
    <w:rsid w:val="00FC3E03"/>
    <w:rsid w:val="00FC773E"/>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AB79AD"/>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 w:type="character" w:styleId="Rimandonotaapidipagina">
    <w:name w:val="footnote reference"/>
    <w:basedOn w:val="Carpredefinitoparagrafo"/>
    <w:uiPriority w:val="99"/>
    <w:semiHidden/>
    <w:unhideWhenUsed/>
    <w:locked/>
    <w:rsid w:val="006129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C:\Users\GG\Desktop\Articolo%20Pebax%202533%20+%20GO\Pebax2533+GOinH2O_char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solidFill>
                <a:latin typeface="+mn-lt"/>
                <a:ea typeface="+mn-ea"/>
                <a:cs typeface="+mn-cs"/>
              </a:defRPr>
            </a:pPr>
            <a:r>
              <a:rPr lang="en-US" sz="900" b="1" i="0" u="none" strike="noStrike" baseline="0">
                <a:effectLst/>
              </a:rPr>
              <a:t>Pebax®2533  </a:t>
            </a:r>
            <a:r>
              <a:rPr lang="it-IT" sz="900" b="1">
                <a:solidFill>
                  <a:schemeClr val="tx1"/>
                </a:solidFill>
              </a:rPr>
              <a:t>+  GO</a:t>
            </a:r>
          </a:p>
        </c:rich>
      </c:tx>
      <c:layout>
        <c:manualLayout>
          <c:xMode val="edge"/>
          <c:yMode val="edge"/>
          <c:x val="0.34157271496929786"/>
          <c:y val="1.454886349210483E-2"/>
        </c:manualLayout>
      </c:layout>
      <c:overlay val="0"/>
      <c:spPr>
        <a:noFill/>
        <a:ln>
          <a:noFill/>
        </a:ln>
        <a:effectLst/>
      </c:spPr>
      <c:txPr>
        <a:bodyPr rot="0" spcFirstLastPara="1" vertOverflow="ellipsis" vert="horz" wrap="square" anchor="ctr" anchorCtr="1"/>
        <a:lstStyle/>
        <a:p>
          <a:pPr>
            <a:defRPr sz="900" b="1" i="0" u="none" strike="noStrike" kern="1200" spc="0" baseline="0">
              <a:solidFill>
                <a:schemeClr val="tx1"/>
              </a:solidFill>
              <a:latin typeface="+mn-lt"/>
              <a:ea typeface="+mn-ea"/>
              <a:cs typeface="+mn-cs"/>
            </a:defRPr>
          </a:pPr>
          <a:endParaRPr lang="it-IT"/>
        </a:p>
      </c:txPr>
    </c:title>
    <c:autoTitleDeleted val="0"/>
    <c:plotArea>
      <c:layout>
        <c:manualLayout>
          <c:layoutTarget val="inner"/>
          <c:xMode val="edge"/>
          <c:yMode val="edge"/>
          <c:x val="0.17342634578265265"/>
          <c:y val="0.14760714966495109"/>
          <c:w val="0.69256947210392472"/>
          <c:h val="0.66128842203943183"/>
        </c:manualLayout>
      </c:layout>
      <c:lineChart>
        <c:grouping val="standard"/>
        <c:varyColors val="0"/>
        <c:ser>
          <c:idx val="0"/>
          <c:order val="0"/>
          <c:tx>
            <c:strRef>
              <c:f>'P2533 + GO'!$C$3</c:f>
              <c:strCache>
                <c:ptCount val="1"/>
                <c:pt idx="0">
                  <c:v>P CO2</c:v>
                </c:pt>
              </c:strCache>
            </c:strRef>
          </c:tx>
          <c:spPr>
            <a:ln w="19050" cap="rnd">
              <a:solidFill>
                <a:srgbClr val="0070C0"/>
              </a:solidFill>
              <a:round/>
            </a:ln>
            <a:effectLst/>
          </c:spPr>
          <c:marker>
            <c:symbol val="circle"/>
            <c:size val="5"/>
            <c:spPr>
              <a:solidFill>
                <a:schemeClr val="accent1"/>
              </a:solidFill>
              <a:ln w="9525">
                <a:solidFill>
                  <a:srgbClr val="0070C0"/>
                </a:solidFill>
              </a:ln>
              <a:effectLst/>
            </c:spPr>
          </c:marker>
          <c:cat>
            <c:numRef>
              <c:f>'P2533 + GO'!$B$4:$B$8</c:f>
              <c:numCache>
                <c:formatCode>General</c:formatCode>
                <c:ptCount val="5"/>
                <c:pt idx="0">
                  <c:v>0</c:v>
                </c:pt>
                <c:pt idx="1">
                  <c:v>0.02</c:v>
                </c:pt>
                <c:pt idx="2">
                  <c:v>0.1</c:v>
                </c:pt>
                <c:pt idx="3">
                  <c:v>0.5</c:v>
                </c:pt>
                <c:pt idx="4">
                  <c:v>1</c:v>
                </c:pt>
              </c:numCache>
            </c:numRef>
          </c:cat>
          <c:val>
            <c:numRef>
              <c:f>'P2533 + GO'!$C$4:$C$8</c:f>
              <c:numCache>
                <c:formatCode>General</c:formatCode>
                <c:ptCount val="5"/>
                <c:pt idx="0">
                  <c:v>364.61500000000001</c:v>
                </c:pt>
                <c:pt idx="1">
                  <c:v>371.3890430116669</c:v>
                </c:pt>
                <c:pt idx="2">
                  <c:v>336.8</c:v>
                </c:pt>
                <c:pt idx="3">
                  <c:v>100.61</c:v>
                </c:pt>
                <c:pt idx="4">
                  <c:v>48.58</c:v>
                </c:pt>
              </c:numCache>
            </c:numRef>
          </c:val>
          <c:smooth val="0"/>
          <c:extLst>
            <c:ext xmlns:c16="http://schemas.microsoft.com/office/drawing/2014/chart" uri="{C3380CC4-5D6E-409C-BE32-E72D297353CC}">
              <c16:uniqueId val="{00000000-4946-4CBD-9D1A-07AEAAFC9887}"/>
            </c:ext>
          </c:extLst>
        </c:ser>
        <c:dLbls>
          <c:showLegendKey val="0"/>
          <c:showVal val="0"/>
          <c:showCatName val="0"/>
          <c:showSerName val="0"/>
          <c:showPercent val="0"/>
          <c:showBubbleSize val="0"/>
        </c:dLbls>
        <c:marker val="1"/>
        <c:smooth val="0"/>
        <c:axId val="377952800"/>
        <c:axId val="250517968"/>
      </c:lineChart>
      <c:lineChart>
        <c:grouping val="standard"/>
        <c:varyColors val="0"/>
        <c:ser>
          <c:idx val="1"/>
          <c:order val="1"/>
          <c:tx>
            <c:strRef>
              <c:f>'P2533 + GO'!$D$3</c:f>
              <c:strCache>
                <c:ptCount val="1"/>
                <c:pt idx="0">
                  <c:v>α CO2/N2</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cat>
            <c:numRef>
              <c:f>'P2533 + GO'!$B$4:$B$7</c:f>
              <c:numCache>
                <c:formatCode>General</c:formatCode>
                <c:ptCount val="4"/>
                <c:pt idx="0">
                  <c:v>0</c:v>
                </c:pt>
                <c:pt idx="1">
                  <c:v>0.02</c:v>
                </c:pt>
                <c:pt idx="2">
                  <c:v>0.1</c:v>
                </c:pt>
                <c:pt idx="3">
                  <c:v>0.5</c:v>
                </c:pt>
              </c:numCache>
            </c:numRef>
          </c:cat>
          <c:val>
            <c:numRef>
              <c:f>'P2533 + GO'!$D$4:$D$8</c:f>
              <c:numCache>
                <c:formatCode>General</c:formatCode>
                <c:ptCount val="5"/>
                <c:pt idx="0">
                  <c:v>23.8</c:v>
                </c:pt>
                <c:pt idx="1">
                  <c:v>24</c:v>
                </c:pt>
                <c:pt idx="2">
                  <c:v>24.02</c:v>
                </c:pt>
                <c:pt idx="3">
                  <c:v>24.01</c:v>
                </c:pt>
                <c:pt idx="4">
                  <c:v>22.38</c:v>
                </c:pt>
              </c:numCache>
            </c:numRef>
          </c:val>
          <c:smooth val="0"/>
          <c:extLst>
            <c:ext xmlns:c16="http://schemas.microsoft.com/office/drawing/2014/chart" uri="{C3380CC4-5D6E-409C-BE32-E72D297353CC}">
              <c16:uniqueId val="{00000001-4946-4CBD-9D1A-07AEAAFC9887}"/>
            </c:ext>
          </c:extLst>
        </c:ser>
        <c:dLbls>
          <c:showLegendKey val="0"/>
          <c:showVal val="0"/>
          <c:showCatName val="0"/>
          <c:showSerName val="0"/>
          <c:showPercent val="0"/>
          <c:showBubbleSize val="0"/>
        </c:dLbls>
        <c:marker val="1"/>
        <c:smooth val="0"/>
        <c:axId val="379305056"/>
        <c:axId val="432262960"/>
      </c:lineChart>
      <c:catAx>
        <c:axId val="377952800"/>
        <c:scaling>
          <c:orientation val="minMax"/>
        </c:scaling>
        <c:delete val="0"/>
        <c:axPos val="b"/>
        <c:minorGridlines>
          <c:spPr>
            <a:ln w="9525" cap="flat" cmpd="sng" algn="ctr">
              <a:solidFill>
                <a:schemeClr val="bg1">
                  <a:lumMod val="85000"/>
                </a:schemeClr>
              </a:solidFill>
              <a:round/>
            </a:ln>
            <a:effectLst/>
          </c:spPr>
        </c:minorGridlines>
        <c:title>
          <c:tx>
            <c:rich>
              <a:bodyPr rot="0" spcFirstLastPara="1" vertOverflow="ellipsis" vert="horz" wrap="square" anchor="ctr" anchorCtr="1"/>
              <a:lstStyle/>
              <a:p>
                <a:pPr>
                  <a:defRPr sz="700" b="1" i="0" u="none" strike="noStrike" kern="1200" baseline="0">
                    <a:solidFill>
                      <a:schemeClr val="tx1"/>
                    </a:solidFill>
                    <a:latin typeface="+mn-lt"/>
                    <a:ea typeface="+mn-ea"/>
                    <a:cs typeface="+mn-cs"/>
                  </a:defRPr>
                </a:pPr>
                <a:r>
                  <a:rPr lang="it-IT" sz="700" b="1">
                    <a:solidFill>
                      <a:schemeClr val="tx1"/>
                    </a:solidFill>
                  </a:rPr>
                  <a:t>GO</a:t>
                </a:r>
                <a:r>
                  <a:rPr lang="it-IT" sz="700" b="1" baseline="0">
                    <a:solidFill>
                      <a:schemeClr val="tx1"/>
                    </a:solidFill>
                  </a:rPr>
                  <a:t> wt% Loaded</a:t>
                </a:r>
                <a:endParaRPr lang="it-IT" sz="700" b="1">
                  <a:solidFill>
                    <a:schemeClr val="tx1"/>
                  </a:solidFill>
                </a:endParaRPr>
              </a:p>
            </c:rich>
          </c:tx>
          <c:layout>
            <c:manualLayout>
              <c:xMode val="edge"/>
              <c:yMode val="edge"/>
              <c:x val="0.40396833057864262"/>
              <c:y val="0.90454700810187072"/>
            </c:manualLayout>
          </c:layout>
          <c:overlay val="0"/>
          <c:spPr>
            <a:noFill/>
            <a:ln>
              <a:noFill/>
            </a:ln>
            <a:effectLst/>
          </c:spPr>
          <c:txPr>
            <a:bodyPr rot="0" spcFirstLastPara="1" vertOverflow="ellipsis" vert="horz" wrap="square" anchor="ctr" anchorCtr="1"/>
            <a:lstStyle/>
            <a:p>
              <a:pPr>
                <a:defRPr sz="700" b="1" i="0" u="none" strike="noStrike" kern="1200" baseline="0">
                  <a:solidFill>
                    <a:schemeClr val="tx1"/>
                  </a:solidFill>
                  <a:latin typeface="+mn-lt"/>
                  <a:ea typeface="+mn-ea"/>
                  <a:cs typeface="+mn-cs"/>
                </a:defRPr>
              </a:pPr>
              <a:endParaRPr lang="it-IT"/>
            </a:p>
          </c:txPr>
        </c:title>
        <c:numFmt formatCode="General" sourceLinked="0"/>
        <c:majorTickMark val="out"/>
        <c:minorTickMark val="in"/>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600" b="1" i="0" u="none" strike="noStrike" kern="1200" baseline="0">
                <a:solidFill>
                  <a:schemeClr val="tx1"/>
                </a:solidFill>
                <a:latin typeface="+mn-lt"/>
                <a:ea typeface="+mn-ea"/>
                <a:cs typeface="+mn-cs"/>
              </a:defRPr>
            </a:pPr>
            <a:endParaRPr lang="it-IT"/>
          </a:p>
        </c:txPr>
        <c:crossAx val="250517968"/>
        <c:crosses val="autoZero"/>
        <c:auto val="1"/>
        <c:lblAlgn val="ctr"/>
        <c:lblOffset val="100"/>
        <c:tickMarkSkip val="1"/>
        <c:noMultiLvlLbl val="0"/>
      </c:catAx>
      <c:valAx>
        <c:axId val="2505179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1" i="0" u="none" strike="noStrike" kern="1200" baseline="0">
                    <a:solidFill>
                      <a:srgbClr val="0070C0"/>
                    </a:solidFill>
                    <a:latin typeface="+mn-lt"/>
                    <a:ea typeface="+mn-ea"/>
                    <a:cs typeface="+mn-cs"/>
                  </a:defRPr>
                </a:pPr>
                <a:r>
                  <a:rPr lang="it-IT" sz="700" b="1">
                    <a:solidFill>
                      <a:srgbClr val="0070C0"/>
                    </a:solidFill>
                  </a:rPr>
                  <a:t>CO2</a:t>
                </a:r>
                <a:r>
                  <a:rPr lang="it-IT" sz="700" b="1" baseline="0">
                    <a:solidFill>
                      <a:srgbClr val="0070C0"/>
                    </a:solidFill>
                  </a:rPr>
                  <a:t> Permeability (barrer)</a:t>
                </a:r>
                <a:endParaRPr lang="it-IT" sz="700" b="1">
                  <a:solidFill>
                    <a:srgbClr val="0070C0"/>
                  </a:solidFill>
                </a:endParaRPr>
              </a:p>
            </c:rich>
          </c:tx>
          <c:layout>
            <c:manualLayout>
              <c:xMode val="edge"/>
              <c:yMode val="edge"/>
              <c:x val="2.2040350500934464E-2"/>
              <c:y val="0.19481163126313392"/>
            </c:manualLayout>
          </c:layout>
          <c:overlay val="0"/>
          <c:spPr>
            <a:noFill/>
            <a:ln>
              <a:noFill/>
            </a:ln>
            <a:effectLst/>
          </c:spPr>
          <c:txPr>
            <a:bodyPr rot="-5400000" spcFirstLastPara="1" vertOverflow="ellipsis" vert="horz" wrap="square" anchor="ctr" anchorCtr="1"/>
            <a:lstStyle/>
            <a:p>
              <a:pPr>
                <a:defRPr sz="700" b="1" i="0" u="none" strike="noStrike" kern="1200" baseline="0">
                  <a:solidFill>
                    <a:srgbClr val="0070C0"/>
                  </a:solidFill>
                  <a:latin typeface="+mn-lt"/>
                  <a:ea typeface="+mn-ea"/>
                  <a:cs typeface="+mn-cs"/>
                </a:defRPr>
              </a:pPr>
              <a:endParaRPr lang="it-IT"/>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600" b="1" i="0" u="none" strike="noStrike" kern="1200" baseline="0">
                <a:solidFill>
                  <a:srgbClr val="0070C0"/>
                </a:solidFill>
                <a:latin typeface="+mn-lt"/>
                <a:ea typeface="+mn-ea"/>
                <a:cs typeface="+mn-cs"/>
              </a:defRPr>
            </a:pPr>
            <a:endParaRPr lang="it-IT"/>
          </a:p>
        </c:txPr>
        <c:crossAx val="377952800"/>
        <c:crosses val="autoZero"/>
        <c:crossBetween val="between"/>
      </c:valAx>
      <c:valAx>
        <c:axId val="432262960"/>
        <c:scaling>
          <c:orientation val="minMax"/>
          <c:max val="50"/>
          <c:min val="0"/>
        </c:scaling>
        <c:delete val="0"/>
        <c:axPos val="r"/>
        <c:title>
          <c:tx>
            <c:rich>
              <a:bodyPr rot="-5400000" spcFirstLastPara="1" vertOverflow="ellipsis" vert="horz" wrap="square" anchor="ctr" anchorCtr="1"/>
              <a:lstStyle/>
              <a:p>
                <a:pPr>
                  <a:defRPr sz="700" b="1" i="0" u="none" strike="noStrike" kern="1200" baseline="0">
                    <a:solidFill>
                      <a:schemeClr val="accent2"/>
                    </a:solidFill>
                    <a:latin typeface="+mn-lt"/>
                    <a:ea typeface="+mn-ea"/>
                    <a:cs typeface="+mn-cs"/>
                  </a:defRPr>
                </a:pPr>
                <a:r>
                  <a:rPr lang="it-IT" sz="700" b="1">
                    <a:solidFill>
                      <a:schemeClr val="accent2"/>
                    </a:solidFill>
                  </a:rPr>
                  <a:t>CO2/N2 Selectivity</a:t>
                </a:r>
              </a:p>
            </c:rich>
          </c:tx>
          <c:layout>
            <c:manualLayout>
              <c:xMode val="edge"/>
              <c:yMode val="edge"/>
              <c:x val="0.93411945831673759"/>
              <c:y val="0.29168038078841435"/>
            </c:manualLayout>
          </c:layout>
          <c:overlay val="0"/>
          <c:spPr>
            <a:noFill/>
            <a:ln>
              <a:noFill/>
            </a:ln>
            <a:effectLst/>
          </c:spPr>
          <c:txPr>
            <a:bodyPr rot="-5400000" spcFirstLastPara="1" vertOverflow="ellipsis" vert="horz" wrap="square" anchor="ctr" anchorCtr="1"/>
            <a:lstStyle/>
            <a:p>
              <a:pPr>
                <a:defRPr sz="700" b="1" i="0" u="none" strike="noStrike" kern="1200" baseline="0">
                  <a:solidFill>
                    <a:schemeClr val="accent2"/>
                  </a:solidFill>
                  <a:latin typeface="+mn-lt"/>
                  <a:ea typeface="+mn-ea"/>
                  <a:cs typeface="+mn-cs"/>
                </a:defRPr>
              </a:pPr>
              <a:endParaRPr lang="it-IT"/>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600" b="1" i="0" u="none" strike="noStrike" kern="1200" baseline="0">
                <a:solidFill>
                  <a:schemeClr val="accent2"/>
                </a:solidFill>
                <a:latin typeface="+mn-lt"/>
                <a:ea typeface="+mn-ea"/>
                <a:cs typeface="+mn-cs"/>
              </a:defRPr>
            </a:pPr>
            <a:endParaRPr lang="it-IT"/>
          </a:p>
        </c:txPr>
        <c:crossAx val="379305056"/>
        <c:crosses val="max"/>
        <c:crossBetween val="between"/>
      </c:valAx>
      <c:catAx>
        <c:axId val="379305056"/>
        <c:scaling>
          <c:orientation val="minMax"/>
        </c:scaling>
        <c:delete val="1"/>
        <c:axPos val="b"/>
        <c:numFmt formatCode="General" sourceLinked="1"/>
        <c:majorTickMark val="out"/>
        <c:minorTickMark val="none"/>
        <c:tickLblPos val="nextTo"/>
        <c:crossAx val="432262960"/>
        <c:crosses val="autoZero"/>
        <c:auto val="1"/>
        <c:lblAlgn val="ctr"/>
        <c:lblOffset val="100"/>
        <c:noMultiLvlLbl val="0"/>
      </c:cat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93DC8-76FD-431F-94D3-90AD366CD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1951</Words>
  <Characters>11121</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
    </vt:vector>
  </TitlesOfParts>
  <Company>Dipartimento CMIC - Politecnico di Milano</Company>
  <LinksUpToDate>false</LinksUpToDate>
  <CharactersWithSpaces>13046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Riccardo Casadei</cp:lastModifiedBy>
  <cp:revision>8</cp:revision>
  <cp:lastPrinted>2015-05-12T18:31:00Z</cp:lastPrinted>
  <dcterms:created xsi:type="dcterms:W3CDTF">2019-02-28T12:31:00Z</dcterms:created>
  <dcterms:modified xsi:type="dcterms:W3CDTF">2019-02-28T13:29:00Z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http://www.zotero.org/styles/journal-of-membrane-science</vt:lpwstr>
  </property>
  <property fmtid="{D5CDD505-2E9C-101B-9397-08002B2CF9AE}" pid="4" name="Mendeley Unique User Id_1">
    <vt:lpwstr>3a823f7c-34d1-3a92-bf74-dc617e65c442</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http://www.zotero.org/styles/journal-of-membrane-science</vt:lpwstr>
  </property>
  <property fmtid="{D5CDD505-2E9C-101B-9397-08002B2CF9AE}" pid="18" name="Mendeley Recent Style Name 6_1">
    <vt:lpwstr>Journal of Membrane Science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