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2C3C59" w:rsidP="00704BDF">
      <w:pPr>
        <w:snapToGrid w:val="0"/>
        <w:spacing w:after="360"/>
        <w:jc w:val="center"/>
        <w:rPr>
          <w:rFonts w:asciiTheme="minorHAnsi" w:eastAsia="MS PGothic" w:hAnsiTheme="minorHAnsi"/>
          <w:b/>
          <w:bCs/>
          <w:sz w:val="28"/>
          <w:szCs w:val="28"/>
          <w:lang w:val="en-US" w:eastAsia="ko-KR"/>
        </w:rPr>
      </w:pPr>
      <w:proofErr w:type="gramStart"/>
      <w:r>
        <w:rPr>
          <w:rFonts w:asciiTheme="minorHAnsi" w:eastAsia="MS PGothic" w:hAnsiTheme="minorHAnsi"/>
          <w:b/>
          <w:bCs/>
          <w:sz w:val="28"/>
          <w:szCs w:val="28"/>
          <w:lang w:val="en-US"/>
        </w:rPr>
        <w:lastRenderedPageBreak/>
        <w:t>On the modeling of the kinetics of high-functionality biopolymers</w:t>
      </w:r>
      <w:r w:rsidR="00704BDF" w:rsidRPr="00DE0019">
        <w:rPr>
          <w:rFonts w:asciiTheme="minorHAnsi" w:eastAsia="MS PGothic" w:hAnsiTheme="minorHAnsi"/>
          <w:b/>
          <w:bCs/>
          <w:sz w:val="28"/>
          <w:szCs w:val="28"/>
          <w:lang w:val="en-US"/>
        </w:rPr>
        <w:t>.</w:t>
      </w:r>
      <w:proofErr w:type="gramEnd"/>
      <w:r>
        <w:rPr>
          <w:rFonts w:asciiTheme="minorHAnsi" w:eastAsia="MS PGothic" w:hAnsiTheme="minorHAnsi"/>
          <w:b/>
          <w:bCs/>
          <w:sz w:val="28"/>
          <w:szCs w:val="28"/>
          <w:lang w:val="en-US"/>
        </w:rPr>
        <w:t xml:space="preserve"> Application to the polycondensation of sugars</w:t>
      </w:r>
    </w:p>
    <w:p w:rsidR="00DE0019" w:rsidRPr="00DE0019" w:rsidRDefault="002C3C5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Dimitrios Meimaroglou</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sidR="00325100">
        <w:rPr>
          <w:rFonts w:asciiTheme="minorHAnsi" w:eastAsia="SimSun" w:hAnsiTheme="minorHAnsi"/>
          <w:color w:val="000000"/>
          <w:sz w:val="24"/>
          <w:szCs w:val="24"/>
          <w:lang w:val="en-US" w:eastAsia="zh-CN"/>
        </w:rPr>
        <w:t xml:space="preserve"> Sandrine Hoppe</w:t>
      </w:r>
      <w:r w:rsidR="00325100" w:rsidRPr="00325100">
        <w:rPr>
          <w:rFonts w:asciiTheme="minorHAnsi" w:eastAsia="SimSun" w:hAnsiTheme="minorHAnsi"/>
          <w:color w:val="000000"/>
          <w:sz w:val="24"/>
          <w:szCs w:val="24"/>
          <w:vertAlign w:val="superscript"/>
          <w:lang w:val="en-US" w:eastAsia="zh-CN"/>
        </w:rPr>
        <w:t>1</w:t>
      </w:r>
      <w:r w:rsidR="00325100">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Baptiste Boit</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rsidR="006B7DE7" w:rsidRPr="00BD23A9" w:rsidRDefault="00704BDF" w:rsidP="006B7DE7">
      <w:pPr>
        <w:snapToGrid w:val="0"/>
        <w:spacing w:after="120"/>
        <w:jc w:val="center"/>
        <w:rPr>
          <w:rFonts w:asciiTheme="minorHAnsi" w:hAnsiTheme="minorHAnsi" w:cstheme="minorHAnsi"/>
          <w:i/>
          <w:iCs/>
          <w:sz w:val="20"/>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proofErr w:type="spellStart"/>
      <w:r w:rsidR="006B7DE7" w:rsidRPr="00BD23A9">
        <w:rPr>
          <w:rFonts w:asciiTheme="minorHAnsi" w:hAnsiTheme="minorHAnsi" w:cstheme="minorHAnsi"/>
          <w:i/>
          <w:iCs/>
          <w:sz w:val="20"/>
        </w:rPr>
        <w:t>Laboratoire</w:t>
      </w:r>
      <w:proofErr w:type="spellEnd"/>
      <w:r w:rsidR="006B7DE7" w:rsidRPr="00BD23A9">
        <w:rPr>
          <w:rFonts w:asciiTheme="minorHAnsi" w:hAnsiTheme="minorHAnsi" w:cstheme="minorHAnsi"/>
          <w:i/>
          <w:iCs/>
          <w:sz w:val="20"/>
        </w:rPr>
        <w:t xml:space="preserve"> </w:t>
      </w:r>
      <w:proofErr w:type="spellStart"/>
      <w:r w:rsidR="006B7DE7" w:rsidRPr="00BD23A9">
        <w:rPr>
          <w:rFonts w:asciiTheme="minorHAnsi" w:hAnsiTheme="minorHAnsi" w:cstheme="minorHAnsi"/>
          <w:i/>
          <w:iCs/>
          <w:sz w:val="20"/>
        </w:rPr>
        <w:t>Réactions</w:t>
      </w:r>
      <w:proofErr w:type="spellEnd"/>
      <w:r w:rsidR="006B7DE7" w:rsidRPr="00BD23A9">
        <w:rPr>
          <w:rFonts w:asciiTheme="minorHAnsi" w:hAnsiTheme="minorHAnsi" w:cstheme="minorHAnsi"/>
          <w:i/>
          <w:iCs/>
          <w:sz w:val="20"/>
        </w:rPr>
        <w:t xml:space="preserve"> et </w:t>
      </w:r>
      <w:proofErr w:type="spellStart"/>
      <w:r w:rsidR="006B7DE7" w:rsidRPr="00BD23A9">
        <w:rPr>
          <w:rFonts w:asciiTheme="minorHAnsi" w:hAnsiTheme="minorHAnsi" w:cstheme="minorHAnsi"/>
          <w:i/>
          <w:iCs/>
          <w:sz w:val="20"/>
        </w:rPr>
        <w:t>Génie</w:t>
      </w:r>
      <w:proofErr w:type="spellEnd"/>
      <w:r w:rsidR="006B7DE7" w:rsidRPr="00BD23A9">
        <w:rPr>
          <w:rFonts w:asciiTheme="minorHAnsi" w:hAnsiTheme="minorHAnsi" w:cstheme="minorHAnsi"/>
          <w:i/>
          <w:iCs/>
          <w:sz w:val="20"/>
        </w:rPr>
        <w:t xml:space="preserve"> des </w:t>
      </w:r>
      <w:proofErr w:type="spellStart"/>
      <w:r w:rsidR="006B7DE7" w:rsidRPr="00BD23A9">
        <w:rPr>
          <w:rFonts w:asciiTheme="minorHAnsi" w:hAnsiTheme="minorHAnsi" w:cstheme="minorHAnsi"/>
          <w:i/>
          <w:iCs/>
          <w:sz w:val="20"/>
        </w:rPr>
        <w:t>Procédés</w:t>
      </w:r>
      <w:proofErr w:type="gramStart"/>
      <w:r w:rsidR="006B7DE7" w:rsidRPr="00BD23A9">
        <w:rPr>
          <w:rFonts w:asciiTheme="minorHAnsi" w:hAnsiTheme="minorHAnsi" w:cstheme="minorHAnsi"/>
          <w:i/>
          <w:iCs/>
          <w:sz w:val="20"/>
        </w:rPr>
        <w:t>,Université</w:t>
      </w:r>
      <w:proofErr w:type="spellEnd"/>
      <w:proofErr w:type="gramEnd"/>
      <w:r w:rsidR="006B7DE7" w:rsidRPr="00BD23A9">
        <w:rPr>
          <w:rFonts w:asciiTheme="minorHAnsi" w:hAnsiTheme="minorHAnsi" w:cstheme="minorHAnsi"/>
          <w:i/>
          <w:iCs/>
          <w:sz w:val="20"/>
        </w:rPr>
        <w:t xml:space="preserve"> de </w:t>
      </w:r>
      <w:proofErr w:type="spellStart"/>
      <w:r w:rsidR="006B7DE7" w:rsidRPr="00BD23A9">
        <w:rPr>
          <w:rFonts w:asciiTheme="minorHAnsi" w:hAnsiTheme="minorHAnsi" w:cstheme="minorHAnsi"/>
          <w:i/>
          <w:iCs/>
          <w:sz w:val="20"/>
        </w:rPr>
        <w:t>Lorraine,CNRS</w:t>
      </w:r>
      <w:proofErr w:type="spellEnd"/>
      <w:r w:rsidR="006B7DE7" w:rsidRPr="00BD23A9">
        <w:rPr>
          <w:rFonts w:asciiTheme="minorHAnsi" w:hAnsiTheme="minorHAnsi" w:cstheme="minorHAnsi"/>
          <w:i/>
          <w:iCs/>
          <w:sz w:val="20"/>
        </w:rPr>
        <w:t xml:space="preserve">, </w:t>
      </w:r>
    </w:p>
    <w:p w:rsidR="00704BDF" w:rsidRPr="00DE0019" w:rsidRDefault="006B7DE7" w:rsidP="006B7DE7">
      <w:pPr>
        <w:snapToGrid w:val="0"/>
        <w:spacing w:after="120"/>
        <w:jc w:val="center"/>
        <w:rPr>
          <w:rFonts w:asciiTheme="minorHAnsi" w:eastAsia="MS PGothic" w:hAnsiTheme="minorHAnsi"/>
          <w:i/>
          <w:iCs/>
          <w:color w:val="000000"/>
          <w:sz w:val="20"/>
          <w:lang w:val="en-US"/>
        </w:rPr>
      </w:pPr>
      <w:proofErr w:type="spellStart"/>
      <w:r w:rsidRPr="00BD23A9">
        <w:rPr>
          <w:rFonts w:asciiTheme="minorHAnsi" w:hAnsiTheme="minorHAnsi" w:cstheme="minorHAnsi"/>
          <w:i/>
          <w:iCs/>
          <w:sz w:val="20"/>
        </w:rPr>
        <w:t>LRGP</w:t>
      </w:r>
      <w:proofErr w:type="spellEnd"/>
      <w:r w:rsidRPr="00BD23A9">
        <w:rPr>
          <w:rFonts w:asciiTheme="minorHAnsi" w:hAnsiTheme="minorHAnsi" w:cstheme="minorHAnsi"/>
          <w:i/>
          <w:iCs/>
          <w:sz w:val="20"/>
        </w:rPr>
        <w:t>, F-54000 Nancy, France</w:t>
      </w:r>
      <w:r w:rsidR="00704BDF" w:rsidRPr="00DE0019">
        <w:rPr>
          <w:rFonts w:asciiTheme="minorHAnsi" w:eastAsia="MS PGothic" w:hAnsiTheme="minorHAnsi"/>
          <w:i/>
          <w:iCs/>
          <w:color w:val="000000"/>
          <w:sz w:val="20"/>
          <w:lang w:val="en-US"/>
        </w:rPr>
        <w:t xml:space="preserve">; </w:t>
      </w:r>
      <w:r w:rsidR="00704BDF" w:rsidRPr="007F3CDA">
        <w:rPr>
          <w:rFonts w:asciiTheme="minorHAnsi" w:eastAsia="MS PGothic" w:hAnsiTheme="minorHAnsi"/>
          <w:i/>
          <w:iCs/>
          <w:color w:val="000000"/>
          <w:sz w:val="20"/>
          <w:lang w:val="en-US"/>
        </w:rPr>
        <w:t xml:space="preserve">2 </w:t>
      </w:r>
      <w:proofErr w:type="spellStart"/>
      <w:r w:rsidR="007F3CDA" w:rsidRPr="007F3CDA">
        <w:rPr>
          <w:rFonts w:asciiTheme="minorHAnsi" w:eastAsia="MS PGothic" w:hAnsiTheme="minorHAnsi"/>
          <w:i/>
          <w:iCs/>
          <w:color w:val="000000"/>
          <w:sz w:val="20"/>
          <w:lang w:val="en-US"/>
        </w:rPr>
        <w:t>Roquette</w:t>
      </w:r>
      <w:proofErr w:type="spellEnd"/>
      <w:r w:rsidR="007F3CDA" w:rsidRPr="007F3CDA">
        <w:rPr>
          <w:rFonts w:asciiTheme="minorHAnsi" w:eastAsia="MS PGothic" w:hAnsiTheme="minorHAnsi"/>
          <w:i/>
          <w:iCs/>
          <w:color w:val="000000"/>
          <w:sz w:val="20"/>
          <w:lang w:val="en-US"/>
        </w:rPr>
        <w:t xml:space="preserve"> Frère</w:t>
      </w:r>
      <w:r w:rsidR="00897234">
        <w:rPr>
          <w:rFonts w:asciiTheme="minorHAnsi" w:eastAsia="MS PGothic" w:hAnsiTheme="minorHAnsi"/>
          <w:i/>
          <w:iCs/>
          <w:color w:val="000000"/>
          <w:sz w:val="20"/>
          <w:lang w:val="en-US"/>
        </w:rPr>
        <w:t>s</w:t>
      </w:r>
      <w:bookmarkStart w:id="0" w:name="_GoBack"/>
      <w:bookmarkEnd w:id="0"/>
      <w:r w:rsidR="007F3CDA" w:rsidRPr="007F3CDA">
        <w:rPr>
          <w:rFonts w:asciiTheme="minorHAnsi" w:eastAsia="MS PGothic" w:hAnsiTheme="minorHAnsi"/>
          <w:i/>
          <w:iCs/>
          <w:color w:val="000000"/>
          <w:sz w:val="20"/>
          <w:lang w:val="en-US"/>
        </w:rPr>
        <w:t xml:space="preserve">, </w:t>
      </w:r>
      <w:proofErr w:type="spellStart"/>
      <w:r w:rsidR="007F3CDA" w:rsidRPr="007F3CDA">
        <w:rPr>
          <w:rFonts w:asciiTheme="minorHAnsi" w:eastAsia="MS PGothic" w:hAnsiTheme="minorHAnsi"/>
          <w:i/>
          <w:iCs/>
          <w:color w:val="000000"/>
          <w:sz w:val="20"/>
          <w:lang w:val="en-US"/>
        </w:rPr>
        <w:t>Lestrem</w:t>
      </w:r>
      <w:proofErr w:type="spellEnd"/>
      <w:r w:rsidR="007F3CDA" w:rsidRPr="007F3CDA">
        <w:rPr>
          <w:rFonts w:asciiTheme="minorHAnsi" w:eastAsia="MS PGothic" w:hAnsiTheme="minorHAnsi"/>
          <w:i/>
          <w:iCs/>
          <w:color w:val="000000"/>
          <w:sz w:val="20"/>
          <w:lang w:val="en-US"/>
        </w:rPr>
        <w:t xml:space="preserve">, </w:t>
      </w:r>
      <w:proofErr w:type="spellStart"/>
      <w:r w:rsidR="007F3CDA" w:rsidRPr="007F3CDA">
        <w:rPr>
          <w:rFonts w:asciiTheme="minorHAnsi" w:eastAsia="MS PGothic" w:hAnsiTheme="minorHAnsi"/>
          <w:i/>
          <w:iCs/>
          <w:color w:val="000000"/>
          <w:sz w:val="20"/>
          <w:lang w:val="en-US"/>
        </w:rPr>
        <w:t>FR</w:t>
      </w:r>
      <w:proofErr w:type="spell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B7DE7" w:rsidRPr="00E92404">
        <w:rPr>
          <w:rFonts w:asciiTheme="minorHAnsi" w:hAnsiTheme="minorHAnsi" w:cstheme="minorHAnsi"/>
          <w:i/>
          <w:sz w:val="20"/>
        </w:rPr>
        <w:t>dimitrios.meimaroglou@univ-lorraine.fr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6B7DE7" w:rsidP="00704BDF">
      <w:pPr>
        <w:pStyle w:val="AbstractBody"/>
        <w:numPr>
          <w:ilvl w:val="0"/>
          <w:numId w:val="16"/>
        </w:numPr>
        <w:rPr>
          <w:rFonts w:asciiTheme="minorHAnsi" w:hAnsiTheme="minorHAnsi"/>
        </w:rPr>
      </w:pPr>
      <w:r>
        <w:rPr>
          <w:rFonts w:asciiTheme="minorHAnsi" w:hAnsiTheme="minorHAnsi"/>
        </w:rPr>
        <w:t>Industrial polycondensation process of sugar syrups of various compositions</w:t>
      </w:r>
      <w:r w:rsidR="00704BDF" w:rsidRPr="00EC66CC">
        <w:rPr>
          <w:rFonts w:asciiTheme="minorHAnsi" w:hAnsiTheme="minorHAnsi"/>
        </w:rPr>
        <w:t>.</w:t>
      </w:r>
    </w:p>
    <w:p w:rsidR="00704BDF" w:rsidRPr="00EC66CC" w:rsidRDefault="006B7DE7" w:rsidP="00704BDF">
      <w:pPr>
        <w:pStyle w:val="AbstractBody"/>
        <w:numPr>
          <w:ilvl w:val="0"/>
          <w:numId w:val="16"/>
        </w:numPr>
        <w:rPr>
          <w:rFonts w:asciiTheme="minorHAnsi" w:hAnsiTheme="minorHAnsi"/>
        </w:rPr>
      </w:pPr>
      <w:r>
        <w:rPr>
          <w:rFonts w:asciiTheme="minorHAnsi" w:hAnsiTheme="minorHAnsi"/>
        </w:rPr>
        <w:t>Kinetic/topological Monte Carlo modeling framework.</w:t>
      </w:r>
    </w:p>
    <w:p w:rsidR="00704BDF" w:rsidRPr="00EC66CC" w:rsidRDefault="006B7DE7" w:rsidP="00704BDF">
      <w:pPr>
        <w:pStyle w:val="AbstractBody"/>
        <w:numPr>
          <w:ilvl w:val="0"/>
          <w:numId w:val="16"/>
        </w:numPr>
        <w:rPr>
          <w:rFonts w:asciiTheme="minorHAnsi" w:hAnsiTheme="minorHAnsi"/>
        </w:rPr>
      </w:pPr>
      <w:r>
        <w:rPr>
          <w:rFonts w:asciiTheme="minorHAnsi" w:hAnsiTheme="minorHAnsi"/>
        </w:rPr>
        <w:t>Dynamic evolution of the exact position and type of each bond of all species</w:t>
      </w:r>
      <w:r w:rsidR="00704BDF" w:rsidRPr="00EC66CC">
        <w:rPr>
          <w:rFonts w:asciiTheme="minorHAnsi" w:hAnsiTheme="minorHAnsi"/>
        </w:rPr>
        <w:t xml:space="preserve">. </w:t>
      </w:r>
    </w:p>
    <w:p w:rsidR="00704BDF" w:rsidRPr="00EC66CC" w:rsidRDefault="006B7DE7" w:rsidP="00704BDF">
      <w:pPr>
        <w:pStyle w:val="AbstractBody"/>
        <w:numPr>
          <w:ilvl w:val="0"/>
          <w:numId w:val="16"/>
        </w:numPr>
        <w:rPr>
          <w:rFonts w:asciiTheme="minorHAnsi" w:hAnsiTheme="minorHAnsi"/>
        </w:rPr>
      </w:pPr>
      <w:r>
        <w:rPr>
          <w:rFonts w:asciiTheme="minorHAnsi" w:hAnsiTheme="minorHAnsi"/>
        </w:rPr>
        <w:t>Generalized framework, not limited to low-degree oligosaccharides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A6AE9" w:rsidRDefault="007060AC"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Polycondensation</w:t>
      </w:r>
      <w:r w:rsidR="0026134C">
        <w:rPr>
          <w:rFonts w:asciiTheme="minorHAnsi" w:eastAsia="MS PGothic" w:hAnsiTheme="minorHAnsi"/>
          <w:color w:val="000000"/>
          <w:sz w:val="22"/>
          <w:szCs w:val="22"/>
          <w:lang w:val="en-US"/>
        </w:rPr>
        <w:t xml:space="preserve"> reactions of oligosaccharides are important in several application fields, such as fuel synthesis or food processing</w:t>
      </w:r>
      <w:r w:rsidR="00325100">
        <w:rPr>
          <w:rFonts w:asciiTheme="minorHAnsi" w:eastAsia="MS PGothic" w:hAnsiTheme="minorHAnsi"/>
          <w:color w:val="000000"/>
          <w:sz w:val="22"/>
          <w:szCs w:val="22"/>
          <w:lang w:val="en-US"/>
        </w:rPr>
        <w:t xml:space="preserve">. </w:t>
      </w:r>
      <w:r w:rsidR="0026134C">
        <w:rPr>
          <w:rFonts w:asciiTheme="minorHAnsi" w:eastAsia="MS PGothic" w:hAnsiTheme="minorHAnsi"/>
          <w:color w:val="000000"/>
          <w:sz w:val="22"/>
          <w:szCs w:val="22"/>
          <w:lang w:val="en-US"/>
        </w:rPr>
        <w:t xml:space="preserve">They are generally carried out in the presence of acid catalysts, in temperatures varying roughly within the range of 100 </w:t>
      </w:r>
      <w:proofErr w:type="spellStart"/>
      <w:r w:rsidR="0026134C" w:rsidRPr="0026134C">
        <w:rPr>
          <w:rFonts w:asciiTheme="minorHAnsi" w:eastAsia="MS PGothic" w:hAnsiTheme="minorHAnsi"/>
          <w:color w:val="000000"/>
          <w:sz w:val="22"/>
          <w:szCs w:val="22"/>
          <w:vertAlign w:val="superscript"/>
          <w:lang w:val="en-US"/>
        </w:rPr>
        <w:t>o</w:t>
      </w:r>
      <w:r w:rsidR="0026134C">
        <w:rPr>
          <w:rFonts w:asciiTheme="minorHAnsi" w:eastAsia="MS PGothic" w:hAnsiTheme="minorHAnsi"/>
          <w:color w:val="000000"/>
          <w:sz w:val="22"/>
          <w:szCs w:val="22"/>
          <w:lang w:val="en-US"/>
        </w:rPr>
        <w:t>C</w:t>
      </w:r>
      <w:proofErr w:type="spellEnd"/>
      <w:r w:rsidR="0026134C">
        <w:rPr>
          <w:rFonts w:asciiTheme="minorHAnsi" w:eastAsia="MS PGothic" w:hAnsiTheme="minorHAnsi"/>
          <w:color w:val="000000"/>
          <w:sz w:val="22"/>
          <w:szCs w:val="22"/>
          <w:lang w:val="en-US"/>
        </w:rPr>
        <w:t xml:space="preserve"> – 200 </w:t>
      </w:r>
      <w:proofErr w:type="spellStart"/>
      <w:r w:rsidR="0026134C" w:rsidRPr="0026134C">
        <w:rPr>
          <w:rFonts w:asciiTheme="minorHAnsi" w:eastAsia="MS PGothic" w:hAnsiTheme="minorHAnsi"/>
          <w:color w:val="000000"/>
          <w:sz w:val="22"/>
          <w:szCs w:val="22"/>
          <w:vertAlign w:val="superscript"/>
          <w:lang w:val="en-US"/>
        </w:rPr>
        <w:t>o</w:t>
      </w:r>
      <w:r w:rsidR="0026134C">
        <w:rPr>
          <w:rFonts w:asciiTheme="minorHAnsi" w:eastAsia="MS PGothic" w:hAnsiTheme="minorHAnsi"/>
          <w:color w:val="000000"/>
          <w:sz w:val="22"/>
          <w:szCs w:val="22"/>
          <w:lang w:val="en-US"/>
        </w:rPr>
        <w:t>C.</w:t>
      </w:r>
      <w:proofErr w:type="spellEnd"/>
      <w:r w:rsidR="0026134C">
        <w:rPr>
          <w:rFonts w:asciiTheme="minorHAnsi" w:eastAsia="MS PGothic" w:hAnsiTheme="minorHAnsi"/>
          <w:color w:val="000000"/>
          <w:sz w:val="22"/>
          <w:szCs w:val="22"/>
          <w:lang w:val="en-US"/>
        </w:rPr>
        <w:t xml:space="preserve"> Nevertheless, despite their industrial importance, only few </w:t>
      </w:r>
      <w:r w:rsidR="00F34F67">
        <w:rPr>
          <w:rFonts w:asciiTheme="minorHAnsi" w:eastAsia="MS PGothic" w:hAnsiTheme="minorHAnsi"/>
          <w:color w:val="000000"/>
          <w:sz w:val="22"/>
          <w:szCs w:val="22"/>
          <w:lang w:val="en-US"/>
        </w:rPr>
        <w:t xml:space="preserve">kinetic modeling </w:t>
      </w:r>
      <w:r w:rsidR="0026134C">
        <w:rPr>
          <w:rFonts w:asciiTheme="minorHAnsi" w:eastAsia="MS PGothic" w:hAnsiTheme="minorHAnsi"/>
          <w:color w:val="000000"/>
          <w:sz w:val="22"/>
          <w:szCs w:val="22"/>
          <w:lang w:val="en-US"/>
        </w:rPr>
        <w:t>studies are found in the literature</w:t>
      </w:r>
      <w:r w:rsidR="00B70077">
        <w:rPr>
          <w:rFonts w:asciiTheme="minorHAnsi" w:eastAsia="MS PGothic" w:hAnsiTheme="minorHAnsi"/>
          <w:color w:val="000000"/>
          <w:sz w:val="22"/>
          <w:szCs w:val="22"/>
          <w:lang w:val="en-US"/>
        </w:rPr>
        <w:t xml:space="preserve"> </w:t>
      </w:r>
      <w:r w:rsidR="00325100">
        <w:rPr>
          <w:rFonts w:asciiTheme="minorHAnsi" w:eastAsia="MS PGothic" w:hAnsiTheme="minorHAnsi"/>
          <w:color w:val="000000"/>
          <w:sz w:val="22"/>
          <w:szCs w:val="22"/>
          <w:lang w:val="en-US"/>
        </w:rPr>
        <w:fldChar w:fldCharType="begin"/>
      </w:r>
      <w:r w:rsidR="0013381C">
        <w:rPr>
          <w:rFonts w:asciiTheme="minorHAnsi" w:eastAsia="MS PGothic" w:hAnsiTheme="minorHAnsi"/>
          <w:color w:val="000000"/>
          <w:sz w:val="22"/>
          <w:szCs w:val="22"/>
          <w:lang w:val="en-US"/>
        </w:rPr>
        <w:instrText xml:space="preserve"> ADDIN ZOTERO_ITEM CSL_CITATION {"citationID":"kkrh1AqX","properties":{"formattedCitation":"[1]","plainCitation":"[1]"},"citationItems":[{"id":1602,"uris":["http://zotero.org/users/1504127/items/U9JGGXBD"],"uri":["http://zotero.org/users/1504127/items/U9JGGXBD"],"itemData":{"id":1602,"type":"article-journal","title":"Glucose Reversion Reaction Kinetics","container-title":"Journal of Agricultural and Food Chemistry","page":"6131-6140","volume":"58","issue":"10","source":"ACS Publications","abstract":"The reversion reactions of glucose in mildly acidic aqueous solutions have been studied, and the kinetics of conversion to disaccharides has been modeled. The experiments demonstrate that, at high sugar loadings, up to 12 wt % of the glucose can be converted into reversion products. The reversion products observed are primarily disaccharides; no larger oligosaccharides were observed. Only disaccharides linked to the C1 carbon of one of the glucose residues were observed. The formation of 1,6-linked disaccharides was favored, and α-linked disaccharides were formed at higher concentrations than β-linked disaccharides. This observation can be rationalized on the basis of steric effects. At temperatures &gt;140 °C, the disaccharides reach equilibrium with glucose and the reversion reaction competes with dehydration reactions to form 5-hydroxymethylfurfural. As a result, disaccharide formation reaches a maximum at reaction times &lt;10 min and decreases with time. At temperatures &lt;130 °C, disaccharide formation reaches a maximum at reaction times &gt;30 min. As expected, disaccharide formation exhibits a second-order dependence upon glucose concentration. Levoglucosan formation is also observed; because it shows a first-order dependence upon glucose concentration, its formation is more significant at low concentrations (10 mg mL−1), whereas disaccharide formation dominates at high concentrations (200 mg mL−1). Experiments conducted using glucose and its disaccharides were calibrated with readily available standards. The kinetic parameters for hydrolysis of some glucodisaccharides could be compared to published literature values. From these experiments, the kinetics and activation energies for the reversion reactions have been calculated. The rate parameters can be used to model the formation of the disaccharides as a function of reaction time and temperature. A new and detailed picture of the molecular mechanism of these industrially important reversion reactions has been developed.","DOI":"10.1021/jf903598w","ISSN":"0021-8561","journalAbbreviation":"J. Agric. Food Chem.","author":[{"family":"Pilath","given":"Heidi M."},{"family":"Nimlos","given":"Mark R."},{"family":"Mittal","given":"Ashutosh"},{"family":"Himmel","given":"Michael E."},{"family":"Johnson","given":"David K."}],"issued":{"date-parts":[["2010",5,26]]}}}],"schema":"https://github.com/citation-style-language/schema/raw/master/csl-citation.json"} </w:instrText>
      </w:r>
      <w:r w:rsidR="00325100">
        <w:rPr>
          <w:rFonts w:asciiTheme="minorHAnsi" w:eastAsia="MS PGothic" w:hAnsiTheme="minorHAnsi"/>
          <w:color w:val="000000"/>
          <w:sz w:val="22"/>
          <w:szCs w:val="22"/>
          <w:lang w:val="en-US"/>
        </w:rPr>
        <w:fldChar w:fldCharType="separate"/>
      </w:r>
      <w:r w:rsidR="0013381C" w:rsidRPr="0013381C">
        <w:rPr>
          <w:rFonts w:ascii="Calibri" w:hAnsi="Calibri"/>
          <w:sz w:val="22"/>
        </w:rPr>
        <w:t>[1]</w:t>
      </w:r>
      <w:r w:rsidR="00325100">
        <w:rPr>
          <w:rFonts w:asciiTheme="minorHAnsi" w:eastAsia="MS PGothic" w:hAnsiTheme="minorHAnsi"/>
          <w:color w:val="000000"/>
          <w:sz w:val="22"/>
          <w:szCs w:val="22"/>
          <w:lang w:val="en-US"/>
        </w:rPr>
        <w:fldChar w:fldCharType="end"/>
      </w:r>
      <w:r w:rsidR="00B70077">
        <w:rPr>
          <w:rFonts w:asciiTheme="minorHAnsi" w:eastAsia="MS PGothic" w:hAnsiTheme="minorHAnsi"/>
          <w:color w:val="000000"/>
          <w:sz w:val="22"/>
          <w:szCs w:val="22"/>
          <w:lang w:val="en-US"/>
        </w:rPr>
        <w:t>.</w:t>
      </w:r>
      <w:r w:rsidR="00442A27">
        <w:rPr>
          <w:rFonts w:asciiTheme="minorHAnsi" w:eastAsia="MS PGothic" w:hAnsiTheme="minorHAnsi"/>
          <w:color w:val="000000"/>
          <w:sz w:val="22"/>
          <w:szCs w:val="22"/>
          <w:lang w:val="en-US"/>
        </w:rPr>
        <w:t xml:space="preserve"> In fact, the primary monomer unit of these reactions is glucose, dominantly found in the form of </w:t>
      </w:r>
      <w:proofErr w:type="spellStart"/>
      <w:r w:rsidR="00442A27">
        <w:rPr>
          <w:rFonts w:asciiTheme="minorHAnsi" w:eastAsia="MS PGothic" w:hAnsiTheme="minorHAnsi"/>
          <w:color w:val="000000"/>
          <w:sz w:val="22"/>
          <w:szCs w:val="22"/>
          <w:lang w:val="en-US"/>
        </w:rPr>
        <w:t>glucopyranose</w:t>
      </w:r>
      <w:proofErr w:type="spellEnd"/>
      <w:r w:rsidR="00442A27">
        <w:rPr>
          <w:rFonts w:asciiTheme="minorHAnsi" w:eastAsia="MS PGothic" w:hAnsiTheme="minorHAnsi"/>
          <w:color w:val="000000"/>
          <w:sz w:val="22"/>
          <w:szCs w:val="22"/>
          <w:lang w:val="en-US"/>
        </w:rPr>
        <w:t xml:space="preserve">, which is a cyclic molecule containing five –OH groups, all susceptible to </w:t>
      </w:r>
      <w:r>
        <w:rPr>
          <w:rFonts w:asciiTheme="minorHAnsi" w:eastAsia="MS PGothic" w:hAnsiTheme="minorHAnsi"/>
          <w:color w:val="000000"/>
          <w:sz w:val="22"/>
          <w:szCs w:val="22"/>
          <w:lang w:val="en-US"/>
        </w:rPr>
        <w:t>react</w:t>
      </w:r>
      <w:r w:rsidR="00442A27">
        <w:rPr>
          <w:rFonts w:asciiTheme="minorHAnsi" w:eastAsia="MS PGothic" w:hAnsiTheme="minorHAnsi"/>
          <w:color w:val="000000"/>
          <w:sz w:val="22"/>
          <w:szCs w:val="22"/>
          <w:lang w:val="en-US"/>
        </w:rPr>
        <w:t xml:space="preserve">. Hence, the –OH group in the position 1 of the molecule (i.e., with respect to the anomeric carbon atom) is prone to receive a proton from the –OH group of another glucose molecule, thus eventually forming a glucosidic bond with the parallel </w:t>
      </w:r>
      <w:r w:rsidR="006D7466">
        <w:rPr>
          <w:rFonts w:asciiTheme="minorHAnsi" w:eastAsia="MS PGothic" w:hAnsiTheme="minorHAnsi"/>
          <w:color w:val="000000"/>
          <w:sz w:val="22"/>
          <w:szCs w:val="22"/>
          <w:lang w:val="en-US"/>
        </w:rPr>
        <w:t xml:space="preserve">release of a water molecule. Such bonds can be formed between the C1 atom of the first glucose and any other C atom of the second glucose, found in positions 1, 2, 3, 4 or 6. In addition, the stereochemistry of the formed bond can be either in </w:t>
      </w:r>
      <w:r w:rsidR="006D7466">
        <w:rPr>
          <w:rFonts w:asciiTheme="minorHAnsi" w:eastAsia="MS PGothic" w:hAnsiTheme="minorHAnsi"/>
          <w:color w:val="000000"/>
          <w:sz w:val="22"/>
          <w:szCs w:val="22"/>
          <w:lang w:val="el-GR"/>
        </w:rPr>
        <w:t>α</w:t>
      </w:r>
      <w:r w:rsidR="006D7466">
        <w:rPr>
          <w:rFonts w:asciiTheme="minorHAnsi" w:eastAsia="MS PGothic" w:hAnsiTheme="minorHAnsi"/>
          <w:color w:val="000000"/>
          <w:sz w:val="22"/>
          <w:szCs w:val="22"/>
          <w:lang w:val="en-US"/>
        </w:rPr>
        <w:t xml:space="preserve">- or </w:t>
      </w:r>
      <w:r w:rsidR="006D7466">
        <w:rPr>
          <w:rFonts w:asciiTheme="minorHAnsi" w:eastAsia="MS PGothic" w:hAnsiTheme="minorHAnsi"/>
          <w:color w:val="000000"/>
          <w:sz w:val="22"/>
          <w:szCs w:val="22"/>
          <w:lang w:val="el-GR"/>
        </w:rPr>
        <w:t>β</w:t>
      </w:r>
      <w:r w:rsidR="006D7466">
        <w:rPr>
          <w:rFonts w:asciiTheme="minorHAnsi" w:eastAsia="MS PGothic" w:hAnsiTheme="minorHAnsi"/>
          <w:color w:val="000000"/>
          <w:sz w:val="22"/>
          <w:szCs w:val="22"/>
          <w:lang w:val="en-US"/>
        </w:rPr>
        <w:t xml:space="preserve">- position, resulting in two kinds of stereoisomer products from each type of bond. This means that </w:t>
      </w:r>
      <w:r w:rsidR="008E624F">
        <w:rPr>
          <w:rFonts w:asciiTheme="minorHAnsi" w:eastAsia="MS PGothic" w:hAnsiTheme="minorHAnsi"/>
          <w:color w:val="000000"/>
          <w:sz w:val="22"/>
          <w:szCs w:val="22"/>
          <w:lang w:val="en-US"/>
        </w:rPr>
        <w:t>nothing but</w:t>
      </w:r>
      <w:r w:rsidR="006D7466">
        <w:rPr>
          <w:rFonts w:asciiTheme="minorHAnsi" w:eastAsia="MS PGothic" w:hAnsiTheme="minorHAnsi"/>
          <w:color w:val="000000"/>
          <w:sz w:val="22"/>
          <w:szCs w:val="22"/>
          <w:lang w:val="en-US"/>
        </w:rPr>
        <w:t xml:space="preserve"> the simple reaction between two single </w:t>
      </w:r>
      <w:proofErr w:type="spellStart"/>
      <w:r w:rsidR="006D7466">
        <w:rPr>
          <w:rFonts w:asciiTheme="minorHAnsi" w:eastAsia="MS PGothic" w:hAnsiTheme="minorHAnsi"/>
          <w:color w:val="000000"/>
          <w:sz w:val="22"/>
          <w:szCs w:val="22"/>
          <w:lang w:val="en-US"/>
        </w:rPr>
        <w:t>glucopyranose</w:t>
      </w:r>
      <w:proofErr w:type="spellEnd"/>
      <w:r w:rsidR="006D7466">
        <w:rPr>
          <w:rFonts w:asciiTheme="minorHAnsi" w:eastAsia="MS PGothic" w:hAnsiTheme="minorHAnsi"/>
          <w:color w:val="000000"/>
          <w:sz w:val="22"/>
          <w:szCs w:val="22"/>
          <w:lang w:val="en-US"/>
        </w:rPr>
        <w:t xml:space="preserve"> units may result in as much as 11 different disaccharides. </w:t>
      </w:r>
      <w:r w:rsidR="008E624F">
        <w:rPr>
          <w:rFonts w:asciiTheme="minorHAnsi" w:eastAsia="MS PGothic" w:hAnsiTheme="minorHAnsi"/>
          <w:color w:val="000000"/>
          <w:sz w:val="22"/>
          <w:szCs w:val="22"/>
          <w:lang w:val="en-US"/>
        </w:rPr>
        <w:t xml:space="preserve">At the same time, a series of internal ring-closure reactions of the glucose units that result in structurally different, inert </w:t>
      </w:r>
      <w:proofErr w:type="spellStart"/>
      <w:r w:rsidR="008E624F">
        <w:rPr>
          <w:rFonts w:asciiTheme="minorHAnsi" w:eastAsia="MS PGothic" w:hAnsiTheme="minorHAnsi"/>
          <w:color w:val="000000"/>
          <w:sz w:val="22"/>
          <w:szCs w:val="22"/>
          <w:lang w:val="en-US"/>
        </w:rPr>
        <w:t>anhydrosugars</w:t>
      </w:r>
      <w:proofErr w:type="spellEnd"/>
      <w:r w:rsidR="008E624F">
        <w:rPr>
          <w:rFonts w:asciiTheme="minorHAnsi" w:eastAsia="MS PGothic" w:hAnsiTheme="minorHAnsi"/>
          <w:color w:val="000000"/>
          <w:sz w:val="22"/>
          <w:szCs w:val="22"/>
          <w:lang w:val="en-US"/>
        </w:rPr>
        <w:t xml:space="preserve">, further complicate the landscape of this reaction system, </w:t>
      </w:r>
      <w:r>
        <w:rPr>
          <w:rFonts w:asciiTheme="minorHAnsi" w:eastAsia="MS PGothic" w:hAnsiTheme="minorHAnsi"/>
          <w:color w:val="000000"/>
          <w:sz w:val="22"/>
          <w:szCs w:val="22"/>
          <w:lang w:val="en-US"/>
        </w:rPr>
        <w:t>before even attempting to extend the study to</w:t>
      </w:r>
      <w:r w:rsidR="008E624F">
        <w:rPr>
          <w:rFonts w:asciiTheme="minorHAnsi" w:eastAsia="MS PGothic" w:hAnsiTheme="minorHAnsi"/>
          <w:color w:val="000000"/>
          <w:sz w:val="22"/>
          <w:szCs w:val="22"/>
          <w:lang w:val="en-US"/>
        </w:rPr>
        <w:t xml:space="preserve"> the </w:t>
      </w:r>
      <w:r w:rsidR="00DE57A2">
        <w:rPr>
          <w:rFonts w:asciiTheme="minorHAnsi" w:eastAsia="MS PGothic" w:hAnsiTheme="minorHAnsi"/>
          <w:color w:val="000000"/>
          <w:sz w:val="22"/>
          <w:szCs w:val="22"/>
          <w:lang w:val="en-US"/>
        </w:rPr>
        <w:t xml:space="preserve">reactions of disaccharides, </w:t>
      </w:r>
      <w:proofErr w:type="spellStart"/>
      <w:r w:rsidR="00DE57A2">
        <w:rPr>
          <w:rFonts w:asciiTheme="minorHAnsi" w:eastAsia="MS PGothic" w:hAnsiTheme="minorHAnsi"/>
          <w:color w:val="000000"/>
          <w:sz w:val="22"/>
          <w:szCs w:val="22"/>
          <w:lang w:val="en-US"/>
        </w:rPr>
        <w:t>trisaccharides</w:t>
      </w:r>
      <w:proofErr w:type="spellEnd"/>
      <w:r w:rsidR="00DE57A2">
        <w:rPr>
          <w:rFonts w:asciiTheme="minorHAnsi" w:eastAsia="MS PGothic" w:hAnsiTheme="minorHAnsi"/>
          <w:color w:val="000000"/>
          <w:sz w:val="22"/>
          <w:szCs w:val="22"/>
          <w:lang w:val="en-US"/>
        </w:rPr>
        <w:t xml:space="preserve">, etc. </w:t>
      </w:r>
      <w:r w:rsidR="008A6AE9">
        <w:rPr>
          <w:rFonts w:asciiTheme="minorHAnsi" w:eastAsia="MS PGothic" w:hAnsiTheme="minorHAnsi"/>
          <w:color w:val="000000"/>
          <w:sz w:val="22"/>
          <w:szCs w:val="22"/>
          <w:lang w:val="en-US"/>
        </w:rPr>
        <w:t xml:space="preserve">In the present work, a novel modeling framework is proposed for the simulation of the polycondensation reactive systems of sugars, capable of taking into account the above-described complexity. </w:t>
      </w:r>
    </w:p>
    <w:p w:rsidR="00DE57A2" w:rsidRPr="008D0BEB" w:rsidRDefault="00DE57A2" w:rsidP="00C867B1">
      <w:pPr>
        <w:snapToGrid w:val="0"/>
        <w:spacing w:after="120"/>
        <w:rPr>
          <w:rFonts w:asciiTheme="minorHAnsi" w:eastAsia="MS PGothic" w:hAnsiTheme="minorHAnsi"/>
          <w:color w:val="000000"/>
          <w:sz w:val="22"/>
          <w:szCs w:val="22"/>
          <w:lang w:val="en-US"/>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86552" w:rsidRDefault="00F86552" w:rsidP="00F8655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complexity of the system relies primarily on the fact that the each type of glucosidic bond that is formed during the reaction (i.e., </w:t>
      </w:r>
      <w:r w:rsidR="007060AC">
        <w:rPr>
          <w:rFonts w:asciiTheme="minorHAnsi" w:eastAsia="MS PGothic" w:hAnsiTheme="minorHAnsi"/>
          <w:color w:val="000000"/>
          <w:sz w:val="22"/>
          <w:szCs w:val="22"/>
          <w:lang w:val="el-GR"/>
        </w:rPr>
        <w:t>α</w:t>
      </w:r>
      <w:r w:rsidR="007060A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1-1</w:t>
      </w:r>
      <w:r w:rsidR="007060AC">
        <w:rPr>
          <w:rFonts w:asciiTheme="minorHAnsi" w:eastAsia="MS PGothic" w:hAnsiTheme="minorHAnsi"/>
          <w:color w:val="000000"/>
          <w:sz w:val="22"/>
          <w:szCs w:val="22"/>
          <w:lang w:val="en-US"/>
        </w:rPr>
        <w:t xml:space="preserve">, </w:t>
      </w:r>
      <w:r w:rsidR="007060AC">
        <w:rPr>
          <w:rFonts w:asciiTheme="minorHAnsi" w:eastAsia="MS PGothic" w:hAnsiTheme="minorHAnsi"/>
          <w:color w:val="000000"/>
          <w:sz w:val="22"/>
          <w:szCs w:val="22"/>
          <w:lang w:val="el-GR"/>
        </w:rPr>
        <w:t>β</w:t>
      </w:r>
      <w:r w:rsidR="007060AC">
        <w:rPr>
          <w:rFonts w:asciiTheme="minorHAnsi" w:eastAsia="MS PGothic" w:hAnsiTheme="minorHAnsi"/>
          <w:color w:val="000000"/>
          <w:sz w:val="22"/>
          <w:szCs w:val="22"/>
          <w:lang w:val="en-US"/>
        </w:rPr>
        <w:t>-1-1</w:t>
      </w:r>
      <w:r>
        <w:rPr>
          <w:rFonts w:asciiTheme="minorHAnsi" w:eastAsia="MS PGothic" w:hAnsiTheme="minorHAnsi"/>
          <w:color w:val="000000"/>
          <w:sz w:val="22"/>
          <w:szCs w:val="22"/>
          <w:lang w:val="en-US"/>
        </w:rPr>
        <w:t xml:space="preserve">, </w:t>
      </w:r>
      <w:r w:rsidR="007060AC">
        <w:rPr>
          <w:rFonts w:asciiTheme="minorHAnsi" w:eastAsia="MS PGothic" w:hAnsiTheme="minorHAnsi"/>
          <w:color w:val="000000"/>
          <w:sz w:val="22"/>
          <w:szCs w:val="22"/>
          <w:lang w:val="el-GR"/>
        </w:rPr>
        <w:t>α</w:t>
      </w:r>
      <w:r w:rsidR="007060A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1-2, </w:t>
      </w:r>
      <w:r w:rsidR="007060AC">
        <w:rPr>
          <w:rFonts w:asciiTheme="minorHAnsi" w:eastAsia="MS PGothic" w:hAnsiTheme="minorHAnsi"/>
          <w:color w:val="000000"/>
          <w:sz w:val="22"/>
          <w:szCs w:val="22"/>
          <w:lang w:val="en-US"/>
        </w:rPr>
        <w:t>etc.</w:t>
      </w:r>
      <w:r>
        <w:rPr>
          <w:rFonts w:asciiTheme="minorHAnsi" w:eastAsia="MS PGothic" w:hAnsiTheme="minorHAnsi"/>
          <w:color w:val="000000"/>
          <w:sz w:val="22"/>
          <w:szCs w:val="22"/>
          <w:lang w:val="en-US"/>
        </w:rPr>
        <w:t xml:space="preserve">), is dictated by a different formation and hydrolysis rate (i.e., mainly due to steric factors). </w:t>
      </w:r>
      <w:r w:rsidR="00A9481E">
        <w:rPr>
          <w:rFonts w:asciiTheme="minorHAnsi" w:eastAsia="MS PGothic" w:hAnsiTheme="minorHAnsi"/>
          <w:color w:val="000000"/>
          <w:sz w:val="22"/>
          <w:szCs w:val="22"/>
          <w:lang w:val="en-US"/>
        </w:rPr>
        <w:t xml:space="preserve">In this respect, </w:t>
      </w:r>
      <w:r w:rsidR="00C6361E">
        <w:rPr>
          <w:rFonts w:asciiTheme="minorHAnsi" w:eastAsia="MS PGothic" w:hAnsiTheme="minorHAnsi"/>
          <w:color w:val="000000"/>
          <w:sz w:val="22"/>
          <w:szCs w:val="22"/>
          <w:lang w:val="en-US"/>
        </w:rPr>
        <w:t xml:space="preserve">in order to be able </w:t>
      </w:r>
      <w:r w:rsidR="00C6361E">
        <w:rPr>
          <w:rFonts w:asciiTheme="minorHAnsi" w:eastAsia="MS PGothic" w:hAnsiTheme="minorHAnsi"/>
          <w:color w:val="000000"/>
          <w:sz w:val="22"/>
          <w:szCs w:val="22"/>
          <w:lang w:val="en-US"/>
        </w:rPr>
        <w:lastRenderedPageBreak/>
        <w:t xml:space="preserve">to accurately follow the dynamic kinetic developments in the reactor, with respect to the operating conditions and the initial syrup composition, it is crucial to follow all the relevant information concerning the different species concentrations as well as their specific structural characteristics. The first of the above is relatively trivial to achieve via the implementation of any modeling framework that defines the problem through a population-balance perspective. On the contrary, the tracking of the structural information requires an approach capable of treating, in addition to the species concentrations, the associated multi-dimensionality (i.e., expressed in terms of the different bonding positions </w:t>
      </w:r>
      <w:r w:rsidR="00B70077">
        <w:rPr>
          <w:rFonts w:asciiTheme="minorHAnsi" w:eastAsia="MS PGothic" w:hAnsiTheme="minorHAnsi"/>
          <w:color w:val="000000"/>
          <w:sz w:val="22"/>
          <w:szCs w:val="22"/>
          <w:lang w:val="en-US"/>
        </w:rPr>
        <w:t xml:space="preserve">and stereochemistry </w:t>
      </w:r>
      <w:r w:rsidR="00C6361E">
        <w:rPr>
          <w:rFonts w:asciiTheme="minorHAnsi" w:eastAsia="MS PGothic" w:hAnsiTheme="minorHAnsi"/>
          <w:color w:val="000000"/>
          <w:sz w:val="22"/>
          <w:szCs w:val="22"/>
          <w:lang w:val="en-US"/>
        </w:rPr>
        <w:t xml:space="preserve">of the glucose units). Such a </w:t>
      </w:r>
      <w:r w:rsidR="00A9481E">
        <w:rPr>
          <w:rFonts w:asciiTheme="minorHAnsi" w:eastAsia="MS PGothic" w:hAnsiTheme="minorHAnsi"/>
          <w:color w:val="000000"/>
          <w:sz w:val="22"/>
          <w:szCs w:val="22"/>
          <w:lang w:val="en-US"/>
        </w:rPr>
        <w:t xml:space="preserve">modeling approach </w:t>
      </w:r>
      <w:r w:rsidR="00C6361E">
        <w:rPr>
          <w:rFonts w:asciiTheme="minorHAnsi" w:eastAsia="MS PGothic" w:hAnsiTheme="minorHAnsi"/>
          <w:color w:val="000000"/>
          <w:sz w:val="22"/>
          <w:szCs w:val="22"/>
          <w:lang w:val="en-US"/>
        </w:rPr>
        <w:t xml:space="preserve">has been previously developed and applied on the industrial polymerization paradigm of low-density polyethylene </w:t>
      </w:r>
      <w:r w:rsidR="00325100">
        <w:rPr>
          <w:rFonts w:asciiTheme="minorHAnsi" w:eastAsia="MS PGothic" w:hAnsiTheme="minorHAnsi"/>
          <w:color w:val="000000"/>
          <w:sz w:val="22"/>
          <w:szCs w:val="22"/>
          <w:lang w:val="en-US"/>
        </w:rPr>
        <w:t>(</w:t>
      </w:r>
      <w:proofErr w:type="spellStart"/>
      <w:r w:rsidR="00325100">
        <w:rPr>
          <w:rFonts w:asciiTheme="minorHAnsi" w:eastAsia="MS PGothic" w:hAnsiTheme="minorHAnsi"/>
          <w:color w:val="000000"/>
          <w:sz w:val="22"/>
          <w:szCs w:val="22"/>
          <w:lang w:val="en-US"/>
        </w:rPr>
        <w:t>LDPE</w:t>
      </w:r>
      <w:proofErr w:type="spellEnd"/>
      <w:r w:rsidR="00325100">
        <w:rPr>
          <w:rFonts w:asciiTheme="minorHAnsi" w:eastAsia="MS PGothic" w:hAnsiTheme="minorHAnsi"/>
          <w:color w:val="000000"/>
          <w:sz w:val="22"/>
          <w:szCs w:val="22"/>
          <w:lang w:val="en-US"/>
        </w:rPr>
        <w:t xml:space="preserve">) </w:t>
      </w:r>
      <w:r w:rsidR="00325100">
        <w:rPr>
          <w:rFonts w:asciiTheme="minorHAnsi" w:eastAsia="MS PGothic" w:hAnsiTheme="minorHAnsi"/>
          <w:color w:val="000000"/>
          <w:sz w:val="22"/>
          <w:szCs w:val="22"/>
          <w:lang w:val="en-US"/>
        </w:rPr>
        <w:fldChar w:fldCharType="begin"/>
      </w:r>
      <w:r w:rsidR="0013381C">
        <w:rPr>
          <w:rFonts w:asciiTheme="minorHAnsi" w:eastAsia="MS PGothic" w:hAnsiTheme="minorHAnsi"/>
          <w:color w:val="000000"/>
          <w:sz w:val="22"/>
          <w:szCs w:val="22"/>
          <w:lang w:val="en-US"/>
        </w:rPr>
        <w:instrText xml:space="preserve"> ADDIN ZOTERO_ITEM CSL_CITATION {"citationID":"sPgATtHX","properties":{"formattedCitation":"[2]","plainCitation":"[2]"},"citationItems":[{"id":1110,"uris":["http://zotero.org/users/1504127/items/83FM3H8F"],"uri":["http://zotero.org/users/1504127/items/83FM3H8F"],"itemData":{"id":1110,"type":"article-journal","title":"A Novel Stochastic Approach for the Prediction of the Exact Topological Characteristics and Rheological Properties of Highly-Branched Polymer Chains","container-title":"Macromolecules","page":"5820-5832","volume":"43","issue":"13","source":"CrossRef","DOI":"10.1021/ma1005233","ISSN":"0024-9297, 1520-5835","author":[{"family":"Meimaroglou","given":"Dimitrios"},{"family":"Kiparissides","given":"Costas"}],"issued":{"date-parts":[["2010",7,13]]},"accessed":{"date-parts":[["2013",9,23]]}}}],"schema":"https://github.com/citation-style-language/schema/raw/master/csl-citation.json"} </w:instrText>
      </w:r>
      <w:r w:rsidR="00325100">
        <w:rPr>
          <w:rFonts w:asciiTheme="minorHAnsi" w:eastAsia="MS PGothic" w:hAnsiTheme="minorHAnsi"/>
          <w:color w:val="000000"/>
          <w:sz w:val="22"/>
          <w:szCs w:val="22"/>
          <w:lang w:val="en-US"/>
        </w:rPr>
        <w:fldChar w:fldCharType="separate"/>
      </w:r>
      <w:r w:rsidR="0013381C" w:rsidRPr="0013381C">
        <w:rPr>
          <w:rFonts w:ascii="Calibri" w:hAnsi="Calibri"/>
          <w:sz w:val="22"/>
        </w:rPr>
        <w:t>[2]</w:t>
      </w:r>
      <w:r w:rsidR="00325100">
        <w:rPr>
          <w:rFonts w:asciiTheme="minorHAnsi" w:eastAsia="MS PGothic" w:hAnsiTheme="minorHAnsi"/>
          <w:color w:val="000000"/>
          <w:sz w:val="22"/>
          <w:szCs w:val="22"/>
          <w:lang w:val="en-US"/>
        </w:rPr>
        <w:fldChar w:fldCharType="end"/>
      </w:r>
      <w:r w:rsidR="004404A7">
        <w:rPr>
          <w:rFonts w:asciiTheme="minorHAnsi" w:eastAsia="MS PGothic" w:hAnsiTheme="minorHAnsi"/>
          <w:color w:val="000000"/>
          <w:sz w:val="22"/>
          <w:szCs w:val="22"/>
          <w:lang w:val="en-US"/>
        </w:rPr>
        <w:t xml:space="preserve">. The developed </w:t>
      </w:r>
      <w:r>
        <w:rPr>
          <w:rFonts w:asciiTheme="minorHAnsi" w:eastAsia="MS PGothic" w:hAnsiTheme="minorHAnsi"/>
          <w:color w:val="000000"/>
          <w:sz w:val="22"/>
          <w:szCs w:val="22"/>
          <w:lang w:val="en-US"/>
        </w:rPr>
        <w:t>kinetic/topology Monte Carlo (MC) algorithm</w:t>
      </w:r>
      <w:r w:rsidR="004404A7">
        <w:rPr>
          <w:rFonts w:asciiTheme="minorHAnsi" w:eastAsia="MS PGothic" w:hAnsiTheme="minorHAnsi"/>
          <w:color w:val="000000"/>
          <w:sz w:val="22"/>
          <w:szCs w:val="22"/>
          <w:lang w:val="en-US"/>
        </w:rPr>
        <w:t xml:space="preserve">, which was implemented in this case to follow the branching architectural developments of </w:t>
      </w:r>
      <w:proofErr w:type="spellStart"/>
      <w:r w:rsidR="004404A7">
        <w:rPr>
          <w:rFonts w:asciiTheme="minorHAnsi" w:eastAsia="MS PGothic" w:hAnsiTheme="minorHAnsi"/>
          <w:color w:val="000000"/>
          <w:sz w:val="22"/>
          <w:szCs w:val="22"/>
          <w:lang w:val="en-US"/>
        </w:rPr>
        <w:t>LDPE</w:t>
      </w:r>
      <w:proofErr w:type="spellEnd"/>
      <w:r w:rsidR="004404A7">
        <w:rPr>
          <w:rFonts w:asciiTheme="minorHAnsi" w:eastAsia="MS PGothic" w:hAnsiTheme="minorHAnsi"/>
          <w:color w:val="000000"/>
          <w:sz w:val="22"/>
          <w:szCs w:val="22"/>
          <w:lang w:val="en-US"/>
        </w:rPr>
        <w:t xml:space="preserve">, is adapted in this work to </w:t>
      </w:r>
      <w:r w:rsidR="00B70077">
        <w:rPr>
          <w:rFonts w:asciiTheme="minorHAnsi" w:eastAsia="MS PGothic" w:hAnsiTheme="minorHAnsi"/>
          <w:color w:val="000000"/>
          <w:sz w:val="22"/>
          <w:szCs w:val="22"/>
          <w:lang w:val="en-US"/>
        </w:rPr>
        <w:t xml:space="preserve">the </w:t>
      </w:r>
      <w:r w:rsidR="004404A7">
        <w:rPr>
          <w:rFonts w:asciiTheme="minorHAnsi" w:eastAsia="MS PGothic" w:hAnsiTheme="minorHAnsi"/>
          <w:color w:val="000000"/>
          <w:sz w:val="22"/>
          <w:szCs w:val="22"/>
          <w:lang w:val="en-US"/>
        </w:rPr>
        <w:t xml:space="preserve">specificities of the sugars polymerization system.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B70077"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modeling predictions were compared against a series of experimental data produced in an industrial pilot-scale reactor, under varying conditions. </w:t>
      </w:r>
      <w:r w:rsidR="004404A7">
        <w:rPr>
          <w:rFonts w:asciiTheme="minorHAnsi" w:eastAsia="MS PGothic" w:hAnsiTheme="minorHAnsi"/>
          <w:color w:val="000000"/>
          <w:sz w:val="22"/>
          <w:szCs w:val="22"/>
          <w:lang w:val="en-US"/>
        </w:rPr>
        <w:t xml:space="preserve">Some preliminary results on the evolution </w:t>
      </w:r>
      <w:r>
        <w:rPr>
          <w:rFonts w:asciiTheme="minorHAnsi" w:eastAsia="MS PGothic" w:hAnsiTheme="minorHAnsi"/>
          <w:color w:val="000000"/>
          <w:sz w:val="22"/>
          <w:szCs w:val="22"/>
          <w:lang w:val="en-US"/>
        </w:rPr>
        <w:t>of the average molecular weight</w:t>
      </w:r>
      <w:r w:rsidR="004404A7">
        <w:rPr>
          <w:rFonts w:asciiTheme="minorHAnsi" w:eastAsia="MS PGothic" w:hAnsiTheme="minorHAnsi"/>
          <w:color w:val="000000"/>
          <w:sz w:val="22"/>
          <w:szCs w:val="22"/>
          <w:lang w:val="en-US"/>
        </w:rPr>
        <w:t xml:space="preserve"> and the molecular weight d</w:t>
      </w:r>
      <w:r>
        <w:rPr>
          <w:rFonts w:asciiTheme="minorHAnsi" w:eastAsia="MS PGothic" w:hAnsiTheme="minorHAnsi"/>
          <w:color w:val="000000"/>
          <w:sz w:val="22"/>
          <w:szCs w:val="22"/>
          <w:lang w:val="en-US"/>
        </w:rPr>
        <w:t>istribution are given in Figure</w:t>
      </w:r>
      <w:r w:rsidR="004404A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1</w:t>
      </w:r>
      <w:r w:rsidR="00704BDF" w:rsidRPr="008D0BEB">
        <w:rPr>
          <w:rFonts w:asciiTheme="minorHAnsi" w:eastAsia="MS PGothic" w:hAnsiTheme="minorHAnsi"/>
          <w:color w:val="000000"/>
          <w:sz w:val="22"/>
          <w:szCs w:val="22"/>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C514BB" w:rsidTr="00E01E1D">
        <w:tc>
          <w:tcPr>
            <w:tcW w:w="4501" w:type="dxa"/>
          </w:tcPr>
          <w:p w:rsidR="00C514BB" w:rsidRDefault="008A1374" w:rsidP="00E01E1D">
            <w:pPr>
              <w:pStyle w:val="FirstParagraph"/>
              <w:widowControl w:val="0"/>
              <w:tabs>
                <w:tab w:val="left" w:pos="426"/>
              </w:tabs>
              <w:autoSpaceDE w:val="0"/>
              <w:autoSpaceDN w:val="0"/>
              <w:adjustRightInd w:val="0"/>
              <w:spacing w:line="240" w:lineRule="auto"/>
              <w:jc w:val="center"/>
              <w:rPr>
                <w:rFonts w:asciiTheme="minorHAnsi" w:eastAsia="SimSun" w:hAnsiTheme="minorHAnsi"/>
                <w:sz w:val="22"/>
                <w:szCs w:val="22"/>
                <w:lang w:eastAsia="zh-CN"/>
              </w:rPr>
            </w:pPr>
            <w:r>
              <w:rPr>
                <w:rFonts w:asciiTheme="minorHAnsi" w:eastAsia="SimSun" w:hAnsiTheme="minorHAnsi"/>
                <w:noProof/>
                <w:sz w:val="22"/>
                <w:szCs w:val="22"/>
              </w:rPr>
              <w:drawing>
                <wp:inline distT="0" distB="0" distL="0" distR="0" wp14:anchorId="51064304">
                  <wp:extent cx="1896753" cy="180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53" cy="1800000"/>
                          </a:xfrm>
                          <a:prstGeom prst="rect">
                            <a:avLst/>
                          </a:prstGeom>
                          <a:noFill/>
                        </pic:spPr>
                      </pic:pic>
                    </a:graphicData>
                  </a:graphic>
                </wp:inline>
              </w:drawing>
            </w:r>
          </w:p>
        </w:tc>
        <w:tc>
          <w:tcPr>
            <w:tcW w:w="4502" w:type="dxa"/>
          </w:tcPr>
          <w:p w:rsidR="00C514BB" w:rsidRDefault="008A1374" w:rsidP="00E01E1D">
            <w:pPr>
              <w:pStyle w:val="FirstParagraph"/>
              <w:widowControl w:val="0"/>
              <w:tabs>
                <w:tab w:val="left" w:pos="426"/>
              </w:tabs>
              <w:autoSpaceDE w:val="0"/>
              <w:autoSpaceDN w:val="0"/>
              <w:adjustRightInd w:val="0"/>
              <w:spacing w:line="240" w:lineRule="auto"/>
              <w:jc w:val="center"/>
              <w:rPr>
                <w:rFonts w:asciiTheme="minorHAnsi" w:eastAsia="SimSun" w:hAnsiTheme="minorHAnsi"/>
                <w:sz w:val="22"/>
                <w:szCs w:val="22"/>
                <w:lang w:eastAsia="zh-CN"/>
              </w:rPr>
            </w:pPr>
            <w:r w:rsidRPr="008D40CC">
              <w:rPr>
                <w:rFonts w:cstheme="minorHAnsi"/>
                <w:b/>
                <w:noProof/>
              </w:rPr>
              <w:drawing>
                <wp:inline distT="0" distB="0" distL="0" distR="0" wp14:anchorId="3ED2F224" wp14:editId="3DA025EC">
                  <wp:extent cx="2356780" cy="180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6780" cy="1800000"/>
                          </a:xfrm>
                          <a:prstGeom prst="rect">
                            <a:avLst/>
                          </a:prstGeom>
                          <a:noFill/>
                          <a:ln>
                            <a:noFill/>
                          </a:ln>
                        </pic:spPr>
                      </pic:pic>
                    </a:graphicData>
                  </a:graphic>
                </wp:inline>
              </w:drawing>
            </w:r>
          </w:p>
        </w:tc>
      </w:tr>
    </w:tbl>
    <w:p w:rsidR="00704BDF" w:rsidRPr="00DE0019"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gramStart"/>
      <w:r w:rsidR="00C514BB">
        <w:rPr>
          <w:rFonts w:asciiTheme="minorHAnsi" w:hAnsiTheme="minorHAnsi"/>
          <w:lang w:val="en-US"/>
        </w:rPr>
        <w:t xml:space="preserve">Evolution of the a) </w:t>
      </w:r>
      <w:r w:rsidR="008A1374">
        <w:rPr>
          <w:rFonts w:asciiTheme="minorHAnsi" w:hAnsiTheme="minorHAnsi"/>
          <w:lang w:val="en-US"/>
        </w:rPr>
        <w:t>number-average molecular weight</w:t>
      </w:r>
      <w:r w:rsidR="00C514BB">
        <w:rPr>
          <w:rFonts w:asciiTheme="minorHAnsi" w:hAnsiTheme="minorHAnsi"/>
          <w:lang w:val="en-US"/>
        </w:rPr>
        <w:t xml:space="preserve"> and a) </w:t>
      </w:r>
      <w:r w:rsidR="00C514BB">
        <w:rPr>
          <w:rFonts w:asciiTheme="minorHAnsi" w:eastAsia="MS PGothic" w:hAnsiTheme="minorHAnsi"/>
          <w:color w:val="000000"/>
          <w:szCs w:val="18"/>
          <w:lang w:val="en-US"/>
        </w:rPr>
        <w:t>molecular weight distributions of the formed oligosaccharides</w:t>
      </w:r>
      <w:r w:rsidRPr="00DE0019">
        <w:rPr>
          <w:rFonts w:asciiTheme="minorHAnsi" w:eastAsia="MS PGothic" w:hAnsiTheme="minorHAnsi"/>
          <w:color w:val="000000"/>
          <w:szCs w:val="18"/>
          <w:lang w:val="en-US"/>
        </w:rPr>
        <w:t>.</w:t>
      </w:r>
      <w:proofErr w:type="gramEnd"/>
      <w:r w:rsidR="00C514BB">
        <w:rPr>
          <w:rFonts w:asciiTheme="minorHAnsi" w:eastAsia="MS PGothic" w:hAnsiTheme="minorHAnsi"/>
          <w:color w:val="000000"/>
          <w:szCs w:val="18"/>
          <w:lang w:val="en-US"/>
        </w:rPr>
        <w:t xml:space="preserve"> </w:t>
      </w:r>
      <w:proofErr w:type="gramStart"/>
      <w:r w:rsidR="00C514BB">
        <w:rPr>
          <w:rFonts w:asciiTheme="minorHAnsi" w:eastAsia="MS PGothic" w:hAnsiTheme="minorHAnsi"/>
          <w:color w:val="000000"/>
          <w:szCs w:val="18"/>
          <w:lang w:val="en-US"/>
        </w:rPr>
        <w:t>Comparison between experimental data and MC simulations</w:t>
      </w:r>
      <w:r w:rsidRPr="00DE0019">
        <w:rPr>
          <w:rFonts w:asciiTheme="minorHAnsi" w:eastAsia="MS PGothic" w:hAnsiTheme="minorHAnsi"/>
          <w:color w:val="000000"/>
          <w:szCs w:val="18"/>
          <w:lang w:val="en-US"/>
        </w:rPr>
        <w:t>.</w:t>
      </w:r>
      <w:proofErr w:type="gramEnd"/>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C514B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the present work, a novel modeling framework is proposed for the kinetic developments of the polycondensation of sugars. This modeling framework relies on the implementation of a powerful kinetic/topological Monte Carlo technique, previously applied for the description of the molecular architecture of industrially-produced highly-branched </w:t>
      </w:r>
      <w:proofErr w:type="spellStart"/>
      <w:r>
        <w:rPr>
          <w:rFonts w:asciiTheme="minorHAnsi" w:eastAsia="MS PGothic" w:hAnsiTheme="minorHAnsi"/>
          <w:color w:val="000000"/>
          <w:sz w:val="22"/>
          <w:szCs w:val="22"/>
          <w:lang w:val="en-US"/>
        </w:rPr>
        <w:t>LDPE</w:t>
      </w:r>
      <w:proofErr w:type="spellEnd"/>
      <w:r>
        <w:rPr>
          <w:rFonts w:asciiTheme="minorHAnsi" w:eastAsia="MS PGothic" w:hAnsiTheme="minorHAnsi"/>
          <w:color w:val="000000"/>
          <w:sz w:val="22"/>
          <w:szCs w:val="22"/>
          <w:lang w:val="en-US"/>
        </w:rPr>
        <w:t xml:space="preserve">. The preliminary results of the study show that, for the first time, an accurate description of the system can be achieved and the compositional and molecular weight evolution can be accurately tracked even for oligosaccharides of relatively high </w:t>
      </w:r>
      <w:r w:rsidR="00787DCD">
        <w:rPr>
          <w:rFonts w:asciiTheme="minorHAnsi" w:eastAsia="MS PGothic" w:hAnsiTheme="minorHAnsi"/>
          <w:color w:val="000000"/>
          <w:sz w:val="22"/>
          <w:szCs w:val="22"/>
          <w:lang w:val="en-US"/>
        </w:rPr>
        <w:t>degree of polymerization.</w:t>
      </w:r>
    </w:p>
    <w:p w:rsidR="00704BDF" w:rsidRDefault="00704BDF" w:rsidP="00704BDF">
      <w:pPr>
        <w:snapToGrid w:val="0"/>
        <w:spacing w:before="240" w:line="300" w:lineRule="auto"/>
        <w:rPr>
          <w:rFonts w:asciiTheme="minorHAnsi" w:eastAsia="MS PGothic" w:hAnsiTheme="minorHAnsi"/>
          <w:b/>
          <w:bCs/>
          <w:color w:val="000000"/>
          <w:sz w:val="20"/>
          <w:lang w:val="en-US"/>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13381C" w:rsidRPr="0013381C" w:rsidRDefault="0013381C" w:rsidP="0013381C">
      <w:pPr>
        <w:pStyle w:val="Bibliographie"/>
        <w:rPr>
          <w:rFonts w:ascii="Calibri" w:hAnsi="Calibri"/>
          <w:sz w:val="20"/>
        </w:rPr>
      </w:pPr>
      <w:r>
        <w:rPr>
          <w:rFonts w:asciiTheme="minorHAnsi" w:eastAsia="SimSun" w:hAnsiTheme="minorHAnsi"/>
          <w:b/>
          <w:bCs/>
          <w:color w:val="000000"/>
          <w:sz w:val="20"/>
          <w:lang w:val="en-US" w:eastAsia="zh-CN"/>
        </w:rPr>
        <w:fldChar w:fldCharType="begin"/>
      </w:r>
      <w:r>
        <w:rPr>
          <w:rFonts w:asciiTheme="minorHAnsi" w:eastAsia="SimSun" w:hAnsiTheme="minorHAnsi"/>
          <w:b/>
          <w:bCs/>
          <w:color w:val="000000"/>
          <w:sz w:val="20"/>
          <w:lang w:val="en-US" w:eastAsia="zh-CN"/>
        </w:rPr>
        <w:instrText xml:space="preserve"> ADDIN ZOTERO_BIBL {"custom":[]} CSL_BIBLIOGRAPHY </w:instrText>
      </w:r>
      <w:r>
        <w:rPr>
          <w:rFonts w:asciiTheme="minorHAnsi" w:eastAsia="SimSun" w:hAnsiTheme="minorHAnsi"/>
          <w:b/>
          <w:bCs/>
          <w:color w:val="000000"/>
          <w:sz w:val="20"/>
          <w:lang w:val="en-US" w:eastAsia="zh-CN"/>
        </w:rPr>
        <w:fldChar w:fldCharType="separate"/>
      </w:r>
      <w:r w:rsidRPr="0013381C">
        <w:rPr>
          <w:rFonts w:ascii="Calibri" w:hAnsi="Calibri"/>
          <w:sz w:val="20"/>
        </w:rPr>
        <w:t>[1]</w:t>
      </w:r>
      <w:r w:rsidRPr="0013381C">
        <w:rPr>
          <w:rFonts w:ascii="Calibri" w:hAnsi="Calibri"/>
          <w:sz w:val="20"/>
        </w:rPr>
        <w:tab/>
        <w:t>H.M. Pilath, M.R. Nimlos, A. Mittal, M.E. Himmel, D.K. Johnson, Glucose Reversion Reaction Kinetics, J. Agric. Food Chem. 58 (2010) 6131–6140. doi:10.1021/jf903598w.</w:t>
      </w:r>
    </w:p>
    <w:p w:rsidR="00DF679C" w:rsidRDefault="0013381C" w:rsidP="0013381C">
      <w:pPr>
        <w:pStyle w:val="Bibliographie"/>
        <w:rPr>
          <w:rFonts w:asciiTheme="minorHAnsi" w:eastAsia="SimSun" w:hAnsiTheme="minorHAnsi"/>
          <w:sz w:val="22"/>
          <w:szCs w:val="22"/>
          <w:lang w:eastAsia="zh-CN"/>
        </w:rPr>
      </w:pPr>
      <w:r w:rsidRPr="0013381C">
        <w:rPr>
          <w:rFonts w:ascii="Calibri" w:hAnsi="Calibri"/>
          <w:sz w:val="20"/>
        </w:rPr>
        <w:t>[2]</w:t>
      </w:r>
      <w:r w:rsidRPr="0013381C">
        <w:rPr>
          <w:rFonts w:ascii="Calibri" w:hAnsi="Calibri"/>
          <w:sz w:val="20"/>
        </w:rPr>
        <w:tab/>
        <w:t>D. Meimaroglou, C. Kiparissides, A Novel Stochastic Approach for the Prediction of the Exact Topological Characteristics and Rheological Properties of Highly-Branched Polymer Chains, Macromolecules. 43 (2010) 5820–5832. doi:10.1021/ma1005233.</w:t>
      </w:r>
      <w:r>
        <w:rPr>
          <w:rFonts w:asciiTheme="minorHAnsi" w:eastAsia="SimSun" w:hAnsiTheme="minorHAnsi"/>
          <w:b/>
          <w:bCs/>
          <w:color w:val="000000"/>
          <w:sz w:val="20"/>
          <w:lang w:val="en-US" w:eastAsia="zh-CN"/>
        </w:rPr>
        <w:fldChar w:fldCharType="end"/>
      </w:r>
    </w:p>
    <w:sectPr w:rsidR="00DF679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BB" w:rsidRDefault="00BF50BB" w:rsidP="004F5E36">
      <w:r>
        <w:separator/>
      </w:r>
    </w:p>
  </w:endnote>
  <w:endnote w:type="continuationSeparator" w:id="0">
    <w:p w:rsidR="00BF50BB" w:rsidRDefault="00BF50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BB" w:rsidRDefault="00BF50BB" w:rsidP="004F5E36">
      <w:r>
        <w:separator/>
      </w:r>
    </w:p>
  </w:footnote>
  <w:footnote w:type="continuationSeparator" w:id="0">
    <w:p w:rsidR="00BF50BB" w:rsidRDefault="00BF50B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381C"/>
    <w:rsid w:val="00134DE4"/>
    <w:rsid w:val="00150E59"/>
    <w:rsid w:val="00184AD6"/>
    <w:rsid w:val="001B65C1"/>
    <w:rsid w:val="001C684B"/>
    <w:rsid w:val="001D53FC"/>
    <w:rsid w:val="001F2EC7"/>
    <w:rsid w:val="002065DB"/>
    <w:rsid w:val="002447EF"/>
    <w:rsid w:val="00251550"/>
    <w:rsid w:val="0026134C"/>
    <w:rsid w:val="0027221A"/>
    <w:rsid w:val="00275B61"/>
    <w:rsid w:val="002C3C59"/>
    <w:rsid w:val="002D1F12"/>
    <w:rsid w:val="003009B7"/>
    <w:rsid w:val="0030469C"/>
    <w:rsid w:val="00325100"/>
    <w:rsid w:val="003723D4"/>
    <w:rsid w:val="003A7D1C"/>
    <w:rsid w:val="003C6675"/>
    <w:rsid w:val="004404A7"/>
    <w:rsid w:val="00442A27"/>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B7DE7"/>
    <w:rsid w:val="006C5579"/>
    <w:rsid w:val="006D7466"/>
    <w:rsid w:val="00704BDF"/>
    <w:rsid w:val="007060AC"/>
    <w:rsid w:val="00736B13"/>
    <w:rsid w:val="007447F3"/>
    <w:rsid w:val="007661C8"/>
    <w:rsid w:val="00787DCD"/>
    <w:rsid w:val="007D52CD"/>
    <w:rsid w:val="007F3CDA"/>
    <w:rsid w:val="00813288"/>
    <w:rsid w:val="008168FC"/>
    <w:rsid w:val="008479A2"/>
    <w:rsid w:val="00860691"/>
    <w:rsid w:val="0087637F"/>
    <w:rsid w:val="00897234"/>
    <w:rsid w:val="008A1374"/>
    <w:rsid w:val="008A1512"/>
    <w:rsid w:val="008A6AE9"/>
    <w:rsid w:val="008D0BEB"/>
    <w:rsid w:val="008E566E"/>
    <w:rsid w:val="008E624F"/>
    <w:rsid w:val="00901EB6"/>
    <w:rsid w:val="009450CE"/>
    <w:rsid w:val="0095164B"/>
    <w:rsid w:val="00996483"/>
    <w:rsid w:val="009E788A"/>
    <w:rsid w:val="00A1763D"/>
    <w:rsid w:val="00A17CEC"/>
    <w:rsid w:val="00A27EF0"/>
    <w:rsid w:val="00A76EFC"/>
    <w:rsid w:val="00A9481E"/>
    <w:rsid w:val="00A9626B"/>
    <w:rsid w:val="00A97F29"/>
    <w:rsid w:val="00AB0964"/>
    <w:rsid w:val="00AE377D"/>
    <w:rsid w:val="00B61DBF"/>
    <w:rsid w:val="00B70077"/>
    <w:rsid w:val="00BC30C9"/>
    <w:rsid w:val="00BE3E58"/>
    <w:rsid w:val="00BF50BB"/>
    <w:rsid w:val="00C01616"/>
    <w:rsid w:val="00C0162B"/>
    <w:rsid w:val="00C345B1"/>
    <w:rsid w:val="00C40142"/>
    <w:rsid w:val="00C514BB"/>
    <w:rsid w:val="00C57182"/>
    <w:rsid w:val="00C6361E"/>
    <w:rsid w:val="00C655FD"/>
    <w:rsid w:val="00C702DB"/>
    <w:rsid w:val="00C867B1"/>
    <w:rsid w:val="00C94434"/>
    <w:rsid w:val="00CA1C95"/>
    <w:rsid w:val="00CA5A9C"/>
    <w:rsid w:val="00CD5FE2"/>
    <w:rsid w:val="00D02B4C"/>
    <w:rsid w:val="00D84576"/>
    <w:rsid w:val="00DE0019"/>
    <w:rsid w:val="00DE264A"/>
    <w:rsid w:val="00DE57A2"/>
    <w:rsid w:val="00DF679C"/>
    <w:rsid w:val="00E041E7"/>
    <w:rsid w:val="00E23CA1"/>
    <w:rsid w:val="00E409A8"/>
    <w:rsid w:val="00E7209D"/>
    <w:rsid w:val="00EA50E1"/>
    <w:rsid w:val="00EE0131"/>
    <w:rsid w:val="00F30C64"/>
    <w:rsid w:val="00F34F67"/>
    <w:rsid w:val="00F8655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9B52-9733-4F2A-B846-A90B2E15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1403</Words>
  <Characters>8002</Characters>
  <Application>Microsoft Office Word</Application>
  <DocSecurity>0</DocSecurity>
  <Lines>66</Lines>
  <Paragraphs>18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Dimitrios Meimaroglou</cp:lastModifiedBy>
  <cp:revision>3</cp:revision>
  <cp:lastPrinted>2015-05-12T18:31:00Z</cp:lastPrinted>
  <dcterms:created xsi:type="dcterms:W3CDTF">2019-02-28T09:30:00Z</dcterms:created>
  <dcterms:modified xsi:type="dcterms:W3CDTF">2019-02-28T09:36:00Z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id="vjiFYXS6"/&gt;&lt;style id="http://www.zotero.org/styles/elsevier-with-titles"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value="0"/&gt;&lt;/prefs&gt;&lt;/data&gt;</vt:lpwstr>
  </property>
</Properties>
</file>