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5558" w14:textId="255D544A" w:rsidR="000A03B2" w:rsidRPr="00046286" w:rsidRDefault="000A03B2" w:rsidP="00704BDF">
      <w:pPr>
        <w:pStyle w:val="CETAuthors"/>
        <w:tabs>
          <w:tab w:val="clear" w:pos="7100"/>
          <w:tab w:val="right" w:pos="9070"/>
        </w:tabs>
        <w:rPr>
          <w:noProof w:val="0"/>
        </w:rPr>
        <w:sectPr w:rsidR="000A03B2" w:rsidRPr="00046286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552CA98" w14:textId="7A53035F" w:rsidR="00704BDF" w:rsidRPr="00046286" w:rsidRDefault="00F6723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r w:rsidRPr="00046286">
        <w:rPr>
          <w:rFonts w:asciiTheme="minorHAnsi" w:eastAsia="MS PGothic" w:hAnsiTheme="minorHAnsi"/>
          <w:b/>
          <w:bCs/>
          <w:sz w:val="28"/>
          <w:szCs w:val="28"/>
        </w:rPr>
        <w:t xml:space="preserve">Numerical </w:t>
      </w:r>
      <w:r w:rsidR="00D75864" w:rsidRPr="00046286">
        <w:rPr>
          <w:rFonts w:asciiTheme="minorHAnsi" w:eastAsia="MS PGothic" w:hAnsiTheme="minorHAnsi"/>
          <w:b/>
          <w:bCs/>
          <w:sz w:val="28"/>
          <w:szCs w:val="28"/>
        </w:rPr>
        <w:t>modelling</w:t>
      </w:r>
      <w:r w:rsidR="009F2A0F" w:rsidRPr="00046286">
        <w:rPr>
          <w:rFonts w:asciiTheme="minorHAnsi" w:eastAsia="MS PGothic" w:hAnsiTheme="minorHAnsi"/>
          <w:b/>
          <w:bCs/>
          <w:sz w:val="28"/>
          <w:szCs w:val="28"/>
        </w:rPr>
        <w:t xml:space="preserve"> of </w:t>
      </w:r>
      <w:proofErr w:type="spellStart"/>
      <w:r w:rsidR="009F2A0F" w:rsidRPr="00046286">
        <w:rPr>
          <w:rFonts w:asciiTheme="minorHAnsi" w:eastAsia="MS PGothic" w:hAnsiTheme="minorHAnsi"/>
          <w:b/>
          <w:bCs/>
          <w:sz w:val="28"/>
          <w:szCs w:val="28"/>
        </w:rPr>
        <w:t>micromixing</w:t>
      </w:r>
      <w:proofErr w:type="spellEnd"/>
      <w:r w:rsidR="009F2A0F" w:rsidRPr="00046286">
        <w:rPr>
          <w:rFonts w:asciiTheme="minorHAnsi" w:eastAsia="MS PGothic" w:hAnsiTheme="minorHAnsi"/>
          <w:b/>
          <w:bCs/>
          <w:sz w:val="28"/>
          <w:szCs w:val="28"/>
        </w:rPr>
        <w:t xml:space="preserve"> in </w:t>
      </w:r>
      <w:r w:rsidR="0023121F">
        <w:rPr>
          <w:rFonts w:asciiTheme="minorHAnsi" w:eastAsia="MS PGothic" w:hAnsiTheme="minorHAnsi"/>
          <w:b/>
          <w:bCs/>
          <w:sz w:val="28"/>
          <w:szCs w:val="28"/>
        </w:rPr>
        <w:t xml:space="preserve">a </w:t>
      </w:r>
      <w:r w:rsidR="009725E4">
        <w:rPr>
          <w:rFonts w:asciiTheme="minorHAnsi" w:eastAsia="MS PGothic" w:hAnsiTheme="minorHAnsi"/>
          <w:b/>
          <w:bCs/>
          <w:sz w:val="28"/>
          <w:szCs w:val="28"/>
        </w:rPr>
        <w:t>T-mixer</w:t>
      </w:r>
      <w:r w:rsidR="00EF44E3">
        <w:rPr>
          <w:rFonts w:asciiTheme="minorHAnsi" w:eastAsia="MS PGothic" w:hAnsiTheme="minorHAnsi"/>
          <w:b/>
          <w:bCs/>
          <w:sz w:val="28"/>
          <w:szCs w:val="28"/>
        </w:rPr>
        <w:t xml:space="preserve"> flow</w:t>
      </w:r>
      <w:r w:rsidR="009725E4">
        <w:rPr>
          <w:rFonts w:asciiTheme="minorHAnsi" w:eastAsia="MS PGothic" w:hAnsiTheme="minorHAnsi"/>
          <w:b/>
          <w:bCs/>
          <w:sz w:val="28"/>
          <w:szCs w:val="28"/>
        </w:rPr>
        <w:t xml:space="preserve"> </w:t>
      </w:r>
      <w:r w:rsidR="00EF44E3">
        <w:rPr>
          <w:rFonts w:asciiTheme="minorHAnsi" w:eastAsia="MS PGothic" w:hAnsiTheme="minorHAnsi"/>
          <w:b/>
          <w:bCs/>
          <w:sz w:val="28"/>
          <w:szCs w:val="28"/>
        </w:rPr>
        <w:t>at low Reynolds numbers</w:t>
      </w:r>
    </w:p>
    <w:p w14:paraId="5432D07B" w14:textId="0EF362D2" w:rsidR="00DE0019" w:rsidRPr="00A6165A" w:rsidRDefault="00DB57FE" w:rsidP="00704BDF">
      <w:pPr>
        <w:snapToGrid w:val="0"/>
        <w:spacing w:after="120"/>
        <w:jc w:val="center"/>
        <w:rPr>
          <w:rFonts w:eastAsia="SimSun"/>
          <w:color w:val="000000"/>
          <w:lang w:eastAsia="zh-CN"/>
        </w:rPr>
      </w:pPr>
      <w:proofErr w:type="spellStart"/>
      <w:r w:rsidRPr="00A6165A"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>Cláudio</w:t>
      </w:r>
      <w:proofErr w:type="spellEnd"/>
      <w:r w:rsidRPr="00A6165A"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 xml:space="preserve"> P. Fonte</w:t>
      </w:r>
      <w:r w:rsidR="00704BDF" w:rsidRPr="00A6165A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1</w:t>
      </w:r>
      <w:r w:rsidR="00736B13" w:rsidRPr="00A6165A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, </w:t>
      </w:r>
      <w:r w:rsidRPr="00A6165A">
        <w:rPr>
          <w:rFonts w:asciiTheme="minorHAnsi" w:eastAsia="SimSun" w:hAnsiTheme="minorHAnsi"/>
          <w:color w:val="000000"/>
          <w:sz w:val="24"/>
          <w:szCs w:val="24"/>
          <w:lang w:eastAsia="zh-CN"/>
        </w:rPr>
        <w:t>Joelle Aubin</w:t>
      </w:r>
      <w:r w:rsidR="00704BDF" w:rsidRPr="00A6165A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2</w:t>
      </w:r>
      <w:r w:rsidRPr="00A6165A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, </w:t>
      </w:r>
      <w:proofErr w:type="spellStart"/>
      <w:r w:rsidR="00FE52CE" w:rsidRPr="00A6165A">
        <w:rPr>
          <w:rFonts w:asciiTheme="minorHAnsi" w:eastAsia="SimSun" w:hAnsiTheme="minorHAnsi"/>
          <w:color w:val="000000"/>
          <w:sz w:val="24"/>
          <w:szCs w:val="24"/>
          <w:lang w:eastAsia="zh-CN"/>
        </w:rPr>
        <w:t>Pier</w:t>
      </w:r>
      <w:r w:rsidR="00E36A34" w:rsidRPr="00A6165A">
        <w:rPr>
          <w:rFonts w:asciiTheme="minorHAnsi" w:eastAsia="SimSun" w:hAnsiTheme="minorHAnsi"/>
          <w:color w:val="000000"/>
          <w:sz w:val="24"/>
          <w:szCs w:val="24"/>
          <w:lang w:eastAsia="zh-CN"/>
        </w:rPr>
        <w:t>r</w:t>
      </w:r>
      <w:r w:rsidR="00FE52CE" w:rsidRPr="00A6165A">
        <w:rPr>
          <w:rFonts w:asciiTheme="minorHAnsi" w:eastAsia="SimSun" w:hAnsiTheme="minorHAnsi"/>
          <w:color w:val="000000"/>
          <w:sz w:val="24"/>
          <w:szCs w:val="24"/>
          <w:lang w:eastAsia="zh-CN"/>
        </w:rPr>
        <w:t>ette</w:t>
      </w:r>
      <w:proofErr w:type="spellEnd"/>
      <w:r w:rsidR="00FE52CE" w:rsidRPr="00A6165A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Guichardon</w:t>
      </w:r>
      <w:r w:rsidR="00FE52CE" w:rsidRPr="00A6165A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3</w:t>
      </w:r>
      <w:r w:rsidR="00FE52CE" w:rsidRPr="00A6165A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, </w:t>
      </w:r>
      <w:r w:rsidRPr="00A6165A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David F. </w:t>
      </w:r>
      <w:r w:rsidR="00FE52CE" w:rsidRPr="00A6165A">
        <w:rPr>
          <w:rFonts w:asciiTheme="minorHAnsi" w:eastAsia="SimSun" w:hAnsiTheme="minorHAnsi"/>
          <w:color w:val="000000"/>
          <w:sz w:val="24"/>
          <w:szCs w:val="24"/>
          <w:lang w:eastAsia="zh-CN"/>
        </w:rPr>
        <w:t>Fletcher</w:t>
      </w:r>
      <w:proofErr w:type="gramStart"/>
      <w:r w:rsidR="00FE52CE" w:rsidRPr="00A6165A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4</w:t>
      </w:r>
      <w:r w:rsidR="00E41123" w:rsidRPr="00A6165A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,*</w:t>
      </w:r>
      <w:proofErr w:type="gramEnd"/>
      <w:r w:rsidR="00FE52CE" w:rsidRPr="00A6165A">
        <w:rPr>
          <w:rFonts w:eastAsia="SimSun"/>
          <w:color w:val="000000"/>
          <w:lang w:eastAsia="zh-CN"/>
        </w:rPr>
        <w:t xml:space="preserve"> </w:t>
      </w:r>
    </w:p>
    <w:p w14:paraId="3C74DF6B" w14:textId="1F62CCBB" w:rsidR="00704BDF" w:rsidRPr="00E41123" w:rsidRDefault="00704BDF">
      <w:pPr>
        <w:snapToGrid w:val="0"/>
        <w:spacing w:after="120"/>
        <w:jc w:val="center"/>
        <w:rPr>
          <w:rFonts w:asciiTheme="minorHAnsi" w:hAnsiTheme="minorHAnsi" w:cstheme="minorHAnsi"/>
          <w:i/>
          <w:sz w:val="20"/>
          <w:lang w:val="en-US"/>
        </w:rPr>
      </w:pPr>
      <w:r w:rsidRPr="00046286">
        <w:rPr>
          <w:rFonts w:eastAsia="MS PGothic"/>
          <w:i/>
          <w:iCs/>
          <w:color w:val="000000"/>
          <w:sz w:val="20"/>
        </w:rPr>
        <w:t>1</w:t>
      </w:r>
      <w:r w:rsidRPr="00046286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="00D75864" w:rsidRPr="00D75864">
        <w:rPr>
          <w:rFonts w:asciiTheme="minorHAnsi" w:eastAsia="MS PGothic" w:hAnsiTheme="minorHAnsi"/>
          <w:i/>
          <w:iCs/>
          <w:color w:val="000000"/>
          <w:sz w:val="20"/>
        </w:rPr>
        <w:t>﻿School of Chemical Engineering and Analytical Science, The University of Manchester, Oxford Road, Manchester, M13 9PL, United Kingdom</w:t>
      </w:r>
      <w:r w:rsidRPr="00046286">
        <w:rPr>
          <w:rFonts w:asciiTheme="minorHAnsi" w:eastAsia="MS PGothic" w:hAnsiTheme="minorHAnsi"/>
          <w:i/>
          <w:iCs/>
          <w:color w:val="000000"/>
          <w:sz w:val="20"/>
        </w:rPr>
        <w:t xml:space="preserve">; 2 </w:t>
      </w:r>
      <w:proofErr w:type="spellStart"/>
      <w:r w:rsidR="00144FA8">
        <w:rPr>
          <w:rFonts w:asciiTheme="minorHAnsi" w:eastAsia="MS PGothic" w:hAnsiTheme="minorHAnsi"/>
          <w:i/>
          <w:iCs/>
          <w:color w:val="000000"/>
          <w:sz w:val="20"/>
        </w:rPr>
        <w:t>Laboratoire</w:t>
      </w:r>
      <w:proofErr w:type="spellEnd"/>
      <w:r w:rsidR="00144FA8">
        <w:rPr>
          <w:rFonts w:asciiTheme="minorHAnsi" w:eastAsia="MS PGothic" w:hAnsiTheme="minorHAnsi"/>
          <w:i/>
          <w:iCs/>
          <w:color w:val="000000"/>
          <w:sz w:val="20"/>
        </w:rPr>
        <w:t xml:space="preserve"> de </w:t>
      </w:r>
      <w:proofErr w:type="spellStart"/>
      <w:r w:rsidR="00144FA8">
        <w:rPr>
          <w:rFonts w:asciiTheme="minorHAnsi" w:eastAsia="MS PGothic" w:hAnsiTheme="minorHAnsi"/>
          <w:i/>
          <w:iCs/>
          <w:color w:val="000000"/>
          <w:sz w:val="20"/>
        </w:rPr>
        <w:t>Génie</w:t>
      </w:r>
      <w:proofErr w:type="spellEnd"/>
      <w:r w:rsidR="00144FA8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proofErr w:type="spellStart"/>
      <w:r w:rsidR="00144FA8">
        <w:rPr>
          <w:rFonts w:asciiTheme="minorHAnsi" w:eastAsia="MS PGothic" w:hAnsiTheme="minorHAnsi"/>
          <w:i/>
          <w:iCs/>
          <w:color w:val="000000"/>
          <w:sz w:val="20"/>
        </w:rPr>
        <w:t>Chimiqu</w:t>
      </w:r>
      <w:r w:rsidR="00FE4E48">
        <w:rPr>
          <w:rFonts w:asciiTheme="minorHAnsi" w:eastAsia="MS PGothic" w:hAnsiTheme="minorHAnsi"/>
          <w:i/>
          <w:iCs/>
          <w:color w:val="000000"/>
          <w:sz w:val="20"/>
        </w:rPr>
        <w:t>e</w:t>
      </w:r>
      <w:proofErr w:type="spellEnd"/>
      <w:r w:rsidR="00FE4E48">
        <w:rPr>
          <w:rFonts w:asciiTheme="minorHAnsi" w:eastAsia="MS PGothic" w:hAnsiTheme="minorHAnsi"/>
          <w:i/>
          <w:iCs/>
          <w:color w:val="000000"/>
          <w:sz w:val="20"/>
        </w:rPr>
        <w:t xml:space="preserve">, </w:t>
      </w:r>
      <w:proofErr w:type="spellStart"/>
      <w:r w:rsidR="00FE4E48">
        <w:rPr>
          <w:rFonts w:asciiTheme="minorHAnsi" w:eastAsia="MS PGothic" w:hAnsiTheme="minorHAnsi"/>
          <w:i/>
          <w:iCs/>
          <w:color w:val="000000"/>
          <w:sz w:val="20"/>
        </w:rPr>
        <w:t>Université</w:t>
      </w:r>
      <w:proofErr w:type="spellEnd"/>
      <w:r w:rsidR="00FE4E48">
        <w:rPr>
          <w:rFonts w:asciiTheme="minorHAnsi" w:eastAsia="MS PGothic" w:hAnsiTheme="minorHAnsi"/>
          <w:i/>
          <w:iCs/>
          <w:color w:val="000000"/>
          <w:sz w:val="20"/>
        </w:rPr>
        <w:t xml:space="preserve"> de Toulouse, CNRS, Toulouse, France</w:t>
      </w:r>
      <w:r w:rsidR="00FD14C6">
        <w:rPr>
          <w:rFonts w:asciiTheme="minorHAnsi" w:eastAsia="MS PGothic" w:hAnsiTheme="minorHAnsi"/>
          <w:i/>
          <w:iCs/>
          <w:color w:val="000000"/>
          <w:sz w:val="20"/>
        </w:rPr>
        <w:t>;</w:t>
      </w:r>
      <w:r w:rsidR="00FE52CE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="00E36A34">
        <w:rPr>
          <w:rFonts w:asciiTheme="minorHAnsi" w:eastAsia="MS PGothic" w:hAnsiTheme="minorHAnsi"/>
          <w:i/>
          <w:iCs/>
          <w:color w:val="000000"/>
          <w:sz w:val="20"/>
        </w:rPr>
        <w:t xml:space="preserve">3 </w:t>
      </w:r>
      <w:r w:rsidR="00E36A34" w:rsidRPr="00E41123">
        <w:rPr>
          <w:rFonts w:asciiTheme="minorHAnsi" w:hAnsiTheme="minorHAnsi" w:cstheme="minorHAnsi"/>
          <w:i/>
          <w:sz w:val="20"/>
          <w:lang w:val="en-US"/>
        </w:rPr>
        <w:t xml:space="preserve">Aix Marseille </w:t>
      </w:r>
      <w:proofErr w:type="spellStart"/>
      <w:r w:rsidR="00E36A34" w:rsidRPr="00E41123">
        <w:rPr>
          <w:rFonts w:asciiTheme="minorHAnsi" w:hAnsiTheme="minorHAnsi" w:cstheme="minorHAnsi"/>
          <w:i/>
          <w:sz w:val="20"/>
          <w:lang w:val="en-US"/>
        </w:rPr>
        <w:t>Université</w:t>
      </w:r>
      <w:proofErr w:type="spellEnd"/>
      <w:r w:rsidR="00E36A34" w:rsidRPr="00E41123">
        <w:rPr>
          <w:rFonts w:asciiTheme="minorHAnsi" w:hAnsiTheme="minorHAnsi" w:cstheme="minorHAnsi"/>
          <w:i/>
          <w:sz w:val="20"/>
          <w:lang w:val="en-US"/>
        </w:rPr>
        <w:t xml:space="preserve">, CNRS, Centrale Marseille, M2P2 UMR 7340, </w:t>
      </w:r>
      <w:proofErr w:type="spellStart"/>
      <w:r w:rsidR="00E36A34" w:rsidRPr="00E41123">
        <w:rPr>
          <w:rFonts w:asciiTheme="minorHAnsi" w:hAnsiTheme="minorHAnsi" w:cstheme="minorHAnsi"/>
          <w:i/>
          <w:sz w:val="20"/>
          <w:lang w:val="en-US"/>
        </w:rPr>
        <w:t>Technopôle</w:t>
      </w:r>
      <w:proofErr w:type="spellEnd"/>
      <w:r w:rsidR="00E36A34" w:rsidRPr="00E41123">
        <w:rPr>
          <w:rFonts w:asciiTheme="minorHAnsi" w:hAnsiTheme="minorHAnsi" w:cstheme="minorHAnsi"/>
          <w:i/>
          <w:sz w:val="20"/>
          <w:lang w:val="en-US"/>
        </w:rPr>
        <w:t xml:space="preserve"> de Château-</w:t>
      </w:r>
      <w:proofErr w:type="spellStart"/>
      <w:r w:rsidR="00E36A34" w:rsidRPr="00E41123">
        <w:rPr>
          <w:rFonts w:asciiTheme="minorHAnsi" w:hAnsiTheme="minorHAnsi" w:cstheme="minorHAnsi"/>
          <w:i/>
          <w:sz w:val="20"/>
          <w:lang w:val="en-US"/>
        </w:rPr>
        <w:t>Gombert</w:t>
      </w:r>
      <w:proofErr w:type="spellEnd"/>
      <w:r w:rsidR="00E36A34" w:rsidRPr="00E41123">
        <w:rPr>
          <w:rFonts w:asciiTheme="minorHAnsi" w:hAnsiTheme="minorHAnsi" w:cstheme="minorHAnsi"/>
          <w:i/>
          <w:sz w:val="20"/>
          <w:lang w:val="en-US"/>
        </w:rPr>
        <w:t>, 38 rue Frédéric Joliot-Curie, 13451 Marseille, France</w:t>
      </w:r>
      <w:r w:rsidR="00E36A34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="00FE52CE">
        <w:rPr>
          <w:rFonts w:asciiTheme="minorHAnsi" w:eastAsia="MS PGothic" w:hAnsiTheme="minorHAnsi"/>
          <w:i/>
          <w:iCs/>
          <w:color w:val="000000"/>
          <w:sz w:val="20"/>
        </w:rPr>
        <w:t>4</w:t>
      </w:r>
      <w:r w:rsidR="00FD14C6">
        <w:rPr>
          <w:rFonts w:asciiTheme="minorHAnsi" w:eastAsia="MS PGothic" w:hAnsiTheme="minorHAnsi"/>
          <w:i/>
          <w:iCs/>
          <w:color w:val="000000"/>
          <w:sz w:val="20"/>
        </w:rPr>
        <w:t xml:space="preserve"> School of Chemical and Biomolecular Engineering, The University of Sydney, Sydney, Australia</w:t>
      </w:r>
    </w:p>
    <w:p w14:paraId="6AABD274" w14:textId="02CA6050" w:rsidR="00704BDF" w:rsidRPr="00046286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046286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046286">
        <w:rPr>
          <w:rFonts w:asciiTheme="minorHAnsi" w:eastAsia="MS PGothic" w:hAnsiTheme="minorHAnsi"/>
          <w:bCs/>
          <w:i/>
          <w:iCs/>
          <w:sz w:val="20"/>
          <w:lang w:eastAsia="ko-KR"/>
        </w:rPr>
        <w:t>:</w:t>
      </w:r>
      <w:r w:rsidRPr="00046286">
        <w:rPr>
          <w:rFonts w:asciiTheme="minorHAnsi" w:eastAsia="MS PGothic" w:hAnsiTheme="minorHAnsi"/>
          <w:bCs/>
          <w:i/>
          <w:iCs/>
          <w:sz w:val="20"/>
        </w:rPr>
        <w:t xml:space="preserve"> </w:t>
      </w:r>
      <w:r w:rsidR="00CA68AC" w:rsidRPr="00CA68AC">
        <w:rPr>
          <w:rFonts w:asciiTheme="minorHAnsi" w:eastAsia="MS PGothic" w:hAnsiTheme="minorHAnsi"/>
          <w:bCs/>
          <w:i/>
          <w:iCs/>
          <w:sz w:val="20"/>
        </w:rPr>
        <w:t>david.fletcher@sydney.edu.au</w:t>
      </w:r>
      <w:bookmarkStart w:id="0" w:name="_GoBack"/>
      <w:bookmarkEnd w:id="0"/>
    </w:p>
    <w:p w14:paraId="5CB58A06" w14:textId="77777777" w:rsidR="00704BDF" w:rsidRPr="00046286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lang w:val="en-GB"/>
        </w:rPr>
      </w:pPr>
      <w:r w:rsidRPr="00046286">
        <w:rPr>
          <w:rFonts w:asciiTheme="minorHAnsi" w:hAnsiTheme="minorHAnsi"/>
          <w:b/>
          <w:lang w:val="en-GB"/>
        </w:rPr>
        <w:t>Highlights</w:t>
      </w:r>
    </w:p>
    <w:p w14:paraId="3B7CF8DF" w14:textId="69B37D09" w:rsidR="00704BDF" w:rsidRDefault="005779E9" w:rsidP="00704BDF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CFD simulations are performed to study </w:t>
      </w:r>
      <w:proofErr w:type="spellStart"/>
      <w:r>
        <w:rPr>
          <w:rFonts w:asciiTheme="minorHAnsi" w:hAnsiTheme="minorHAnsi"/>
          <w:lang w:val="en-GB"/>
        </w:rPr>
        <w:t>micromixing</w:t>
      </w:r>
      <w:proofErr w:type="spellEnd"/>
      <w:r>
        <w:rPr>
          <w:rFonts w:asciiTheme="minorHAnsi" w:hAnsiTheme="minorHAnsi"/>
          <w:lang w:val="en-GB"/>
        </w:rPr>
        <w:t xml:space="preserve"> in a </w:t>
      </w:r>
      <w:r w:rsidR="005318AD">
        <w:rPr>
          <w:rFonts w:asciiTheme="minorHAnsi" w:hAnsiTheme="minorHAnsi"/>
          <w:lang w:val="en-GB"/>
        </w:rPr>
        <w:t xml:space="preserve">laminar </w:t>
      </w:r>
      <w:r w:rsidR="009725E4">
        <w:rPr>
          <w:rFonts w:asciiTheme="minorHAnsi" w:hAnsiTheme="minorHAnsi"/>
          <w:lang w:val="en-GB"/>
        </w:rPr>
        <w:t xml:space="preserve">microfluidic </w:t>
      </w:r>
      <w:r w:rsidR="005318AD">
        <w:rPr>
          <w:rFonts w:asciiTheme="minorHAnsi" w:hAnsiTheme="minorHAnsi"/>
          <w:lang w:val="en-GB"/>
        </w:rPr>
        <w:t>flow</w:t>
      </w:r>
      <w:r>
        <w:rPr>
          <w:rFonts w:asciiTheme="minorHAnsi" w:hAnsiTheme="minorHAnsi"/>
          <w:lang w:val="en-GB"/>
        </w:rPr>
        <w:t>.</w:t>
      </w:r>
    </w:p>
    <w:p w14:paraId="59D56121" w14:textId="6635D0E1" w:rsidR="0054362E" w:rsidRPr="0054362E" w:rsidRDefault="0054362E" w:rsidP="0054362E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Segregation indices are calculated using the </w:t>
      </w:r>
      <w:proofErr w:type="spellStart"/>
      <w:r>
        <w:rPr>
          <w:rFonts w:asciiTheme="minorHAnsi" w:hAnsiTheme="minorHAnsi"/>
          <w:lang w:val="en-GB"/>
        </w:rPr>
        <w:t>Villermaux-Dushman</w:t>
      </w:r>
      <w:proofErr w:type="spellEnd"/>
      <w:r>
        <w:rPr>
          <w:rFonts w:asciiTheme="minorHAnsi" w:hAnsiTheme="minorHAnsi"/>
          <w:lang w:val="en-GB"/>
        </w:rPr>
        <w:t xml:space="preserve"> protocol.</w:t>
      </w:r>
    </w:p>
    <w:p w14:paraId="5A5EDC73" w14:textId="66A99AE4" w:rsidR="00704BDF" w:rsidRDefault="005779E9" w:rsidP="00704BDF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proofErr w:type="spellStart"/>
      <w:r>
        <w:rPr>
          <w:rFonts w:asciiTheme="minorHAnsi" w:hAnsiTheme="minorHAnsi"/>
          <w:lang w:val="en-GB"/>
        </w:rPr>
        <w:t>Micromixing</w:t>
      </w:r>
      <w:proofErr w:type="spellEnd"/>
      <w:r>
        <w:rPr>
          <w:rFonts w:asciiTheme="minorHAnsi" w:hAnsiTheme="minorHAnsi"/>
          <w:lang w:val="en-GB"/>
        </w:rPr>
        <w:t xml:space="preserve"> is modelled directly </w:t>
      </w:r>
      <w:r w:rsidR="00FB74F3">
        <w:rPr>
          <w:rFonts w:asciiTheme="minorHAnsi" w:hAnsiTheme="minorHAnsi"/>
          <w:lang w:val="en-GB"/>
        </w:rPr>
        <w:t>with</w:t>
      </w:r>
      <w:r w:rsidR="00CF4A7C">
        <w:rPr>
          <w:rFonts w:asciiTheme="minorHAnsi" w:hAnsiTheme="minorHAnsi"/>
          <w:lang w:val="en-GB"/>
        </w:rPr>
        <w:t xml:space="preserve"> CFD </w:t>
      </w:r>
      <w:r>
        <w:rPr>
          <w:rFonts w:asciiTheme="minorHAnsi" w:hAnsiTheme="minorHAnsi"/>
          <w:lang w:val="en-GB"/>
        </w:rPr>
        <w:t xml:space="preserve">and </w:t>
      </w:r>
      <w:r w:rsidR="00FB74F3">
        <w:rPr>
          <w:rFonts w:asciiTheme="minorHAnsi" w:hAnsiTheme="minorHAnsi"/>
          <w:lang w:val="en-GB"/>
        </w:rPr>
        <w:t>indirectly with a</w:t>
      </w:r>
      <w:r>
        <w:rPr>
          <w:rFonts w:asciiTheme="minorHAnsi" w:hAnsiTheme="minorHAnsi"/>
          <w:lang w:val="en-GB"/>
        </w:rPr>
        <w:t xml:space="preserve"> lamellar model.</w:t>
      </w:r>
    </w:p>
    <w:p w14:paraId="043C1B8C" w14:textId="2C54EF30" w:rsidR="00704BDF" w:rsidRDefault="00127B92" w:rsidP="00704BDF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two </w:t>
      </w:r>
      <w:r w:rsidR="009156C8">
        <w:rPr>
          <w:rFonts w:asciiTheme="minorHAnsi" w:hAnsiTheme="minorHAnsi"/>
          <w:lang w:val="en-GB"/>
        </w:rPr>
        <w:t>solutions</w:t>
      </w:r>
      <w:r>
        <w:rPr>
          <w:rFonts w:asciiTheme="minorHAnsi" w:hAnsiTheme="minorHAnsi"/>
          <w:lang w:val="en-GB"/>
        </w:rPr>
        <w:t xml:space="preserve"> are compared in terms of computational cost</w:t>
      </w:r>
      <w:r w:rsidR="00CF4A7C">
        <w:rPr>
          <w:rFonts w:asciiTheme="minorHAnsi" w:hAnsiTheme="minorHAnsi"/>
          <w:lang w:val="en-GB"/>
        </w:rPr>
        <w:t xml:space="preserve"> and </w:t>
      </w:r>
      <w:r w:rsidR="00FD14C6">
        <w:rPr>
          <w:rFonts w:asciiTheme="minorHAnsi" w:hAnsiTheme="minorHAnsi"/>
          <w:lang w:val="en-GB"/>
        </w:rPr>
        <w:t xml:space="preserve">analysis </w:t>
      </w:r>
      <w:r w:rsidR="00CF4A7C">
        <w:rPr>
          <w:rFonts w:asciiTheme="minorHAnsi" w:hAnsiTheme="minorHAnsi"/>
          <w:lang w:val="en-GB"/>
        </w:rPr>
        <w:t>time</w:t>
      </w:r>
      <w:r w:rsidR="009156C8">
        <w:rPr>
          <w:rFonts w:asciiTheme="minorHAnsi" w:hAnsiTheme="minorHAnsi"/>
          <w:lang w:val="en-GB"/>
        </w:rPr>
        <w:t>s</w:t>
      </w:r>
      <w:r w:rsidR="00704BDF" w:rsidRPr="00046286">
        <w:rPr>
          <w:rFonts w:asciiTheme="minorHAnsi" w:hAnsiTheme="minorHAnsi"/>
          <w:lang w:val="en-GB"/>
        </w:rPr>
        <w:t>.</w:t>
      </w:r>
    </w:p>
    <w:p w14:paraId="10F96F54" w14:textId="77777777" w:rsidR="00704BDF" w:rsidRPr="00046286" w:rsidRDefault="00704BDF" w:rsidP="00303B6A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eastAsia="zh-CN"/>
        </w:rPr>
      </w:pPr>
    </w:p>
    <w:p w14:paraId="4C309619" w14:textId="77777777" w:rsidR="00704BDF" w:rsidRPr="00046286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 w:rsidRPr="00046286">
        <w:rPr>
          <w:rFonts w:asciiTheme="minorHAnsi" w:eastAsia="MS PGothic" w:hAnsiTheme="minorHAnsi"/>
          <w:b/>
          <w:bCs/>
          <w:color w:val="000000"/>
          <w:sz w:val="22"/>
          <w:szCs w:val="22"/>
        </w:rPr>
        <w:t>1. Introduction</w:t>
      </w:r>
    </w:p>
    <w:p w14:paraId="64C0FD30" w14:textId="0D517392" w:rsidR="001E59E2" w:rsidRDefault="00615E6C" w:rsidP="005779E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proofErr w:type="spellStart"/>
      <w:r w:rsidRPr="00046286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, i.e., </w:t>
      </w:r>
      <w:r w:rsidR="00046286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Pr="00046286">
        <w:rPr>
          <w:rFonts w:asciiTheme="minorHAnsi" w:eastAsia="MS PGothic" w:hAnsiTheme="minorHAnsi"/>
          <w:color w:val="000000"/>
          <w:sz w:val="22"/>
          <w:szCs w:val="22"/>
        </w:rPr>
        <w:t>full homogeni</w:t>
      </w:r>
      <w:r w:rsidR="00046286" w:rsidRPr="00046286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ation </w:t>
      </w:r>
      <w:r w:rsidR="00445257">
        <w:rPr>
          <w:rFonts w:asciiTheme="minorHAnsi" w:eastAsia="MS PGothic" w:hAnsiTheme="minorHAnsi"/>
          <w:color w:val="000000"/>
          <w:sz w:val="22"/>
          <w:szCs w:val="22"/>
        </w:rPr>
        <w:t xml:space="preserve">of </w:t>
      </w:r>
      <w:r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mixtures of two or more components down to the molecular </w:t>
      </w:r>
      <w:r w:rsidR="005779E9">
        <w:rPr>
          <w:rFonts w:asciiTheme="minorHAnsi" w:eastAsia="MS PGothic" w:hAnsiTheme="minorHAnsi"/>
          <w:color w:val="000000"/>
          <w:sz w:val="22"/>
          <w:szCs w:val="22"/>
        </w:rPr>
        <w:t>level</w:t>
      </w:r>
      <w:r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, is </w:t>
      </w:r>
      <w:r w:rsidR="0002370F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1E59E2" w:rsidRPr="00046286">
        <w:rPr>
          <w:rFonts w:asciiTheme="minorHAnsi" w:eastAsia="MS PGothic" w:hAnsiTheme="minorHAnsi"/>
          <w:color w:val="000000"/>
          <w:sz w:val="22"/>
          <w:szCs w:val="22"/>
        </w:rPr>
        <w:t>particularly</w:t>
      </w:r>
      <w:r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important </w:t>
      </w:r>
      <w:r w:rsidR="0002370F">
        <w:rPr>
          <w:rFonts w:asciiTheme="minorHAnsi" w:eastAsia="MS PGothic" w:hAnsiTheme="minorHAnsi"/>
          <w:color w:val="000000"/>
          <w:sz w:val="22"/>
          <w:szCs w:val="22"/>
        </w:rPr>
        <w:t xml:space="preserve">phenomenon </w:t>
      </w:r>
      <w:r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in systems that involve fast </w:t>
      </w:r>
      <w:r w:rsidR="00CA3F5D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and competitive chemical </w:t>
      </w:r>
      <w:r w:rsidRPr="00046286">
        <w:rPr>
          <w:rFonts w:asciiTheme="minorHAnsi" w:eastAsia="MS PGothic" w:hAnsiTheme="minorHAnsi"/>
          <w:color w:val="000000"/>
          <w:sz w:val="22"/>
          <w:szCs w:val="22"/>
        </w:rPr>
        <w:t>reactions</w:t>
      </w:r>
      <w:r w:rsidR="00FD14C6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CA3F5D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>since</w:t>
      </w:r>
      <w:r w:rsidR="00CA3F5D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it </w:t>
      </w:r>
      <w:r w:rsidR="0048328F" w:rsidRPr="00046286">
        <w:rPr>
          <w:rFonts w:asciiTheme="minorHAnsi" w:eastAsia="MS PGothic" w:hAnsiTheme="minorHAnsi"/>
          <w:color w:val="000000"/>
          <w:sz w:val="22"/>
          <w:szCs w:val="22"/>
        </w:rPr>
        <w:t>will</w:t>
      </w:r>
      <w:r w:rsidR="00CA3F5D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direct</w:t>
      </w:r>
      <w:r w:rsidR="00445257">
        <w:rPr>
          <w:rFonts w:asciiTheme="minorHAnsi" w:eastAsia="MS PGothic" w:hAnsiTheme="minorHAnsi"/>
          <w:color w:val="000000"/>
          <w:sz w:val="22"/>
          <w:szCs w:val="22"/>
        </w:rPr>
        <w:t>ly</w:t>
      </w:r>
      <w:r w:rsidR="00CA3F5D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impact on the</w:t>
      </w:r>
      <w:r w:rsidR="0048328F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achieved </w:t>
      </w:r>
      <w:r w:rsidR="00CA3F5D" w:rsidRPr="00046286">
        <w:rPr>
          <w:rFonts w:asciiTheme="minorHAnsi" w:eastAsia="MS PGothic" w:hAnsiTheme="minorHAnsi"/>
          <w:color w:val="000000"/>
          <w:sz w:val="22"/>
          <w:szCs w:val="22"/>
        </w:rPr>
        <w:t>conversion and selectivity</w:t>
      </w:r>
      <w:r w:rsidR="00A2101F">
        <w:rPr>
          <w:rFonts w:asciiTheme="minorHAnsi" w:eastAsia="MS PGothic" w:hAnsiTheme="minorHAnsi"/>
          <w:color w:val="000000"/>
          <w:sz w:val="22"/>
          <w:szCs w:val="22"/>
        </w:rPr>
        <w:t> </w:t>
      </w:r>
      <w:r w:rsidR="00253159" w:rsidRPr="00A2101F">
        <w:rPr>
          <w:rFonts w:asciiTheme="minorHAnsi" w:eastAsia="MS PGothic" w:hAnsiTheme="minorHAnsi"/>
          <w:color w:val="000000"/>
          <w:sz w:val="22"/>
          <w:szCs w:val="22"/>
        </w:rPr>
        <w:t>[1]</w:t>
      </w:r>
      <w:r w:rsidR="00CA3F5D" w:rsidRPr="00A2101F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CA3F5D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>Directly m</w:t>
      </w:r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odelling </w:t>
      </w:r>
      <w:proofErr w:type="spellStart"/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>in laboratory or industrial equipment using</w:t>
      </w:r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Computational Fluid Dynamics 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 xml:space="preserve">(CFD) </w:t>
      </w:r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>can</w:t>
      </w:r>
      <w:r w:rsidR="005779E9">
        <w:rPr>
          <w:rFonts w:asciiTheme="minorHAnsi" w:eastAsia="MS PGothic" w:hAnsiTheme="minorHAnsi"/>
          <w:color w:val="000000"/>
          <w:sz w:val="22"/>
          <w:szCs w:val="22"/>
        </w:rPr>
        <w:t>, however,</w:t>
      </w:r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be 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>computationally expensive</w:t>
      </w:r>
      <w:r w:rsidR="00B07882">
        <w:rPr>
          <w:rFonts w:asciiTheme="minorHAnsi" w:eastAsia="MS PGothic" w:hAnsiTheme="minorHAnsi"/>
          <w:color w:val="000000"/>
          <w:sz w:val="22"/>
          <w:szCs w:val="22"/>
        </w:rPr>
        <w:t>. This is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 xml:space="preserve"> due to the need to resolve all the </w:t>
      </w:r>
      <w:r w:rsidR="007913C5">
        <w:rPr>
          <w:rFonts w:asciiTheme="minorHAnsi" w:eastAsia="MS PGothic" w:hAnsiTheme="minorHAnsi"/>
          <w:color w:val="000000"/>
          <w:sz w:val="22"/>
          <w:szCs w:val="22"/>
        </w:rPr>
        <w:t xml:space="preserve">mixing 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>scales down to th</w:t>
      </w:r>
      <w:r w:rsidR="00FD14C6">
        <w:rPr>
          <w:rFonts w:asciiTheme="minorHAnsi" w:eastAsia="MS PGothic" w:hAnsiTheme="minorHAnsi"/>
          <w:color w:val="000000"/>
          <w:sz w:val="22"/>
          <w:szCs w:val="22"/>
        </w:rPr>
        <w:t xml:space="preserve">ose </w:t>
      </w:r>
      <w:r w:rsidR="001F4848">
        <w:rPr>
          <w:rFonts w:asciiTheme="minorHAnsi" w:eastAsia="MS PGothic" w:hAnsiTheme="minorHAnsi"/>
          <w:color w:val="000000"/>
          <w:sz w:val="22"/>
          <w:szCs w:val="22"/>
        </w:rPr>
        <w:t>at which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 xml:space="preserve"> molecular diffusion become</w:t>
      </w:r>
      <w:r w:rsidR="00FD14C6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 xml:space="preserve"> the dominant mechanism for the dissipation of concentration gradients.</w:t>
      </w:r>
      <w:r w:rsidR="00C5588E" w:rsidRPr="00C5588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In the past 50 </w:t>
      </w:r>
      <w:r w:rsidR="00C5588E" w:rsidRPr="00A2101F">
        <w:rPr>
          <w:rFonts w:asciiTheme="minorHAnsi" w:eastAsia="MS PGothic" w:hAnsiTheme="minorHAnsi"/>
          <w:color w:val="000000"/>
          <w:sz w:val="22"/>
          <w:szCs w:val="22"/>
        </w:rPr>
        <w:t>years [2],</w:t>
      </w:r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many efforts have been made to develop sub-grid models 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>capable of</w:t>
      </w:r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describ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>ing</w:t>
      </w:r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="00C5588E" w:rsidRPr="00046286">
        <w:rPr>
          <w:rFonts w:asciiTheme="minorHAnsi" w:eastAsia="MS PGothic" w:hAnsiTheme="minorHAnsi"/>
          <w:color w:val="000000"/>
          <w:sz w:val="22"/>
          <w:szCs w:val="22"/>
        </w:rPr>
        <w:t xml:space="preserve"> in turbulent flows </w:t>
      </w:r>
      <w:r w:rsidR="00C5588E">
        <w:rPr>
          <w:rFonts w:asciiTheme="minorHAnsi" w:eastAsia="MS PGothic" w:hAnsiTheme="minorHAnsi"/>
          <w:color w:val="000000"/>
          <w:sz w:val="22"/>
          <w:szCs w:val="22"/>
        </w:rPr>
        <w:t xml:space="preserve">with Reynolds-Averaged </w:t>
      </w:r>
      <w:proofErr w:type="spellStart"/>
      <w:r w:rsidR="00C5588E">
        <w:rPr>
          <w:rFonts w:asciiTheme="minorHAnsi" w:eastAsia="MS PGothic" w:hAnsiTheme="minorHAnsi"/>
          <w:color w:val="000000"/>
          <w:sz w:val="22"/>
          <w:szCs w:val="22"/>
        </w:rPr>
        <w:t>Navier</w:t>
      </w:r>
      <w:proofErr w:type="spellEnd"/>
      <w:r w:rsidR="00C5588E">
        <w:rPr>
          <w:rFonts w:asciiTheme="minorHAnsi" w:eastAsia="MS PGothic" w:hAnsiTheme="minorHAnsi"/>
          <w:color w:val="000000"/>
          <w:sz w:val="22"/>
          <w:szCs w:val="22"/>
        </w:rPr>
        <w:t>-Stokes or Large Eddy Simulations.</w:t>
      </w:r>
      <w:r w:rsidR="005779E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645F1">
        <w:rPr>
          <w:rFonts w:asciiTheme="minorHAnsi" w:eastAsia="MS PGothic" w:hAnsiTheme="minorHAnsi"/>
          <w:color w:val="000000"/>
          <w:sz w:val="22"/>
          <w:szCs w:val="22"/>
        </w:rPr>
        <w:t>L</w:t>
      </w:r>
      <w:r w:rsidR="0065796C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253159">
        <w:rPr>
          <w:rFonts w:asciiTheme="minorHAnsi" w:eastAsia="MS PGothic" w:hAnsiTheme="minorHAnsi"/>
          <w:color w:val="000000"/>
          <w:sz w:val="22"/>
          <w:szCs w:val="22"/>
        </w:rPr>
        <w:t>minar flows</w:t>
      </w:r>
      <w:r w:rsidR="0044414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5796C">
        <w:rPr>
          <w:rFonts w:asciiTheme="minorHAnsi" w:eastAsia="MS PGothic" w:hAnsiTheme="minorHAnsi"/>
          <w:color w:val="000000"/>
          <w:sz w:val="22"/>
          <w:szCs w:val="22"/>
        </w:rPr>
        <w:t>have</w:t>
      </w:r>
      <w:r w:rsidR="00F645F1">
        <w:rPr>
          <w:rFonts w:asciiTheme="minorHAnsi" w:eastAsia="MS PGothic" w:hAnsiTheme="minorHAnsi"/>
          <w:color w:val="000000"/>
          <w:sz w:val="22"/>
          <w:szCs w:val="22"/>
        </w:rPr>
        <w:t xml:space="preserve">, however, </w:t>
      </w:r>
      <w:r w:rsidR="00FD14C6">
        <w:rPr>
          <w:rFonts w:asciiTheme="minorHAnsi" w:eastAsia="MS PGothic" w:hAnsiTheme="minorHAnsi"/>
          <w:color w:val="000000"/>
          <w:sz w:val="22"/>
          <w:szCs w:val="22"/>
        </w:rPr>
        <w:t xml:space="preserve">received </w:t>
      </w:r>
      <w:r w:rsidR="00FB74F3">
        <w:rPr>
          <w:rFonts w:asciiTheme="minorHAnsi" w:eastAsia="MS PGothic" w:hAnsiTheme="minorHAnsi"/>
          <w:color w:val="000000"/>
          <w:sz w:val="22"/>
          <w:szCs w:val="22"/>
        </w:rPr>
        <w:t xml:space="preserve">far </w:t>
      </w:r>
      <w:r w:rsidR="0065796C">
        <w:rPr>
          <w:rFonts w:asciiTheme="minorHAnsi" w:eastAsia="MS PGothic" w:hAnsiTheme="minorHAnsi"/>
          <w:color w:val="000000"/>
          <w:sz w:val="22"/>
          <w:szCs w:val="22"/>
        </w:rPr>
        <w:t>less attentio</w:t>
      </w:r>
      <w:r w:rsidR="001E59E2">
        <w:rPr>
          <w:rFonts w:asciiTheme="minorHAnsi" w:eastAsia="MS PGothic" w:hAnsiTheme="minorHAnsi"/>
          <w:color w:val="000000"/>
          <w:sz w:val="22"/>
          <w:szCs w:val="22"/>
        </w:rPr>
        <w:t>n</w:t>
      </w:r>
      <w:r w:rsidR="00F645F1">
        <w:rPr>
          <w:rFonts w:asciiTheme="minorHAnsi" w:eastAsia="MS PGothic" w:hAnsiTheme="minorHAnsi"/>
          <w:color w:val="000000"/>
          <w:sz w:val="22"/>
          <w:szCs w:val="22"/>
        </w:rPr>
        <w:t xml:space="preserve"> from the CFD community</w:t>
      </w:r>
      <w:r w:rsidR="00C120C1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5779E9">
        <w:rPr>
          <w:rFonts w:asciiTheme="minorHAnsi" w:eastAsia="MS PGothic" w:hAnsiTheme="minorHAnsi"/>
          <w:color w:val="000000"/>
          <w:sz w:val="22"/>
          <w:szCs w:val="22"/>
        </w:rPr>
        <w:t xml:space="preserve">In this work, </w:t>
      </w:r>
      <w:r w:rsidR="001E59E2">
        <w:rPr>
          <w:rFonts w:asciiTheme="minorHAnsi" w:eastAsia="MS PGothic" w:hAnsiTheme="minorHAnsi"/>
          <w:color w:val="000000"/>
          <w:sz w:val="22"/>
          <w:szCs w:val="22"/>
        </w:rPr>
        <w:t>we show that</w:t>
      </w:r>
      <w:r w:rsidR="009156C8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1E59E2">
        <w:rPr>
          <w:rFonts w:asciiTheme="minorHAnsi" w:eastAsia="MS PGothic" w:hAnsiTheme="minorHAnsi"/>
          <w:color w:val="000000"/>
          <w:sz w:val="22"/>
          <w:szCs w:val="22"/>
        </w:rPr>
        <w:t xml:space="preserve"> in spite of their apparent simplicity, 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 xml:space="preserve">direct </w:t>
      </w:r>
      <w:r w:rsidR="001E59E2">
        <w:rPr>
          <w:rFonts w:asciiTheme="minorHAnsi" w:eastAsia="MS PGothic" w:hAnsiTheme="minorHAnsi"/>
          <w:color w:val="000000"/>
          <w:sz w:val="22"/>
          <w:szCs w:val="22"/>
        </w:rPr>
        <w:t>simulati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>on of</w:t>
      </w:r>
      <w:r w:rsidR="001E59E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1E59E2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="001E59E2">
        <w:rPr>
          <w:rFonts w:asciiTheme="minorHAnsi" w:eastAsia="MS PGothic" w:hAnsiTheme="minorHAnsi"/>
          <w:color w:val="000000"/>
          <w:sz w:val="22"/>
          <w:szCs w:val="22"/>
        </w:rPr>
        <w:t xml:space="preserve"> in 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1E59E2">
        <w:rPr>
          <w:rFonts w:asciiTheme="minorHAnsi" w:eastAsia="MS PGothic" w:hAnsiTheme="minorHAnsi"/>
          <w:color w:val="000000"/>
          <w:sz w:val="22"/>
          <w:szCs w:val="22"/>
        </w:rPr>
        <w:t xml:space="preserve">laminar 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>regime</w:t>
      </w:r>
      <w:r w:rsidR="001E59E2">
        <w:rPr>
          <w:rFonts w:asciiTheme="minorHAnsi" w:eastAsia="MS PGothic" w:hAnsiTheme="minorHAnsi"/>
          <w:color w:val="000000"/>
          <w:sz w:val="22"/>
          <w:szCs w:val="22"/>
        </w:rPr>
        <w:t xml:space="preserve"> can still </w:t>
      </w:r>
      <w:r w:rsidR="007913C5">
        <w:rPr>
          <w:rFonts w:asciiTheme="minorHAnsi" w:eastAsia="MS PGothic" w:hAnsiTheme="minorHAnsi"/>
          <w:color w:val="000000"/>
          <w:sz w:val="22"/>
          <w:szCs w:val="22"/>
        </w:rPr>
        <w:t>be</w:t>
      </w:r>
      <w:r w:rsidR="005779E9">
        <w:rPr>
          <w:rFonts w:asciiTheme="minorHAnsi" w:eastAsia="MS PGothic" w:hAnsiTheme="minorHAnsi"/>
          <w:color w:val="000000"/>
          <w:sz w:val="22"/>
          <w:szCs w:val="22"/>
        </w:rPr>
        <w:t xml:space="preserve"> a</w:t>
      </w:r>
      <w:r w:rsidR="001E59E2">
        <w:rPr>
          <w:rFonts w:asciiTheme="minorHAnsi" w:eastAsia="MS PGothic" w:hAnsiTheme="minorHAnsi"/>
          <w:color w:val="000000"/>
          <w:sz w:val="22"/>
          <w:szCs w:val="22"/>
        </w:rPr>
        <w:t xml:space="preserve"> challenging task 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>when</w:t>
      </w:r>
      <w:r w:rsidR="001E59E2">
        <w:rPr>
          <w:rFonts w:asciiTheme="minorHAnsi" w:eastAsia="MS PGothic" w:hAnsiTheme="minorHAnsi"/>
          <w:color w:val="000000"/>
          <w:sz w:val="22"/>
          <w:szCs w:val="22"/>
        </w:rPr>
        <w:t xml:space="preserve"> complex chaotic motions 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 xml:space="preserve">are </w:t>
      </w:r>
      <w:r w:rsidR="009725E4">
        <w:rPr>
          <w:rFonts w:asciiTheme="minorHAnsi" w:eastAsia="MS PGothic" w:hAnsiTheme="minorHAnsi"/>
          <w:color w:val="000000"/>
          <w:sz w:val="22"/>
          <w:szCs w:val="22"/>
        </w:rPr>
        <w:t>present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B74F3">
        <w:rPr>
          <w:rFonts w:asciiTheme="minorHAnsi" w:eastAsia="MS PGothic" w:hAnsiTheme="minorHAnsi"/>
          <w:color w:val="000000"/>
          <w:sz w:val="22"/>
          <w:szCs w:val="22"/>
        </w:rPr>
        <w:t>in</w:t>
      </w:r>
      <w:r w:rsidR="001E59E2">
        <w:rPr>
          <w:rFonts w:asciiTheme="minorHAnsi" w:eastAsia="MS PGothic" w:hAnsiTheme="minorHAnsi"/>
          <w:color w:val="000000"/>
          <w:sz w:val="22"/>
          <w:szCs w:val="22"/>
        </w:rPr>
        <w:t xml:space="preserve"> the flow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5779E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7913C5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="007913C5">
        <w:rPr>
          <w:rFonts w:asciiTheme="minorHAnsi" w:eastAsia="MS PGothic" w:hAnsiTheme="minorHAnsi"/>
          <w:color w:val="000000"/>
          <w:sz w:val="22"/>
          <w:szCs w:val="22"/>
        </w:rPr>
        <w:t xml:space="preserve"> is assessed using the well-known </w:t>
      </w:r>
      <w:proofErr w:type="spellStart"/>
      <w:r w:rsidR="007913C5">
        <w:rPr>
          <w:rFonts w:asciiTheme="minorHAnsi" w:eastAsia="MS PGothic" w:hAnsiTheme="minorHAnsi"/>
          <w:color w:val="000000"/>
          <w:sz w:val="22"/>
          <w:szCs w:val="22"/>
        </w:rPr>
        <w:t>Villermaux-Dushman</w:t>
      </w:r>
      <w:proofErr w:type="spellEnd"/>
      <w:r w:rsidR="007913C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645F1">
        <w:rPr>
          <w:rFonts w:asciiTheme="minorHAnsi" w:eastAsia="MS PGothic" w:hAnsiTheme="minorHAnsi"/>
          <w:color w:val="000000"/>
          <w:sz w:val="22"/>
          <w:szCs w:val="22"/>
        </w:rPr>
        <w:t xml:space="preserve">reaction </w:t>
      </w:r>
      <w:r w:rsidR="007913C5">
        <w:rPr>
          <w:rFonts w:asciiTheme="minorHAnsi" w:eastAsia="MS PGothic" w:hAnsiTheme="minorHAnsi"/>
          <w:color w:val="000000"/>
          <w:sz w:val="22"/>
          <w:szCs w:val="22"/>
        </w:rPr>
        <w:t xml:space="preserve">protocol in a milli-sized </w:t>
      </w:r>
      <w:r w:rsidR="005779E9">
        <w:rPr>
          <w:rFonts w:asciiTheme="minorHAnsi" w:eastAsia="MS PGothic" w:hAnsiTheme="minorHAnsi"/>
          <w:color w:val="000000"/>
          <w:sz w:val="22"/>
          <w:szCs w:val="22"/>
        </w:rPr>
        <w:t>T-mixer with square bends</w:t>
      </w:r>
      <w:r w:rsidR="007913C5">
        <w:rPr>
          <w:rFonts w:asciiTheme="minorHAnsi" w:eastAsia="MS PGothic" w:hAnsiTheme="minorHAnsi"/>
          <w:color w:val="000000"/>
          <w:sz w:val="22"/>
          <w:szCs w:val="22"/>
        </w:rPr>
        <w:t xml:space="preserve">. Direct </w:t>
      </w:r>
      <w:r w:rsidR="001F4848">
        <w:rPr>
          <w:rFonts w:asciiTheme="minorHAnsi" w:eastAsia="MS PGothic" w:hAnsiTheme="minorHAnsi"/>
          <w:color w:val="000000"/>
          <w:sz w:val="22"/>
          <w:szCs w:val="22"/>
        </w:rPr>
        <w:t xml:space="preserve">numerical </w:t>
      </w:r>
      <w:r w:rsidR="007913C5">
        <w:rPr>
          <w:rFonts w:asciiTheme="minorHAnsi" w:eastAsia="MS PGothic" w:hAnsiTheme="minorHAnsi"/>
          <w:color w:val="000000"/>
          <w:sz w:val="22"/>
          <w:szCs w:val="22"/>
        </w:rPr>
        <w:t xml:space="preserve">simulations of </w:t>
      </w:r>
      <w:proofErr w:type="spellStart"/>
      <w:r w:rsidR="007913C5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="007913C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F4848">
        <w:rPr>
          <w:rFonts w:asciiTheme="minorHAnsi" w:eastAsia="MS PGothic" w:hAnsiTheme="minorHAnsi"/>
          <w:color w:val="000000"/>
          <w:sz w:val="22"/>
          <w:szCs w:val="22"/>
        </w:rPr>
        <w:t>from the CFD flow field</w:t>
      </w:r>
      <w:r w:rsidR="007913C5">
        <w:rPr>
          <w:rFonts w:asciiTheme="minorHAnsi" w:eastAsia="MS PGothic" w:hAnsiTheme="minorHAnsi"/>
          <w:color w:val="000000"/>
          <w:sz w:val="22"/>
          <w:szCs w:val="22"/>
        </w:rPr>
        <w:t xml:space="preserve"> are compared with the prediction</w:t>
      </w:r>
      <w:r w:rsidR="0054362E">
        <w:rPr>
          <w:rFonts w:asciiTheme="minorHAnsi" w:eastAsia="MS PGothic" w:hAnsiTheme="minorHAnsi"/>
          <w:color w:val="000000"/>
          <w:sz w:val="22"/>
          <w:szCs w:val="22"/>
        </w:rPr>
        <w:t>s using</w:t>
      </w:r>
      <w:r w:rsidR="007913C5">
        <w:rPr>
          <w:rFonts w:asciiTheme="minorHAnsi" w:eastAsia="MS PGothic" w:hAnsiTheme="minorHAnsi"/>
          <w:color w:val="000000"/>
          <w:sz w:val="22"/>
          <w:szCs w:val="22"/>
        </w:rPr>
        <w:t xml:space="preserve"> a </w:t>
      </w:r>
      <w:r w:rsidR="0054362E">
        <w:rPr>
          <w:rFonts w:asciiTheme="minorHAnsi" w:eastAsia="MS PGothic" w:hAnsiTheme="minorHAnsi"/>
          <w:color w:val="000000"/>
          <w:sz w:val="22"/>
          <w:szCs w:val="22"/>
        </w:rPr>
        <w:t>lamellar</w:t>
      </w:r>
      <w:r w:rsidR="007913C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F4848">
        <w:rPr>
          <w:rFonts w:asciiTheme="minorHAnsi" w:eastAsia="MS PGothic" w:hAnsiTheme="minorHAnsi"/>
          <w:color w:val="000000"/>
          <w:sz w:val="22"/>
          <w:szCs w:val="22"/>
        </w:rPr>
        <w:t xml:space="preserve">mixing </w:t>
      </w:r>
      <w:r w:rsidR="007913C5">
        <w:rPr>
          <w:rFonts w:asciiTheme="minorHAnsi" w:eastAsia="MS PGothic" w:hAnsiTheme="minorHAnsi"/>
          <w:color w:val="000000"/>
          <w:sz w:val="22"/>
          <w:szCs w:val="22"/>
        </w:rPr>
        <w:t>model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 and previous experimental results</w:t>
      </w:r>
      <w:r w:rsidR="007913C5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3A940651" w14:textId="473B8658" w:rsidR="0030337E" w:rsidRPr="00444142" w:rsidRDefault="00704BDF" w:rsidP="00444142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046286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 Methods</w:t>
      </w:r>
    </w:p>
    <w:p w14:paraId="6E5F0FF2" w14:textId="7CDEA47C" w:rsidR="009725E4" w:rsidRDefault="002E1B5D" w:rsidP="00303B6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mixer geometry and flow conditions used in this work were chosen to replicate the experimental investigation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Commenge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and Falk</w:t>
      </w:r>
      <w:r w:rsidR="000D1DE6">
        <w:rPr>
          <w:rFonts w:asciiTheme="minorHAnsi" w:eastAsia="MS PGothic" w:hAnsiTheme="minorHAnsi"/>
          <w:color w:val="000000"/>
          <w:sz w:val="22"/>
          <w:szCs w:val="22"/>
        </w:rPr>
        <w:t> </w:t>
      </w:r>
      <w:r w:rsidRPr="00A2101F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0D1DE6" w:rsidRPr="00A2101F">
        <w:rPr>
          <w:rFonts w:asciiTheme="minorHAnsi" w:eastAsia="MS PGothic" w:hAnsiTheme="minorHAnsi"/>
          <w:color w:val="000000"/>
          <w:sz w:val="22"/>
          <w:szCs w:val="22"/>
        </w:rPr>
        <w:t>3</w:t>
      </w:r>
      <w:r w:rsidRPr="00A2101F">
        <w:rPr>
          <w:rFonts w:asciiTheme="minorHAnsi" w:eastAsia="MS PGothic" w:hAnsiTheme="minorHAnsi"/>
          <w:color w:val="000000"/>
          <w:sz w:val="22"/>
          <w:szCs w:val="22"/>
        </w:rPr>
        <w:t>].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 w:rsidR="009156C8">
        <w:rPr>
          <w:rFonts w:asciiTheme="minorHAnsi" w:eastAsia="MS PGothic" w:hAnsiTheme="minorHAnsi"/>
          <w:color w:val="000000"/>
          <w:sz w:val="22"/>
          <w:szCs w:val="22"/>
        </w:rPr>
        <w:t>flow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domain has been discretised with hexahedral meshes with 20 and 40 cells across the duct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B07882">
        <w:rPr>
          <w:rFonts w:asciiTheme="minorHAnsi" w:eastAsia="MS PGothic" w:hAnsiTheme="minorHAnsi"/>
          <w:color w:val="000000"/>
          <w:sz w:val="22"/>
          <w:szCs w:val="22"/>
        </w:rPr>
        <w:t>The c</w:t>
      </w:r>
      <w:r w:rsidR="001F4848">
        <w:rPr>
          <w:rFonts w:asciiTheme="minorHAnsi" w:eastAsia="MS PGothic" w:hAnsiTheme="minorHAnsi"/>
          <w:color w:val="000000"/>
          <w:sz w:val="22"/>
          <w:szCs w:val="22"/>
        </w:rPr>
        <w:t xml:space="preserve">ontinuity and momentum 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 xml:space="preserve">conservation equations </w:t>
      </w:r>
      <w:r w:rsidR="00FD14C6">
        <w:rPr>
          <w:rFonts w:asciiTheme="minorHAnsi" w:eastAsia="MS PGothic" w:hAnsiTheme="minorHAnsi"/>
          <w:color w:val="000000"/>
          <w:sz w:val="22"/>
          <w:szCs w:val="22"/>
        </w:rPr>
        <w:t>were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 xml:space="preserve"> solved with ANSYS Fluent 19</w:t>
      </w:r>
      <w:r w:rsidR="00FD14C6">
        <w:rPr>
          <w:rFonts w:asciiTheme="minorHAnsi" w:eastAsia="MS PGothic" w:hAnsiTheme="minorHAnsi"/>
          <w:color w:val="000000"/>
          <w:sz w:val="22"/>
          <w:szCs w:val="22"/>
        </w:rPr>
        <w:t>.0</w:t>
      </w:r>
      <w:r w:rsidR="000C06B3">
        <w:rPr>
          <w:rFonts w:asciiTheme="minorHAnsi" w:eastAsia="MS PGothic" w:hAnsiTheme="minorHAnsi"/>
          <w:color w:val="000000"/>
          <w:sz w:val="22"/>
          <w:szCs w:val="22"/>
        </w:rPr>
        <w:t xml:space="preserve"> to obtain </w:t>
      </w:r>
      <w:r w:rsidR="00F645F1">
        <w:rPr>
          <w:rFonts w:asciiTheme="minorHAnsi" w:eastAsia="MS PGothic" w:hAnsiTheme="minorHAnsi"/>
          <w:color w:val="000000"/>
          <w:sz w:val="22"/>
          <w:szCs w:val="22"/>
        </w:rPr>
        <w:t xml:space="preserve">3D steady state </w:t>
      </w:r>
      <w:r w:rsidR="000C06B3">
        <w:rPr>
          <w:rFonts w:asciiTheme="minorHAnsi" w:eastAsia="MS PGothic" w:hAnsiTheme="minorHAnsi"/>
          <w:color w:val="000000"/>
          <w:sz w:val="22"/>
          <w:szCs w:val="22"/>
        </w:rPr>
        <w:t>flow field</w:t>
      </w:r>
      <w:r w:rsidR="009156C8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0C06B3">
        <w:rPr>
          <w:rFonts w:asciiTheme="minorHAnsi" w:eastAsia="MS PGothic" w:hAnsiTheme="minorHAnsi"/>
          <w:color w:val="000000"/>
          <w:sz w:val="22"/>
          <w:szCs w:val="22"/>
        </w:rPr>
        <w:t xml:space="preserve"> in the microchannel at</w:t>
      </w:r>
      <w:r w:rsidR="00B07882">
        <w:rPr>
          <w:rFonts w:asciiTheme="minorHAnsi" w:eastAsia="MS PGothic" w:hAnsiTheme="minorHAnsi"/>
          <w:color w:val="000000"/>
          <w:sz w:val="22"/>
          <w:szCs w:val="22"/>
        </w:rPr>
        <w:t xml:space="preserve"> low Reynolds numbers (</w:t>
      </w:r>
      <m:oMath>
        <m:r>
          <w:rPr>
            <w:rFonts w:ascii="Cambria Math" w:eastAsia="MS PGothic" w:hAnsi="Cambria Math"/>
            <w:color w:val="000000"/>
            <w:sz w:val="22"/>
            <w:szCs w:val="22"/>
          </w:rPr>
          <m:t>60≤</m:t>
        </m:r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</w:rPr>
          <m:t>Re≤</m:t>
        </m:r>
        <m:r>
          <w:rPr>
            <w:rFonts w:ascii="Cambria Math" w:eastAsia="MS PGothic" w:hAnsi="Cambria Math"/>
            <w:color w:val="000000"/>
            <w:sz w:val="22"/>
            <w:szCs w:val="22"/>
          </w:rPr>
          <m:t>300</m:t>
        </m:r>
      </m:oMath>
      <w:r w:rsidR="00B07882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0C06B3">
        <w:rPr>
          <w:rFonts w:asciiTheme="minorHAnsi" w:eastAsia="MS PGothic" w:hAnsiTheme="minorHAnsi"/>
          <w:color w:val="000000"/>
          <w:sz w:val="22"/>
          <w:szCs w:val="22"/>
        </w:rPr>
        <w:t xml:space="preserve">. The transport and reaction of the species involved in the </w:t>
      </w:r>
      <w:proofErr w:type="spellStart"/>
      <w:r w:rsidR="000C06B3">
        <w:rPr>
          <w:rFonts w:asciiTheme="minorHAnsi" w:eastAsia="MS PGothic" w:hAnsiTheme="minorHAnsi"/>
          <w:color w:val="000000"/>
          <w:sz w:val="22"/>
          <w:szCs w:val="22"/>
        </w:rPr>
        <w:t>Villermaux-Dushman</w:t>
      </w:r>
      <w:proofErr w:type="spellEnd"/>
      <w:r w:rsidR="000C06B3">
        <w:rPr>
          <w:rFonts w:asciiTheme="minorHAnsi" w:eastAsia="MS PGothic" w:hAnsiTheme="minorHAnsi"/>
          <w:color w:val="000000"/>
          <w:sz w:val="22"/>
          <w:szCs w:val="22"/>
        </w:rPr>
        <w:t xml:space="preserve"> protocol have been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D3343">
        <w:rPr>
          <w:rFonts w:asciiTheme="minorHAnsi" w:eastAsia="MS PGothic" w:hAnsiTheme="minorHAnsi"/>
          <w:color w:val="000000"/>
          <w:sz w:val="22"/>
          <w:szCs w:val="22"/>
        </w:rPr>
        <w:t xml:space="preserve">directly </w:t>
      </w:r>
      <w:r w:rsidR="000C06B3">
        <w:rPr>
          <w:rFonts w:asciiTheme="minorHAnsi" w:eastAsia="MS PGothic" w:hAnsiTheme="minorHAnsi"/>
          <w:color w:val="000000"/>
          <w:sz w:val="22"/>
          <w:szCs w:val="22"/>
        </w:rPr>
        <w:t xml:space="preserve">solved using the built-in </w:t>
      </w:r>
      <w:r w:rsidR="000C06B3"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Stiff Chemistry solver directly integrated with the </w:t>
      </w:r>
      <w:r w:rsidR="001F4848">
        <w:rPr>
          <w:rFonts w:asciiTheme="minorHAnsi" w:eastAsia="MS PGothic" w:hAnsiTheme="minorHAnsi"/>
          <w:color w:val="000000"/>
          <w:sz w:val="22"/>
          <w:szCs w:val="22"/>
        </w:rPr>
        <w:t xml:space="preserve">CFD </w:t>
      </w:r>
      <w:r w:rsidR="000C06B3">
        <w:rPr>
          <w:rFonts w:asciiTheme="minorHAnsi" w:eastAsia="MS PGothic" w:hAnsiTheme="minorHAnsi"/>
          <w:color w:val="000000"/>
          <w:sz w:val="22"/>
          <w:szCs w:val="22"/>
        </w:rPr>
        <w:t>flow field</w:t>
      </w:r>
      <w:r w:rsidR="009725E4">
        <w:rPr>
          <w:rFonts w:asciiTheme="minorHAnsi" w:eastAsia="MS PGothic" w:hAnsiTheme="minorHAnsi"/>
          <w:color w:val="000000"/>
          <w:sz w:val="22"/>
          <w:szCs w:val="22"/>
        </w:rPr>
        <w:t xml:space="preserve">. The segregation index,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X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S</m:t>
            </m:r>
          </m:sub>
        </m:sSub>
      </m:oMath>
      <w:r w:rsidR="009725E4">
        <w:rPr>
          <w:rFonts w:asciiTheme="minorHAnsi" w:eastAsia="MS PGothic" w:hAnsiTheme="minorHAnsi"/>
          <w:color w:val="000000"/>
          <w:sz w:val="22"/>
          <w:szCs w:val="22"/>
        </w:rPr>
        <w:t>, has been calculated from the concertation of all the species as</w:t>
      </w:r>
      <w:r w:rsidR="009156C8">
        <w:rPr>
          <w:rFonts w:asciiTheme="minorHAnsi" w:eastAsia="MS PGothic" w:hAnsiTheme="minorHAnsi"/>
          <w:color w:val="000000"/>
          <w:sz w:val="22"/>
          <w:szCs w:val="22"/>
        </w:rPr>
        <w:t xml:space="preserve"> described by </w:t>
      </w:r>
      <w:proofErr w:type="spellStart"/>
      <w:r w:rsidR="009156C8">
        <w:rPr>
          <w:rFonts w:asciiTheme="minorHAnsi" w:eastAsia="MS PGothic" w:hAnsiTheme="minorHAnsi"/>
          <w:color w:val="000000"/>
          <w:sz w:val="22"/>
          <w:szCs w:val="22"/>
        </w:rPr>
        <w:t>Commenge</w:t>
      </w:r>
      <w:proofErr w:type="spellEnd"/>
      <w:r w:rsidR="009156C8">
        <w:rPr>
          <w:rFonts w:asciiTheme="minorHAnsi" w:eastAsia="MS PGothic" w:hAnsiTheme="minorHAnsi"/>
          <w:color w:val="000000"/>
          <w:sz w:val="22"/>
          <w:szCs w:val="22"/>
        </w:rPr>
        <w:t xml:space="preserve"> and Falk </w:t>
      </w:r>
      <w:r w:rsidR="009725E4">
        <w:rPr>
          <w:rFonts w:asciiTheme="minorHAnsi" w:eastAsia="MS PGothic" w:hAnsiTheme="minorHAnsi"/>
          <w:color w:val="000000"/>
          <w:sz w:val="22"/>
          <w:szCs w:val="22"/>
        </w:rPr>
        <w:t xml:space="preserve">[3] as the metric to assess </w:t>
      </w:r>
      <w:proofErr w:type="spellStart"/>
      <w:r w:rsidR="009725E4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="009725E4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1F50AC13" w14:textId="14867CE6" w:rsidR="00894160" w:rsidRPr="00303B6A" w:rsidRDefault="00E41123" w:rsidP="006560B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4297" wp14:editId="773AFA4C">
                <wp:simplePos x="0" y="0"/>
                <wp:positionH relativeFrom="margin">
                  <wp:align>right</wp:align>
                </wp:positionH>
                <wp:positionV relativeFrom="paragraph">
                  <wp:posOffset>1697355</wp:posOffset>
                </wp:positionV>
                <wp:extent cx="2269490" cy="2753360"/>
                <wp:effectExtent l="0" t="0" r="0" b="88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69490" cy="275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24BFDA" w14:textId="166778DE" w:rsidR="001C2D72" w:rsidRDefault="00E41123" w:rsidP="001C2D72">
                            <w:pPr>
                              <w:snapToGrid w:val="0"/>
                              <w:spacing w:after="120"/>
                              <w:jc w:val="center"/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949E83" wp14:editId="208CFB25">
                                  <wp:extent cx="1696398" cy="1663257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6715" cy="1673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B1D7C1" w14:textId="10A3208F" w:rsidR="001C2D72" w:rsidRDefault="001C2D72" w:rsidP="001C2D72">
                            <w:pPr>
                              <w:snapToGrid w:val="0"/>
                              <w:spacing w:after="120"/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</w:rPr>
                            </w:pPr>
                            <w:r w:rsidRPr="00046286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</w:rPr>
                              <w:t>1</w:t>
                            </w:r>
                            <w:r w:rsidRPr="00046286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eastAsia="ko-KR"/>
                              </w:rPr>
                              <w:t>.</w:t>
                            </w:r>
                            <w:r w:rsidRPr="00046286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04628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</w:rPr>
                              <w:t xml:space="preserve">Comparison between the segregation index obtained experimentally by </w:t>
                            </w:r>
                            <w:proofErr w:type="spellStart"/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</w:rPr>
                              <w:t>Commenge</w:t>
                            </w:r>
                            <w:proofErr w:type="spellEnd"/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</w:rPr>
                              <w:t xml:space="preserve"> and </w:t>
                            </w:r>
                            <w:r w:rsidRPr="00A2101F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</w:rPr>
                              <w:t>Falk [3],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</w:rPr>
                              <w:t xml:space="preserve"> the direct CFD simulation of the species transport and reaction, and the simulations using the lamellar mixing model.</w:t>
                            </w:r>
                          </w:p>
                          <w:p w14:paraId="58EA007A" w14:textId="5D56E4D1" w:rsidR="001C2D72" w:rsidRDefault="001C2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D42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5pt;margin-top:133.65pt;width:178.7pt;height:216.8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" fillcolor="white [3201]" stroked="f" strokeweight=".5pt">
                <v:textbox>
                  <w:txbxContent>
                    <w:p w14:paraId="5D24BFDA" w14:textId="166778DE" w:rsidR="001C2D72" w:rsidRDefault="00E41123" w:rsidP="001C2D72">
                      <w:pPr>
                        <w:snapToGrid w:val="0"/>
                        <w:spacing w:after="120"/>
                        <w:jc w:val="center"/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949E83" wp14:editId="208CFB25">
                            <wp:extent cx="1696398" cy="1663257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6715" cy="1673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B1D7C1" w14:textId="10A3208F" w:rsidR="001C2D72" w:rsidRDefault="001C2D72" w:rsidP="001C2D72">
                      <w:pPr>
                        <w:snapToGrid w:val="0"/>
                        <w:spacing w:after="120"/>
                        <w:rPr>
                          <w:rFonts w:asciiTheme="minorHAnsi" w:eastAsia="MS PGothic" w:hAnsiTheme="minorHAnsi"/>
                          <w:color w:val="000000"/>
                          <w:szCs w:val="18"/>
                        </w:rPr>
                      </w:pPr>
                      <w:r w:rsidRPr="00046286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</w:rPr>
                        <w:t xml:space="preserve">Figure </w:t>
                      </w:r>
                      <w:r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</w:rPr>
                        <w:t>1</w:t>
                      </w:r>
                      <w:r w:rsidRPr="00046286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eastAsia="ko-KR"/>
                        </w:rPr>
                        <w:t>.</w:t>
                      </w:r>
                      <w:r w:rsidRPr="00046286">
                        <w:rPr>
                          <w:rFonts w:asciiTheme="minorHAnsi" w:eastAsia="MS PGothic" w:hAnsiTheme="minorHAnsi"/>
                          <w:color w:val="000000"/>
                          <w:szCs w:val="18"/>
                        </w:rPr>
                        <w:t xml:space="preserve"> </w:t>
                      </w:r>
                      <w:r w:rsidRPr="00046286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</w:rPr>
                        <w:t xml:space="preserve">Comparison between the segregation index obtained experimentally by </w:t>
                      </w:r>
                      <w:proofErr w:type="spellStart"/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</w:rPr>
                        <w:t>Commenge</w:t>
                      </w:r>
                      <w:proofErr w:type="spellEnd"/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</w:rPr>
                        <w:t xml:space="preserve"> and </w:t>
                      </w:r>
                      <w:r w:rsidRPr="00A2101F">
                        <w:rPr>
                          <w:rFonts w:asciiTheme="minorHAnsi" w:eastAsia="MS PGothic" w:hAnsiTheme="minorHAnsi"/>
                          <w:color w:val="000000"/>
                          <w:szCs w:val="18"/>
                        </w:rPr>
                        <w:t>Falk [3],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</w:rPr>
                        <w:t xml:space="preserve"> the direct CFD simulation of the species transport and reaction, and the simulations using the lamellar mixing model.</w:t>
                      </w:r>
                    </w:p>
                    <w:p w14:paraId="58EA007A" w14:textId="5D56E4D1" w:rsidR="001C2D72" w:rsidRDefault="001C2D72"/>
                  </w:txbxContent>
                </v:textbox>
                <w10:wrap type="square" anchorx="margin"/>
              </v:shape>
            </w:pict>
          </mc:Fallback>
        </mc:AlternateContent>
      </w:r>
      <w:r w:rsidR="000C06B3">
        <w:rPr>
          <w:rFonts w:asciiTheme="minorHAnsi" w:eastAsia="MS PGothic" w:hAnsiTheme="minorHAnsi"/>
          <w:color w:val="000000"/>
          <w:sz w:val="22"/>
          <w:szCs w:val="22"/>
        </w:rPr>
        <w:t>The flow field obtained from the CFD</w:t>
      </w:r>
      <w:r w:rsidR="005D15C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C06B3">
        <w:rPr>
          <w:rFonts w:asciiTheme="minorHAnsi" w:eastAsia="MS PGothic" w:hAnsiTheme="minorHAnsi"/>
          <w:color w:val="000000"/>
          <w:sz w:val="22"/>
          <w:szCs w:val="22"/>
        </w:rPr>
        <w:t xml:space="preserve">simulations was </w:t>
      </w:r>
      <w:r w:rsidR="009725E4">
        <w:rPr>
          <w:rFonts w:asciiTheme="minorHAnsi" w:eastAsia="MS PGothic" w:hAnsiTheme="minorHAnsi"/>
          <w:color w:val="000000"/>
          <w:sz w:val="22"/>
          <w:szCs w:val="22"/>
        </w:rPr>
        <w:t>additionally</w:t>
      </w:r>
      <w:r w:rsidR="000C06B3">
        <w:rPr>
          <w:rFonts w:asciiTheme="minorHAnsi" w:eastAsia="MS PGothic" w:hAnsiTheme="minorHAnsi"/>
          <w:color w:val="000000"/>
          <w:sz w:val="22"/>
          <w:szCs w:val="22"/>
        </w:rPr>
        <w:t xml:space="preserve"> used 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>to perform a</w:t>
      </w:r>
      <w:r w:rsidR="000C06B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0C06B3">
        <w:rPr>
          <w:rFonts w:asciiTheme="minorHAnsi" w:eastAsia="MS PGothic" w:hAnsiTheme="minorHAnsi"/>
          <w:color w:val="000000"/>
          <w:sz w:val="22"/>
          <w:szCs w:val="22"/>
        </w:rPr>
        <w:t>Lagrangian</w:t>
      </w:r>
      <w:proofErr w:type="spellEnd"/>
      <w:r w:rsidR="000C06B3">
        <w:rPr>
          <w:rFonts w:asciiTheme="minorHAnsi" w:eastAsia="MS PGothic" w:hAnsiTheme="minorHAnsi"/>
          <w:color w:val="000000"/>
          <w:sz w:val="22"/>
          <w:szCs w:val="22"/>
        </w:rPr>
        <w:t xml:space="preserve"> t</w:t>
      </w:r>
      <w:r w:rsidR="00F67238" w:rsidRPr="00046286">
        <w:rPr>
          <w:rFonts w:asciiTheme="minorHAnsi" w:eastAsia="MS PGothic" w:hAnsiTheme="minorHAnsi"/>
          <w:iCs/>
          <w:color w:val="000000"/>
          <w:sz w:val="22"/>
          <w:szCs w:val="22"/>
        </w:rPr>
        <w:t>racking of the position and deformation of infinitesimal fluid elements injected at the inlets</w:t>
      </w:r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>. T</w:t>
      </w:r>
      <w:r w:rsidR="009725E4">
        <w:rPr>
          <w:rFonts w:asciiTheme="minorHAnsi" w:eastAsia="MS PGothic" w:hAnsiTheme="minorHAnsi"/>
          <w:iCs/>
          <w:color w:val="000000"/>
          <w:sz w:val="22"/>
          <w:szCs w:val="22"/>
        </w:rPr>
        <w:t>hese</w:t>
      </w:r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="009725E4">
        <w:rPr>
          <w:rFonts w:asciiTheme="minorHAnsi" w:eastAsia="MS PGothic" w:hAnsiTheme="minorHAnsi"/>
          <w:iCs/>
          <w:color w:val="000000"/>
          <w:sz w:val="22"/>
          <w:szCs w:val="22"/>
        </w:rPr>
        <w:t>results</w:t>
      </w:r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="009725E4">
        <w:rPr>
          <w:rFonts w:asciiTheme="minorHAnsi" w:eastAsia="MS PGothic" w:hAnsiTheme="minorHAnsi"/>
          <w:iCs/>
          <w:color w:val="000000"/>
          <w:sz w:val="22"/>
          <w:szCs w:val="22"/>
        </w:rPr>
        <w:t>were</w:t>
      </w:r>
      <w:r w:rsidR="00F645F1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="009725E4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further </w:t>
      </w:r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processed to obtain an average rate of decay of the striation thickness of laminas of fluid necessary to </w:t>
      </w:r>
      <w:r w:rsidR="00C05EF7">
        <w:rPr>
          <w:rFonts w:asciiTheme="minorHAnsi" w:eastAsia="MS PGothic" w:hAnsiTheme="minorHAnsi"/>
          <w:iCs/>
          <w:color w:val="000000"/>
          <w:sz w:val="22"/>
          <w:szCs w:val="22"/>
        </w:rPr>
        <w:t>model</w:t>
      </w:r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proofErr w:type="spellStart"/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>micromixing</w:t>
      </w:r>
      <w:proofErr w:type="spellEnd"/>
      <w:r w:rsidR="00C05EF7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in the microchannel</w:t>
      </w:r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using a lamellar</w:t>
      </w:r>
      <w:r w:rsidR="00AB7A50">
        <w:rPr>
          <w:rFonts w:asciiTheme="minorHAnsi" w:eastAsia="MS PGothic" w:hAnsiTheme="minorHAnsi"/>
          <w:iCs/>
          <w:color w:val="000000"/>
          <w:sz w:val="22"/>
          <w:szCs w:val="22"/>
        </w:rPr>
        <w:t>-structure</w:t>
      </w:r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mixing model as described by </w:t>
      </w:r>
      <w:proofErr w:type="spellStart"/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>Ottino</w:t>
      </w:r>
      <w:proofErr w:type="spellEnd"/>
      <w:r w:rsidR="000D1DE6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="000D1DE6" w:rsidRPr="000D1DE6">
        <w:rPr>
          <w:rFonts w:asciiTheme="minorHAnsi" w:eastAsia="MS PGothic" w:hAnsiTheme="minorHAnsi"/>
          <w:i/>
          <w:color w:val="000000"/>
          <w:sz w:val="22"/>
          <w:szCs w:val="22"/>
        </w:rPr>
        <w:t>et al.</w:t>
      </w:r>
      <w:r w:rsidR="000D1DE6">
        <w:rPr>
          <w:rFonts w:asciiTheme="minorHAnsi" w:eastAsia="MS PGothic" w:hAnsiTheme="minorHAnsi"/>
          <w:iCs/>
          <w:color w:val="000000"/>
          <w:sz w:val="22"/>
          <w:szCs w:val="22"/>
        </w:rPr>
        <w:t> </w:t>
      </w:r>
      <w:r w:rsidR="009360FB" w:rsidRPr="00A2101F">
        <w:rPr>
          <w:rFonts w:asciiTheme="minorHAnsi" w:eastAsia="MS PGothic" w:hAnsiTheme="minorHAnsi"/>
          <w:iCs/>
          <w:color w:val="000000"/>
          <w:sz w:val="22"/>
          <w:szCs w:val="22"/>
        </w:rPr>
        <w:t>[4].</w:t>
      </w:r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</w:t>
      </w:r>
      <w:r w:rsidR="006560B7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Up to </w:t>
      </w:r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>800 particles were tracked with an adaptive 7</w:t>
      </w:r>
      <w:r w:rsidR="009360FB" w:rsidRPr="009360FB">
        <w:rPr>
          <w:rFonts w:asciiTheme="minorHAnsi" w:eastAsia="MS PGothic" w:hAnsiTheme="minorHAnsi"/>
          <w:iCs/>
          <w:color w:val="000000"/>
          <w:sz w:val="22"/>
          <w:szCs w:val="22"/>
          <w:vertAlign w:val="superscript"/>
        </w:rPr>
        <w:t>th</w:t>
      </w:r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>-8</w:t>
      </w:r>
      <w:r w:rsidR="009360FB" w:rsidRPr="009360FB">
        <w:rPr>
          <w:rFonts w:asciiTheme="minorHAnsi" w:eastAsia="MS PGothic" w:hAnsiTheme="minorHAnsi"/>
          <w:iCs/>
          <w:color w:val="000000"/>
          <w:sz w:val="22"/>
          <w:szCs w:val="22"/>
          <w:vertAlign w:val="superscript"/>
        </w:rPr>
        <w:t>th</w:t>
      </w:r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order explicit Runge-</w:t>
      </w:r>
      <w:proofErr w:type="spellStart"/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>Kutta</w:t>
      </w:r>
      <w:proofErr w:type="spellEnd"/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method. The lamellar mixing model equations were solved using the </w:t>
      </w:r>
      <w:proofErr w:type="spellStart"/>
      <w:r w:rsidR="009360FB" w:rsidRPr="009360FB">
        <w:rPr>
          <w:rFonts w:ascii="Courier New" w:eastAsia="MS PGothic" w:hAnsi="Courier New" w:cs="Courier New"/>
          <w:iCs/>
          <w:color w:val="000000"/>
          <w:sz w:val="22"/>
          <w:szCs w:val="22"/>
        </w:rPr>
        <w:t>pdepe</w:t>
      </w:r>
      <w:proofErr w:type="spellEnd"/>
      <w:r w:rsidR="009360FB">
        <w:rPr>
          <w:rFonts w:asciiTheme="minorHAnsi" w:eastAsia="MS PGothic" w:hAnsiTheme="minorHAnsi"/>
          <w:iCs/>
          <w:color w:val="000000"/>
          <w:sz w:val="22"/>
          <w:szCs w:val="22"/>
        </w:rPr>
        <w:t xml:space="preserve"> function in MATLAB.</w:t>
      </w:r>
      <w:r w:rsidR="006560B7" w:rsidRPr="006560B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156C8">
        <w:rPr>
          <w:rFonts w:asciiTheme="minorHAnsi" w:eastAsia="MS PGothic" w:hAnsiTheme="minorHAnsi"/>
          <w:color w:val="000000"/>
          <w:sz w:val="22"/>
          <w:szCs w:val="22"/>
        </w:rPr>
        <w:t>It is worth mentioning that b</w:t>
      </w:r>
      <w:r w:rsidR="006560B7">
        <w:rPr>
          <w:rFonts w:asciiTheme="minorHAnsi" w:eastAsia="MS PGothic" w:hAnsiTheme="minorHAnsi"/>
          <w:color w:val="000000"/>
          <w:sz w:val="22"/>
          <w:szCs w:val="22"/>
        </w:rPr>
        <w:t xml:space="preserve">oth developed models of </w:t>
      </w:r>
      <w:proofErr w:type="spellStart"/>
      <w:r w:rsidR="006560B7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="006560B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156C8">
        <w:rPr>
          <w:rFonts w:asciiTheme="minorHAnsi" w:eastAsia="MS PGothic" w:hAnsiTheme="minorHAnsi"/>
          <w:color w:val="000000"/>
          <w:sz w:val="22"/>
          <w:szCs w:val="22"/>
        </w:rPr>
        <w:t xml:space="preserve">in this work </w:t>
      </w:r>
      <w:r w:rsidR="006560B7">
        <w:rPr>
          <w:rFonts w:asciiTheme="minorHAnsi" w:eastAsia="MS PGothic" w:hAnsiTheme="minorHAnsi"/>
          <w:color w:val="000000"/>
          <w:sz w:val="22"/>
          <w:szCs w:val="22"/>
        </w:rPr>
        <w:t xml:space="preserve">are fully-predictive and have no adjustable parameters, requiring only information on the kinetics of the </w:t>
      </w:r>
      <w:proofErr w:type="spellStart"/>
      <w:r w:rsidR="006560B7">
        <w:rPr>
          <w:rFonts w:asciiTheme="minorHAnsi" w:eastAsia="MS PGothic" w:hAnsiTheme="minorHAnsi"/>
          <w:color w:val="000000"/>
          <w:sz w:val="22"/>
          <w:szCs w:val="22"/>
        </w:rPr>
        <w:t>Villermaux-Dushman</w:t>
      </w:r>
      <w:proofErr w:type="spellEnd"/>
      <w:r w:rsidR="006560B7">
        <w:rPr>
          <w:rFonts w:asciiTheme="minorHAnsi" w:eastAsia="MS PGothic" w:hAnsiTheme="minorHAnsi"/>
          <w:color w:val="000000"/>
          <w:sz w:val="22"/>
          <w:szCs w:val="22"/>
        </w:rPr>
        <w:t xml:space="preserve"> reaction scheme found in the literature </w:t>
      </w:r>
      <w:r w:rsidR="006560B7" w:rsidRPr="00A2101F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="00053B70">
        <w:rPr>
          <w:rFonts w:asciiTheme="minorHAnsi" w:eastAsia="MS PGothic" w:hAnsiTheme="minorHAnsi"/>
          <w:color w:val="000000"/>
          <w:sz w:val="22"/>
          <w:szCs w:val="22"/>
        </w:rPr>
        <w:t>3</w:t>
      </w:r>
      <w:r w:rsidR="006560B7" w:rsidRPr="00A2101F">
        <w:rPr>
          <w:rFonts w:asciiTheme="minorHAnsi" w:eastAsia="MS PGothic" w:hAnsiTheme="minorHAnsi"/>
          <w:color w:val="000000"/>
          <w:sz w:val="22"/>
          <w:szCs w:val="22"/>
        </w:rPr>
        <w:t>].</w:t>
      </w:r>
    </w:p>
    <w:p w14:paraId="702425FD" w14:textId="76256AFE" w:rsidR="00704BDF" w:rsidRPr="00046286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046286">
        <w:rPr>
          <w:rFonts w:asciiTheme="minorHAnsi" w:eastAsia="MS PGothic" w:hAnsiTheme="minorHAnsi"/>
          <w:b/>
          <w:bCs/>
          <w:color w:val="000000"/>
          <w:sz w:val="22"/>
          <w:szCs w:val="22"/>
        </w:rPr>
        <w:t>3. Results and discussion</w:t>
      </w:r>
    </w:p>
    <w:p w14:paraId="5F635749" w14:textId="4926DFA2" w:rsidR="00704BDF" w:rsidRPr="001C2D72" w:rsidRDefault="001F4848" w:rsidP="001C2D7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F645F1">
        <w:rPr>
          <w:rFonts w:asciiTheme="minorHAnsi" w:eastAsia="MS PGothic" w:hAnsiTheme="minorHAnsi"/>
          <w:color w:val="000000"/>
          <w:sz w:val="22"/>
          <w:szCs w:val="22"/>
        </w:rPr>
        <w:t xml:space="preserve">obtained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simulation results </w:t>
      </w:r>
      <w:r w:rsidR="00C32EC2">
        <w:rPr>
          <w:rFonts w:asciiTheme="minorHAnsi" w:eastAsia="MS PGothic" w:hAnsiTheme="minorHAnsi"/>
          <w:color w:val="000000"/>
          <w:sz w:val="22"/>
          <w:szCs w:val="22"/>
        </w:rPr>
        <w:t xml:space="preserve">for both models </w:t>
      </w:r>
      <w:r>
        <w:rPr>
          <w:rFonts w:asciiTheme="minorHAnsi" w:eastAsia="MS PGothic" w:hAnsiTheme="minorHAnsi"/>
          <w:color w:val="000000"/>
          <w:sz w:val="22"/>
          <w:szCs w:val="22"/>
        </w:rPr>
        <w:t>are in quite good a</w:t>
      </w:r>
      <w:r w:rsidR="0052375C">
        <w:rPr>
          <w:rFonts w:asciiTheme="minorHAnsi" w:eastAsia="MS PGothic" w:hAnsiTheme="minorHAnsi"/>
          <w:color w:val="000000"/>
          <w:sz w:val="22"/>
          <w:szCs w:val="22"/>
        </w:rPr>
        <w:t xml:space="preserve">greement with experimental data 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of </w:t>
      </w:r>
      <w:proofErr w:type="spellStart"/>
      <w:r w:rsidR="00AB7A50">
        <w:rPr>
          <w:rFonts w:asciiTheme="minorHAnsi" w:eastAsia="MS PGothic" w:hAnsiTheme="minorHAnsi"/>
          <w:color w:val="000000"/>
          <w:sz w:val="22"/>
          <w:szCs w:val="22"/>
        </w:rPr>
        <w:t>Commenge</w:t>
      </w:r>
      <w:proofErr w:type="spellEnd"/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 and Falk [3] </w:t>
      </w:r>
      <w:r w:rsidR="0052375C">
        <w:rPr>
          <w:rFonts w:asciiTheme="minorHAnsi" w:eastAsia="MS PGothic" w:hAnsiTheme="minorHAnsi"/>
          <w:color w:val="000000"/>
          <w:sz w:val="22"/>
          <w:szCs w:val="22"/>
        </w:rPr>
        <w:t xml:space="preserve">(see </w:t>
      </w:r>
      <w:r w:rsidR="00C05EF7">
        <w:rPr>
          <w:rFonts w:asciiTheme="minorHAnsi" w:eastAsia="MS PGothic" w:hAnsiTheme="minorHAnsi"/>
          <w:color w:val="000000"/>
          <w:sz w:val="22"/>
          <w:szCs w:val="22"/>
        </w:rPr>
        <w:t>Figure 1</w:t>
      </w:r>
      <w:r w:rsidR="0052375C">
        <w:rPr>
          <w:rFonts w:asciiTheme="minorHAnsi" w:eastAsia="MS PGothic" w:hAnsiTheme="minorHAnsi"/>
          <w:color w:val="000000"/>
          <w:sz w:val="22"/>
          <w:szCs w:val="22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</w:rPr>
        <w:t>. T</w:t>
      </w:r>
      <w:r w:rsidR="0052375C">
        <w:rPr>
          <w:rFonts w:asciiTheme="minorHAnsi" w:eastAsia="MS PGothic" w:hAnsiTheme="minorHAnsi"/>
          <w:color w:val="000000"/>
          <w:sz w:val="22"/>
          <w:szCs w:val="22"/>
        </w:rPr>
        <w:t xml:space="preserve">he lamellar model </w:t>
      </w:r>
      <w:r>
        <w:rPr>
          <w:rFonts w:asciiTheme="minorHAnsi" w:eastAsia="MS PGothic" w:hAnsiTheme="minorHAnsi"/>
          <w:color w:val="000000"/>
          <w:sz w:val="22"/>
          <w:szCs w:val="22"/>
        </w:rPr>
        <w:t>ten</w:t>
      </w:r>
      <w:r w:rsidR="00A2101F">
        <w:rPr>
          <w:rFonts w:asciiTheme="minorHAnsi" w:eastAsia="MS PGothic" w:hAnsiTheme="minorHAnsi"/>
          <w:color w:val="000000"/>
          <w:sz w:val="22"/>
          <w:szCs w:val="22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 to </w:t>
      </w:r>
      <w:r w:rsidR="006560B7">
        <w:rPr>
          <w:rFonts w:asciiTheme="minorHAnsi" w:eastAsia="MS PGothic" w:hAnsiTheme="minorHAnsi"/>
          <w:color w:val="000000"/>
          <w:sz w:val="22"/>
          <w:szCs w:val="22"/>
        </w:rPr>
        <w:t>over predict</w:t>
      </w:r>
      <w:r w:rsidR="0052375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52375C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="0052375C">
        <w:rPr>
          <w:rFonts w:asciiTheme="minorHAnsi" w:eastAsia="MS PGothic" w:hAnsiTheme="minorHAnsi"/>
          <w:color w:val="000000"/>
          <w:sz w:val="22"/>
          <w:szCs w:val="22"/>
        </w:rPr>
        <w:t xml:space="preserve"> at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the lower range </w:t>
      </w:r>
      <w:r w:rsidR="006560B7">
        <w:rPr>
          <w:rFonts w:asciiTheme="minorHAnsi" w:eastAsia="MS PGothic" w:hAnsiTheme="minorHAnsi"/>
          <w:color w:val="000000"/>
          <w:sz w:val="22"/>
          <w:szCs w:val="22"/>
        </w:rPr>
        <w:t>of</w:t>
      </w:r>
      <w:r w:rsidR="0052375C">
        <w:rPr>
          <w:rFonts w:asciiTheme="minorHAnsi" w:eastAsia="MS PGothic" w:hAnsiTheme="minorHAnsi"/>
          <w:color w:val="000000"/>
          <w:sz w:val="22"/>
          <w:szCs w:val="22"/>
        </w:rPr>
        <w:t xml:space="preserve"> Reynolds numbers</w:t>
      </w:r>
      <w:r w:rsidR="006560B7">
        <w:rPr>
          <w:rFonts w:asciiTheme="minorHAnsi" w:eastAsia="MS PGothic" w:hAnsiTheme="minorHAnsi"/>
          <w:color w:val="000000"/>
          <w:sz w:val="22"/>
          <w:szCs w:val="22"/>
        </w:rPr>
        <w:t xml:space="preserve"> but predicts well the rate of decay of the segregation index with the increase in </w:t>
      </w:r>
      <m:oMath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</w:rPr>
          <m:t>Re</m:t>
        </m:r>
      </m:oMath>
      <w:r w:rsidR="0052375C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B07882">
        <w:rPr>
          <w:rFonts w:asciiTheme="minorHAnsi" w:eastAsia="MS PGothic" w:hAnsiTheme="minorHAnsi"/>
          <w:color w:val="000000"/>
          <w:sz w:val="22"/>
          <w:szCs w:val="22"/>
        </w:rPr>
        <w:t xml:space="preserve">The direct numerical simulations of the species transport and reaction show quite good </w:t>
      </w:r>
      <w:r w:rsidR="00C823FE">
        <w:rPr>
          <w:rFonts w:asciiTheme="minorHAnsi" w:eastAsia="MS PGothic" w:hAnsiTheme="minorHAnsi"/>
          <w:color w:val="000000"/>
          <w:sz w:val="22"/>
          <w:szCs w:val="22"/>
        </w:rPr>
        <w:t xml:space="preserve">agreement with experimental results </w:t>
      </w:r>
      <w:r w:rsidR="00B07882">
        <w:rPr>
          <w:rFonts w:asciiTheme="minorHAnsi" w:eastAsia="MS PGothic" w:hAnsiTheme="minorHAnsi"/>
          <w:color w:val="000000"/>
          <w:sz w:val="22"/>
          <w:szCs w:val="22"/>
        </w:rPr>
        <w:t>in the lower part of</w:t>
      </w:r>
      <w:r w:rsidR="00FD14C6">
        <w:rPr>
          <w:rFonts w:asciiTheme="minorHAnsi" w:eastAsia="MS PGothic" w:hAnsiTheme="minorHAnsi"/>
          <w:color w:val="000000"/>
          <w:sz w:val="22"/>
          <w:szCs w:val="22"/>
        </w:rPr>
        <w:t xml:space="preserve"> the</w:t>
      </w:r>
      <w:r w:rsidR="00B0788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</w:rPr>
          <m:t>Re</m:t>
        </m:r>
      </m:oMath>
      <w:r w:rsidR="00B07882">
        <w:rPr>
          <w:rFonts w:asciiTheme="minorHAnsi" w:eastAsia="MS PGothic" w:hAnsiTheme="minorHAnsi"/>
          <w:color w:val="000000"/>
          <w:sz w:val="22"/>
          <w:szCs w:val="22"/>
        </w:rPr>
        <w:t xml:space="preserve"> range but seem to over predict the degree of micromixing in the upper part of the range</w:t>
      </w:r>
      <w:r w:rsidR="009156C8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B07882">
        <w:rPr>
          <w:rFonts w:asciiTheme="minorHAnsi" w:eastAsia="MS PGothic" w:hAnsiTheme="minorHAnsi"/>
          <w:color w:val="000000"/>
          <w:sz w:val="22"/>
          <w:szCs w:val="22"/>
        </w:rPr>
        <w:t>indicat</w:t>
      </w:r>
      <w:r w:rsidR="009156C8">
        <w:rPr>
          <w:rFonts w:asciiTheme="minorHAnsi" w:eastAsia="MS PGothic" w:hAnsiTheme="minorHAnsi"/>
          <w:color w:val="000000"/>
          <w:sz w:val="22"/>
          <w:szCs w:val="22"/>
        </w:rPr>
        <w:t>ing</w:t>
      </w:r>
      <w:r w:rsidR="00B0788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156C8">
        <w:rPr>
          <w:rFonts w:asciiTheme="minorHAnsi" w:eastAsia="MS PGothic" w:hAnsiTheme="minorHAnsi"/>
          <w:color w:val="000000"/>
          <w:sz w:val="22"/>
          <w:szCs w:val="22"/>
        </w:rPr>
        <w:t xml:space="preserve">that further refinement </w:t>
      </w:r>
      <w:r w:rsidR="002228AE">
        <w:rPr>
          <w:rFonts w:asciiTheme="minorHAnsi" w:eastAsia="MS PGothic" w:hAnsiTheme="minorHAnsi"/>
          <w:color w:val="000000"/>
          <w:sz w:val="22"/>
          <w:szCs w:val="22"/>
        </w:rPr>
        <w:t>might</w:t>
      </w:r>
      <w:r w:rsidR="009156C8">
        <w:rPr>
          <w:rFonts w:asciiTheme="minorHAnsi" w:eastAsia="MS PGothic" w:hAnsiTheme="minorHAnsi"/>
          <w:color w:val="000000"/>
          <w:sz w:val="22"/>
          <w:szCs w:val="22"/>
        </w:rPr>
        <w:t xml:space="preserve"> still be necessary for those flow conditions</w:t>
      </w:r>
      <w:r w:rsidR="00B07882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7D497C16" w14:textId="2D6C2A7D" w:rsidR="00AB7A50" w:rsidRPr="00046286" w:rsidRDefault="009156C8" w:rsidP="00AB7A50">
      <w:pPr>
        <w:snapToGrid w:val="0"/>
        <w:spacing w:after="120"/>
        <w:rPr>
          <w:rFonts w:asciiTheme="minorHAnsi" w:eastAsia="MS PGothic" w:hAnsiTheme="minorHAnsi"/>
          <w:color w:val="000000"/>
          <w:szCs w:val="18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The d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irect numerical simulations of </w:t>
      </w:r>
      <w:proofErr w:type="spellStart"/>
      <w:r w:rsidR="00AB7A50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 using the CFD flow field have been found to be computationally very costly, requiring very fine meshes (up to 11.5 million elements)</w:t>
      </w:r>
      <w:r w:rsidR="00E41123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207C6605" w14:textId="77777777" w:rsidR="00704BDF" w:rsidRPr="00046286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eastAsia="ko-KR"/>
        </w:rPr>
      </w:pPr>
      <w:r w:rsidRPr="00046286">
        <w:rPr>
          <w:rFonts w:asciiTheme="minorHAnsi" w:eastAsia="MS PGothic" w:hAnsiTheme="minorHAnsi"/>
          <w:b/>
          <w:bCs/>
          <w:color w:val="000000"/>
          <w:sz w:val="22"/>
          <w:szCs w:val="22"/>
        </w:rPr>
        <w:t>4. Conclusion</w:t>
      </w:r>
      <w:r w:rsidRPr="00046286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14:paraId="4A8DD1C1" w14:textId="58F46FE6" w:rsidR="00D922B3" w:rsidRDefault="00D922B3" w:rsidP="00C05EF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CFD simulations have been successfully used </w:t>
      </w:r>
      <w:r w:rsidR="00B83000">
        <w:rPr>
          <w:rFonts w:asciiTheme="minorHAnsi" w:eastAsia="MS PGothic" w:hAnsiTheme="minorHAnsi"/>
          <w:color w:val="000000"/>
          <w:sz w:val="22"/>
          <w:szCs w:val="22"/>
        </w:rPr>
        <w:t xml:space="preserve">in this work </w:t>
      </w:r>
      <w:r>
        <w:rPr>
          <w:rFonts w:asciiTheme="minorHAnsi" w:eastAsia="MS PGothic" w:hAnsiTheme="minorHAnsi"/>
          <w:color w:val="000000"/>
          <w:sz w:val="22"/>
          <w:szCs w:val="22"/>
        </w:rPr>
        <w:t>to simulate the flow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proofErr w:type="spellStart"/>
      <w:r w:rsidR="009156C8">
        <w:rPr>
          <w:rFonts w:asciiTheme="minorHAnsi" w:eastAsia="MS PGothic" w:hAnsiTheme="minorHAnsi"/>
          <w:color w:val="000000"/>
          <w:sz w:val="22"/>
          <w:szCs w:val="22"/>
        </w:rPr>
        <w:t>micro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>mixing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in a T-mixer with square bend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 the laminar regime.</w:t>
      </w:r>
      <w:r w:rsidR="0038601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This work </w:t>
      </w:r>
      <w:r w:rsidR="00555349">
        <w:rPr>
          <w:rFonts w:asciiTheme="minorHAnsi" w:eastAsia="MS PGothic" w:hAnsiTheme="minorHAnsi"/>
          <w:color w:val="000000"/>
          <w:sz w:val="22"/>
          <w:szCs w:val="22"/>
        </w:rPr>
        <w:t>shows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228AE">
        <w:rPr>
          <w:rFonts w:asciiTheme="minorHAnsi" w:eastAsia="MS PGothic" w:hAnsiTheme="minorHAnsi"/>
          <w:color w:val="000000"/>
          <w:sz w:val="22"/>
          <w:szCs w:val="22"/>
        </w:rPr>
        <w:t xml:space="preserve">that, even for simple geometries and low </w:t>
      </w:r>
      <m:oMath>
        <m:r>
          <m:rPr>
            <m:sty m:val="p"/>
          </m:rPr>
          <w:rPr>
            <w:rFonts w:ascii="Cambria Math" w:eastAsia="MS PGothic" w:hAnsi="Cambria Math"/>
            <w:color w:val="000000"/>
            <w:sz w:val="22"/>
            <w:szCs w:val="22"/>
          </w:rPr>
          <m:t>Re</m:t>
        </m:r>
      </m:oMath>
      <w:r w:rsidR="002228AE">
        <w:rPr>
          <w:rFonts w:asciiTheme="minorHAnsi" w:eastAsia="MS PGothic" w:hAnsiTheme="minorHAnsi"/>
          <w:color w:val="000000"/>
          <w:sz w:val="22"/>
          <w:szCs w:val="22"/>
        </w:rPr>
        <w:t>, the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 direct simulation of </w:t>
      </w:r>
      <w:proofErr w:type="spellStart"/>
      <w:r w:rsidR="00AB7A50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 can be </w:t>
      </w:r>
      <w:r w:rsidR="00555349">
        <w:rPr>
          <w:rFonts w:asciiTheme="minorHAnsi" w:eastAsia="MS PGothic" w:hAnsiTheme="minorHAnsi"/>
          <w:color w:val="000000"/>
          <w:sz w:val="22"/>
          <w:szCs w:val="22"/>
        </w:rPr>
        <w:t>very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 computationally expensive</w:t>
      </w:r>
      <w:r w:rsidR="002228AE">
        <w:rPr>
          <w:rFonts w:asciiTheme="minorHAnsi" w:eastAsia="MS PGothic" w:hAnsiTheme="minorHAnsi"/>
          <w:color w:val="000000"/>
          <w:sz w:val="22"/>
          <w:szCs w:val="22"/>
        </w:rPr>
        <w:t xml:space="preserve"> when chaotic structures are produced by the flow</w:t>
      </w:r>
      <w:r w:rsidR="00AB7A50">
        <w:rPr>
          <w:rFonts w:asciiTheme="minorHAnsi" w:eastAsia="MS PGothic" w:hAnsiTheme="minorHAnsi"/>
          <w:color w:val="000000"/>
          <w:sz w:val="22"/>
          <w:szCs w:val="22"/>
        </w:rPr>
        <w:t xml:space="preserve">. The use of </w:t>
      </w:r>
      <w:proofErr w:type="spellStart"/>
      <w:r w:rsidR="00555349">
        <w:rPr>
          <w:rFonts w:asciiTheme="minorHAnsi" w:eastAsia="MS PGothic" w:hAnsiTheme="minorHAnsi"/>
          <w:color w:val="000000"/>
          <w:sz w:val="22"/>
          <w:szCs w:val="22"/>
        </w:rPr>
        <w:t>micromixing</w:t>
      </w:r>
      <w:proofErr w:type="spellEnd"/>
      <w:r w:rsidR="00555349">
        <w:rPr>
          <w:rFonts w:asciiTheme="minorHAnsi" w:eastAsia="MS PGothic" w:hAnsiTheme="minorHAnsi"/>
          <w:color w:val="000000"/>
          <w:sz w:val="22"/>
          <w:szCs w:val="22"/>
        </w:rPr>
        <w:t xml:space="preserve"> models </w:t>
      </w:r>
      <w:r w:rsidR="002228AE">
        <w:rPr>
          <w:rFonts w:asciiTheme="minorHAnsi" w:eastAsia="MS PGothic" w:hAnsiTheme="minorHAnsi"/>
          <w:color w:val="000000"/>
          <w:sz w:val="22"/>
          <w:szCs w:val="22"/>
        </w:rPr>
        <w:t>can offer an attractive alternative to direct simulations.</w:t>
      </w:r>
    </w:p>
    <w:p w14:paraId="60ADDB6D" w14:textId="6957D59B" w:rsidR="00704BDF" w:rsidRPr="00046286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eastAsia="zh-CN"/>
        </w:rPr>
      </w:pPr>
      <w:r w:rsidRPr="00046286">
        <w:rPr>
          <w:rFonts w:asciiTheme="minorHAnsi" w:eastAsia="MS PGothic" w:hAnsiTheme="minorHAnsi"/>
          <w:b/>
          <w:bCs/>
          <w:color w:val="000000"/>
          <w:sz w:val="20"/>
        </w:rPr>
        <w:t>References</w:t>
      </w:r>
    </w:p>
    <w:p w14:paraId="08C7D957" w14:textId="45365CC6" w:rsidR="00704BDF" w:rsidRPr="006D4401" w:rsidRDefault="00253159" w:rsidP="00E4112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en-GB"/>
        </w:rPr>
      </w:pPr>
      <w:proofErr w:type="spellStart"/>
      <w:r w:rsidRPr="006D4401">
        <w:rPr>
          <w:rFonts w:asciiTheme="minorHAnsi" w:hAnsiTheme="minorHAnsi"/>
          <w:color w:val="000000"/>
          <w:lang w:val="en-GB"/>
        </w:rPr>
        <w:t>Baldyga</w:t>
      </w:r>
      <w:proofErr w:type="spellEnd"/>
      <w:r w:rsidR="001B5579" w:rsidRPr="006D4401">
        <w:rPr>
          <w:rFonts w:asciiTheme="minorHAnsi" w:hAnsiTheme="minorHAnsi"/>
          <w:color w:val="000000"/>
          <w:lang w:val="en-GB"/>
        </w:rPr>
        <w:t xml:space="preserve"> J., </w:t>
      </w:r>
      <w:r w:rsidRPr="006D4401">
        <w:rPr>
          <w:rFonts w:asciiTheme="minorHAnsi" w:hAnsiTheme="minorHAnsi"/>
          <w:color w:val="000000"/>
          <w:lang w:val="en-GB"/>
        </w:rPr>
        <w:t>Bourne</w:t>
      </w:r>
      <w:r w:rsidR="001B5579" w:rsidRPr="006D4401">
        <w:rPr>
          <w:rFonts w:asciiTheme="minorHAnsi" w:hAnsiTheme="minorHAnsi"/>
          <w:color w:val="000000"/>
          <w:lang w:val="en-GB"/>
        </w:rPr>
        <w:t xml:space="preserve"> J.R., </w:t>
      </w:r>
      <w:r w:rsidR="001B5579" w:rsidRPr="006D4401">
        <w:rPr>
          <w:rFonts w:asciiTheme="minorHAnsi" w:hAnsiTheme="minorHAnsi"/>
          <w:i/>
          <w:color w:val="000000"/>
          <w:lang w:val="en-GB"/>
        </w:rPr>
        <w:t>Turbulent Mixing and Chemical Reactions</w:t>
      </w:r>
      <w:r w:rsidR="001B5579" w:rsidRPr="006D4401">
        <w:rPr>
          <w:rFonts w:asciiTheme="minorHAnsi" w:hAnsiTheme="minorHAnsi"/>
          <w:color w:val="000000"/>
          <w:lang w:val="en-GB"/>
        </w:rPr>
        <w:t>, Wiley-Blackwell (1999)</w:t>
      </w:r>
    </w:p>
    <w:p w14:paraId="019E0E10" w14:textId="05C04C6E" w:rsidR="00053B70" w:rsidRPr="006D4401" w:rsidRDefault="001B5579" w:rsidP="00E41123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lang w:val="en-GB"/>
        </w:rPr>
      </w:pPr>
      <w:r w:rsidRPr="006D4401">
        <w:rPr>
          <w:rFonts w:asciiTheme="minorHAnsi" w:hAnsiTheme="minorHAnsi"/>
          <w:color w:val="000000"/>
          <w:lang w:val="en-GB"/>
        </w:rPr>
        <w:t>Santos</w:t>
      </w:r>
      <w:r w:rsidR="00053B70" w:rsidRPr="006D4401">
        <w:rPr>
          <w:rFonts w:asciiTheme="minorHAnsi" w:hAnsiTheme="minorHAnsi"/>
          <w:color w:val="000000"/>
          <w:lang w:val="en-GB"/>
        </w:rPr>
        <w:t xml:space="preserve"> R.J.</w:t>
      </w:r>
      <w:r w:rsidRPr="006D4401">
        <w:rPr>
          <w:rFonts w:asciiTheme="minorHAnsi" w:hAnsiTheme="minorHAnsi"/>
          <w:color w:val="000000"/>
          <w:lang w:val="en-GB"/>
        </w:rPr>
        <w:t>, Dias</w:t>
      </w:r>
      <w:r w:rsidR="00053B70" w:rsidRPr="006D4401">
        <w:rPr>
          <w:rFonts w:asciiTheme="minorHAnsi" w:hAnsiTheme="minorHAnsi"/>
          <w:color w:val="000000"/>
          <w:lang w:val="en-GB"/>
        </w:rPr>
        <w:t xml:space="preserve"> M.M.</w:t>
      </w:r>
      <w:r w:rsidRPr="006D4401">
        <w:rPr>
          <w:rFonts w:asciiTheme="minorHAnsi" w:hAnsiTheme="minorHAnsi"/>
          <w:color w:val="000000"/>
          <w:lang w:val="en-GB"/>
        </w:rPr>
        <w:t>, Lopes</w:t>
      </w:r>
      <w:r w:rsidR="00053B70" w:rsidRPr="006D4401">
        <w:rPr>
          <w:rFonts w:asciiTheme="minorHAnsi" w:hAnsiTheme="minorHAnsi"/>
          <w:color w:val="000000"/>
          <w:lang w:val="en-GB"/>
        </w:rPr>
        <w:t xml:space="preserve"> J.C.B.</w:t>
      </w:r>
      <w:r w:rsidRPr="006D4401">
        <w:rPr>
          <w:rFonts w:asciiTheme="minorHAnsi" w:hAnsiTheme="minorHAnsi"/>
          <w:color w:val="000000"/>
          <w:lang w:val="en-GB"/>
        </w:rPr>
        <w:t xml:space="preserve">, </w:t>
      </w:r>
      <w:r w:rsidRPr="006D4401">
        <w:rPr>
          <w:rFonts w:asciiTheme="minorHAnsi" w:hAnsiTheme="minorHAnsi"/>
          <w:i/>
          <w:color w:val="000000"/>
          <w:lang w:val="en-GB"/>
        </w:rPr>
        <w:t>Mixing through half a century of chemical engineering</w:t>
      </w:r>
      <w:r w:rsidRPr="006D4401">
        <w:rPr>
          <w:rFonts w:asciiTheme="minorHAnsi" w:hAnsiTheme="minorHAnsi"/>
          <w:color w:val="000000"/>
          <w:lang w:val="en-GB"/>
        </w:rPr>
        <w:t>, in: Single</w:t>
      </w:r>
      <w:r w:rsidR="00053B70" w:rsidRPr="006D4401">
        <w:rPr>
          <w:rFonts w:asciiTheme="minorHAnsi" w:hAnsiTheme="minorHAnsi"/>
          <w:color w:val="000000"/>
          <w:lang w:val="en-GB"/>
        </w:rPr>
        <w:t xml:space="preserve"> </w:t>
      </w:r>
      <w:r w:rsidRPr="006D4401">
        <w:rPr>
          <w:rFonts w:asciiTheme="minorHAnsi" w:hAnsiTheme="minorHAnsi"/>
          <w:color w:val="000000"/>
          <w:lang w:val="en-GB"/>
        </w:rPr>
        <w:t>and Two-phase Flows on Chemical and Biomedical Engineering, Bentham Science, pp. 79–112</w:t>
      </w:r>
      <w:r w:rsidR="00053B70" w:rsidRPr="006D4401">
        <w:rPr>
          <w:rFonts w:asciiTheme="minorHAnsi" w:hAnsiTheme="minorHAnsi"/>
          <w:color w:val="000000"/>
          <w:lang w:val="en-GB"/>
        </w:rPr>
        <w:t xml:space="preserve"> (2012)</w:t>
      </w:r>
    </w:p>
    <w:p w14:paraId="2A81EAA9" w14:textId="29A6CAD0" w:rsidR="00053B70" w:rsidRPr="006D4401" w:rsidRDefault="00053B70" w:rsidP="00E41123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lang w:val="en-GB"/>
        </w:rPr>
      </w:pPr>
      <w:proofErr w:type="spellStart"/>
      <w:r w:rsidRPr="006D4401">
        <w:rPr>
          <w:rFonts w:asciiTheme="minorHAnsi" w:hAnsiTheme="minorHAnsi"/>
          <w:color w:val="000000"/>
          <w:lang w:val="en-GB"/>
        </w:rPr>
        <w:t>Commenge</w:t>
      </w:r>
      <w:proofErr w:type="spellEnd"/>
      <w:r w:rsidRPr="006D4401">
        <w:rPr>
          <w:rFonts w:asciiTheme="minorHAnsi" w:hAnsiTheme="minorHAnsi"/>
          <w:color w:val="000000"/>
          <w:lang w:val="en-GB"/>
        </w:rPr>
        <w:t xml:space="preserve"> J.-M., Falk L., </w:t>
      </w:r>
      <w:proofErr w:type="spellStart"/>
      <w:r w:rsidRPr="006D4401">
        <w:rPr>
          <w:rFonts w:asciiTheme="minorHAnsi" w:hAnsiTheme="minorHAnsi"/>
          <w:i/>
          <w:color w:val="000000"/>
          <w:lang w:val="en-GB"/>
        </w:rPr>
        <w:t>Villermaux</w:t>
      </w:r>
      <w:proofErr w:type="spellEnd"/>
      <w:r w:rsidRPr="006D4401">
        <w:rPr>
          <w:rFonts w:asciiTheme="minorHAnsi" w:hAnsiTheme="minorHAnsi"/>
          <w:i/>
          <w:color w:val="000000"/>
          <w:lang w:val="en-GB"/>
        </w:rPr>
        <w:t>–</w:t>
      </w:r>
      <w:proofErr w:type="spellStart"/>
      <w:r w:rsidRPr="006D4401">
        <w:rPr>
          <w:rFonts w:asciiTheme="minorHAnsi" w:hAnsiTheme="minorHAnsi"/>
          <w:i/>
          <w:color w:val="000000"/>
          <w:lang w:val="en-GB"/>
        </w:rPr>
        <w:t>Dushman</w:t>
      </w:r>
      <w:proofErr w:type="spellEnd"/>
      <w:r w:rsidRPr="006D4401">
        <w:rPr>
          <w:rFonts w:asciiTheme="minorHAnsi" w:hAnsiTheme="minorHAnsi"/>
          <w:i/>
          <w:color w:val="000000"/>
          <w:lang w:val="en-GB"/>
        </w:rPr>
        <w:t xml:space="preserve"> protocol for experimental characterization of micromixers</w:t>
      </w:r>
      <w:r w:rsidRPr="006D4401">
        <w:rPr>
          <w:rFonts w:asciiTheme="minorHAnsi" w:hAnsiTheme="minorHAnsi"/>
          <w:color w:val="000000"/>
          <w:lang w:val="en-GB"/>
        </w:rPr>
        <w:t>, Chemical Engineering and Processing: Process Intensification, 50 (10), pp. 979-990 (2011)</w:t>
      </w:r>
    </w:p>
    <w:p w14:paraId="248713B3" w14:textId="6C83D45B" w:rsidR="00053B70" w:rsidRPr="006D4401" w:rsidRDefault="00053B70" w:rsidP="00E41123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en-GB" w:eastAsia="zh-CN"/>
        </w:rPr>
      </w:pPr>
      <w:proofErr w:type="spellStart"/>
      <w:r w:rsidRPr="006D4401">
        <w:rPr>
          <w:rFonts w:asciiTheme="minorHAnsi" w:eastAsia="SimSun" w:hAnsiTheme="minorHAnsi"/>
          <w:lang w:val="en-GB" w:eastAsia="zh-CN"/>
        </w:rPr>
        <w:t>Ottino</w:t>
      </w:r>
      <w:proofErr w:type="spellEnd"/>
      <w:r w:rsidRPr="006D4401">
        <w:rPr>
          <w:rFonts w:asciiTheme="minorHAnsi" w:eastAsia="SimSun" w:hAnsiTheme="minorHAnsi"/>
          <w:lang w:val="en-GB" w:eastAsia="zh-CN"/>
        </w:rPr>
        <w:t xml:space="preserve"> J.M., </w:t>
      </w:r>
      <w:proofErr w:type="spellStart"/>
      <w:r w:rsidRPr="006D4401">
        <w:rPr>
          <w:rFonts w:asciiTheme="minorHAnsi" w:eastAsia="SimSun" w:hAnsiTheme="minorHAnsi"/>
          <w:lang w:val="en-GB" w:eastAsia="zh-CN"/>
        </w:rPr>
        <w:t>Ranz</w:t>
      </w:r>
      <w:proofErr w:type="spellEnd"/>
      <w:r w:rsidRPr="006D4401">
        <w:rPr>
          <w:rFonts w:asciiTheme="minorHAnsi" w:eastAsia="SimSun" w:hAnsiTheme="minorHAnsi"/>
          <w:lang w:val="en-GB" w:eastAsia="zh-CN"/>
        </w:rPr>
        <w:t xml:space="preserve"> W.E., </w:t>
      </w:r>
      <w:proofErr w:type="spellStart"/>
      <w:r w:rsidRPr="006D4401">
        <w:rPr>
          <w:rFonts w:asciiTheme="minorHAnsi" w:eastAsia="SimSun" w:hAnsiTheme="minorHAnsi"/>
          <w:lang w:val="en-GB" w:eastAsia="zh-CN"/>
        </w:rPr>
        <w:t>Macosko</w:t>
      </w:r>
      <w:proofErr w:type="spellEnd"/>
      <w:r w:rsidRPr="006D4401">
        <w:rPr>
          <w:rFonts w:asciiTheme="minorHAnsi" w:eastAsia="SimSun" w:hAnsiTheme="minorHAnsi"/>
          <w:lang w:val="en-GB" w:eastAsia="zh-CN"/>
        </w:rPr>
        <w:t xml:space="preserve"> C.W., </w:t>
      </w:r>
      <w:r w:rsidRPr="006D4401">
        <w:rPr>
          <w:rFonts w:asciiTheme="minorHAnsi" w:eastAsia="SimSun" w:hAnsiTheme="minorHAnsi"/>
          <w:i/>
          <w:lang w:val="en-GB" w:eastAsia="zh-CN"/>
        </w:rPr>
        <w:t>A lamellar model for analysis of liquid-liquid mixing</w:t>
      </w:r>
      <w:r w:rsidRPr="006D4401">
        <w:rPr>
          <w:rFonts w:asciiTheme="minorHAnsi" w:eastAsia="SimSun" w:hAnsiTheme="minorHAnsi"/>
          <w:lang w:val="en-GB" w:eastAsia="zh-CN"/>
        </w:rPr>
        <w:t>, Chemical Engineering Science, 34 (6),</w:t>
      </w:r>
      <w:r w:rsidR="006D4401" w:rsidRPr="006D4401">
        <w:rPr>
          <w:rFonts w:asciiTheme="minorHAnsi" w:eastAsia="SimSun" w:hAnsiTheme="minorHAnsi"/>
          <w:lang w:val="en-GB" w:eastAsia="zh-CN"/>
        </w:rPr>
        <w:t xml:space="preserve"> pp. 877-890 (1979)</w:t>
      </w:r>
    </w:p>
    <w:sectPr w:rsidR="00053B70" w:rsidRPr="006D440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62B4F" w14:textId="77777777" w:rsidR="008D0E33" w:rsidRDefault="008D0E33" w:rsidP="004F5E36">
      <w:r>
        <w:separator/>
      </w:r>
    </w:p>
  </w:endnote>
  <w:endnote w:type="continuationSeparator" w:id="0">
    <w:p w14:paraId="533FED4A" w14:textId="77777777" w:rsidR="008D0E33" w:rsidRDefault="008D0E3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EB9EE" w14:textId="77777777" w:rsidR="008D0E33" w:rsidRDefault="008D0E33" w:rsidP="004F5E36">
      <w:r>
        <w:separator/>
      </w:r>
    </w:p>
  </w:footnote>
  <w:footnote w:type="continuationSeparator" w:id="0">
    <w:p w14:paraId="00BE8471" w14:textId="77777777" w:rsidR="008D0E33" w:rsidRDefault="008D0E3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048ED" w14:textId="77777777"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D719F9" wp14:editId="6F0C4F2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6467CF0" wp14:editId="1933EC5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FA90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FD8CD4" wp14:editId="5510A410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E7520DA" w14:textId="77777777" w:rsidR="00704BDF" w:rsidRDefault="00704BDF">
    <w:pPr>
      <w:pStyle w:val="Header"/>
    </w:pPr>
  </w:p>
  <w:p w14:paraId="2E7A2FD3" w14:textId="77777777"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72EE2C" wp14:editId="2628118F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370F"/>
    <w:rsid w:val="0003148D"/>
    <w:rsid w:val="00032511"/>
    <w:rsid w:val="00046286"/>
    <w:rsid w:val="00053B70"/>
    <w:rsid w:val="00062A9A"/>
    <w:rsid w:val="000A03B2"/>
    <w:rsid w:val="000C06B3"/>
    <w:rsid w:val="000D1DE6"/>
    <w:rsid w:val="000D34BE"/>
    <w:rsid w:val="000E36F1"/>
    <w:rsid w:val="000E3A73"/>
    <w:rsid w:val="000E414A"/>
    <w:rsid w:val="00121639"/>
    <w:rsid w:val="00127B92"/>
    <w:rsid w:val="0013121F"/>
    <w:rsid w:val="00134DE4"/>
    <w:rsid w:val="00144FA8"/>
    <w:rsid w:val="00150E59"/>
    <w:rsid w:val="00184AD6"/>
    <w:rsid w:val="001B5579"/>
    <w:rsid w:val="001B65C1"/>
    <w:rsid w:val="001C2D72"/>
    <w:rsid w:val="001C684B"/>
    <w:rsid w:val="001D53FC"/>
    <w:rsid w:val="001E59E2"/>
    <w:rsid w:val="001F2EC7"/>
    <w:rsid w:val="001F4848"/>
    <w:rsid w:val="002065DB"/>
    <w:rsid w:val="002228AE"/>
    <w:rsid w:val="0023121F"/>
    <w:rsid w:val="002447EF"/>
    <w:rsid w:val="00251550"/>
    <w:rsid w:val="00253159"/>
    <w:rsid w:val="0027221A"/>
    <w:rsid w:val="00275B61"/>
    <w:rsid w:val="002C72EC"/>
    <w:rsid w:val="002D1F12"/>
    <w:rsid w:val="002E1B5D"/>
    <w:rsid w:val="003009B7"/>
    <w:rsid w:val="0030337E"/>
    <w:rsid w:val="00303B6A"/>
    <w:rsid w:val="0030469C"/>
    <w:rsid w:val="00346FAE"/>
    <w:rsid w:val="003723D4"/>
    <w:rsid w:val="00386015"/>
    <w:rsid w:val="003A7D1C"/>
    <w:rsid w:val="003F0DC9"/>
    <w:rsid w:val="00444142"/>
    <w:rsid w:val="00445257"/>
    <w:rsid w:val="0046164A"/>
    <w:rsid w:val="00462DCD"/>
    <w:rsid w:val="0047765D"/>
    <w:rsid w:val="0048328F"/>
    <w:rsid w:val="00483DA4"/>
    <w:rsid w:val="004D1162"/>
    <w:rsid w:val="004E4DD6"/>
    <w:rsid w:val="004F5E36"/>
    <w:rsid w:val="005119A5"/>
    <w:rsid w:val="0052375C"/>
    <w:rsid w:val="005278B7"/>
    <w:rsid w:val="005318AD"/>
    <w:rsid w:val="005346C8"/>
    <w:rsid w:val="0054362E"/>
    <w:rsid w:val="00555349"/>
    <w:rsid w:val="005779E9"/>
    <w:rsid w:val="005815E0"/>
    <w:rsid w:val="00594E9F"/>
    <w:rsid w:val="005B56D5"/>
    <w:rsid w:val="005B61E6"/>
    <w:rsid w:val="005C77E1"/>
    <w:rsid w:val="005D15CE"/>
    <w:rsid w:val="005D6A2F"/>
    <w:rsid w:val="005E1A82"/>
    <w:rsid w:val="005F0A28"/>
    <w:rsid w:val="005F0E5E"/>
    <w:rsid w:val="00615E6C"/>
    <w:rsid w:val="00620DEE"/>
    <w:rsid w:val="00625639"/>
    <w:rsid w:val="00630822"/>
    <w:rsid w:val="0064184D"/>
    <w:rsid w:val="00652F4F"/>
    <w:rsid w:val="006560B7"/>
    <w:rsid w:val="0065796C"/>
    <w:rsid w:val="00660E3E"/>
    <w:rsid w:val="00662E74"/>
    <w:rsid w:val="006A58D2"/>
    <w:rsid w:val="006B1A42"/>
    <w:rsid w:val="006C5579"/>
    <w:rsid w:val="006D4401"/>
    <w:rsid w:val="00704BDF"/>
    <w:rsid w:val="0071302C"/>
    <w:rsid w:val="00736B13"/>
    <w:rsid w:val="007447F3"/>
    <w:rsid w:val="007661C8"/>
    <w:rsid w:val="007913C5"/>
    <w:rsid w:val="007D52CD"/>
    <w:rsid w:val="00813288"/>
    <w:rsid w:val="008168FC"/>
    <w:rsid w:val="008479A2"/>
    <w:rsid w:val="00866604"/>
    <w:rsid w:val="0087637F"/>
    <w:rsid w:val="00894160"/>
    <w:rsid w:val="008A1512"/>
    <w:rsid w:val="008D0BEB"/>
    <w:rsid w:val="008D0E33"/>
    <w:rsid w:val="008E566E"/>
    <w:rsid w:val="008F25CE"/>
    <w:rsid w:val="00901EB6"/>
    <w:rsid w:val="009156C8"/>
    <w:rsid w:val="009275F7"/>
    <w:rsid w:val="0093541A"/>
    <w:rsid w:val="009360FB"/>
    <w:rsid w:val="009450CE"/>
    <w:rsid w:val="0095164B"/>
    <w:rsid w:val="00961859"/>
    <w:rsid w:val="009725E4"/>
    <w:rsid w:val="00996483"/>
    <w:rsid w:val="009E788A"/>
    <w:rsid w:val="009F2A0F"/>
    <w:rsid w:val="00A1763D"/>
    <w:rsid w:val="00A17CEC"/>
    <w:rsid w:val="00A2101F"/>
    <w:rsid w:val="00A27EF0"/>
    <w:rsid w:val="00A6165A"/>
    <w:rsid w:val="00A76EFC"/>
    <w:rsid w:val="00A8037A"/>
    <w:rsid w:val="00A82940"/>
    <w:rsid w:val="00A9626B"/>
    <w:rsid w:val="00A97F29"/>
    <w:rsid w:val="00AB0964"/>
    <w:rsid w:val="00AB7A50"/>
    <w:rsid w:val="00AE377D"/>
    <w:rsid w:val="00B07882"/>
    <w:rsid w:val="00B61DBF"/>
    <w:rsid w:val="00B66F70"/>
    <w:rsid w:val="00B83000"/>
    <w:rsid w:val="00BA7788"/>
    <w:rsid w:val="00BC30C9"/>
    <w:rsid w:val="00BE3E58"/>
    <w:rsid w:val="00C01616"/>
    <w:rsid w:val="00C0162B"/>
    <w:rsid w:val="00C05EF7"/>
    <w:rsid w:val="00C120C1"/>
    <w:rsid w:val="00C32EC2"/>
    <w:rsid w:val="00C345B1"/>
    <w:rsid w:val="00C40142"/>
    <w:rsid w:val="00C460ED"/>
    <w:rsid w:val="00C5588E"/>
    <w:rsid w:val="00C57182"/>
    <w:rsid w:val="00C655FD"/>
    <w:rsid w:val="00C823FE"/>
    <w:rsid w:val="00C867B1"/>
    <w:rsid w:val="00C94434"/>
    <w:rsid w:val="00CA1C95"/>
    <w:rsid w:val="00CA3F5D"/>
    <w:rsid w:val="00CA5A9C"/>
    <w:rsid w:val="00CA68AC"/>
    <w:rsid w:val="00CD3343"/>
    <w:rsid w:val="00CD5FE2"/>
    <w:rsid w:val="00CF4A7C"/>
    <w:rsid w:val="00D02B4C"/>
    <w:rsid w:val="00D17B71"/>
    <w:rsid w:val="00D4047D"/>
    <w:rsid w:val="00D75864"/>
    <w:rsid w:val="00D84576"/>
    <w:rsid w:val="00D922B3"/>
    <w:rsid w:val="00DB57FE"/>
    <w:rsid w:val="00DE0019"/>
    <w:rsid w:val="00DE264A"/>
    <w:rsid w:val="00E041E7"/>
    <w:rsid w:val="00E23CA1"/>
    <w:rsid w:val="00E36A34"/>
    <w:rsid w:val="00E409A8"/>
    <w:rsid w:val="00E41123"/>
    <w:rsid w:val="00E7209D"/>
    <w:rsid w:val="00EA1E27"/>
    <w:rsid w:val="00EA50E1"/>
    <w:rsid w:val="00EE0131"/>
    <w:rsid w:val="00EE5361"/>
    <w:rsid w:val="00EF3117"/>
    <w:rsid w:val="00EF44E3"/>
    <w:rsid w:val="00F15C0F"/>
    <w:rsid w:val="00F30C64"/>
    <w:rsid w:val="00F645F1"/>
    <w:rsid w:val="00F67238"/>
    <w:rsid w:val="00FB3762"/>
    <w:rsid w:val="00FB730C"/>
    <w:rsid w:val="00FB74F3"/>
    <w:rsid w:val="00FC2695"/>
    <w:rsid w:val="00FC3E03"/>
    <w:rsid w:val="00FD14C6"/>
    <w:rsid w:val="00FE4E48"/>
    <w:rsid w:val="00FE52CE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1BDA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D922B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553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5484-3C6D-9C4A-BB91-FB628900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Claudio Fonte</cp:lastModifiedBy>
  <cp:revision>3</cp:revision>
  <cp:lastPrinted>2019-02-22T16:23:00Z</cp:lastPrinted>
  <dcterms:created xsi:type="dcterms:W3CDTF">2019-02-27T14:05:00Z</dcterms:created>
  <dcterms:modified xsi:type="dcterms:W3CDTF">2019-02-27T21:38:00Z</dcterms:modified>
</cp:coreProperties>
</file>