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627B44" w:rsidRPr="00627B44" w:rsidRDefault="00627B44" w:rsidP="00627B44">
      <w:pPr>
        <w:snapToGrid w:val="0"/>
        <w:spacing w:after="120"/>
        <w:jc w:val="center"/>
        <w:rPr>
          <w:rFonts w:asciiTheme="minorHAnsi" w:eastAsia="MS PGothic" w:hAnsiTheme="minorHAnsi"/>
          <w:b/>
          <w:bCs/>
          <w:sz w:val="28"/>
          <w:szCs w:val="28"/>
        </w:rPr>
      </w:pPr>
      <w:r w:rsidRPr="00627B44">
        <w:rPr>
          <w:rFonts w:asciiTheme="minorHAnsi" w:eastAsia="MS PGothic" w:hAnsiTheme="minorHAnsi"/>
          <w:b/>
          <w:bCs/>
          <w:sz w:val="28"/>
          <w:szCs w:val="28"/>
        </w:rPr>
        <w:t>A combined mathematical and experimental investigation of multiphase flow and shear sensitivity in the performance of mammalian cell cultures</w:t>
      </w:r>
    </w:p>
    <w:p w:rsidR="00A15531" w:rsidRDefault="00192E16" w:rsidP="00A15531">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 xml:space="preserve">Artemis </w:t>
      </w:r>
      <w:r w:rsidR="009E01CC">
        <w:rPr>
          <w:rFonts w:asciiTheme="minorHAnsi" w:eastAsia="SimSun" w:hAnsiTheme="minorHAnsi"/>
          <w:color w:val="000000"/>
          <w:sz w:val="24"/>
          <w:szCs w:val="24"/>
          <w:u w:val="single"/>
          <w:lang w:val="en-US" w:eastAsia="zh-CN"/>
        </w:rPr>
        <w:t>Danae Charalambidou</w:t>
      </w:r>
      <w:r w:rsidR="00704BDF" w:rsidRPr="00DE0019">
        <w:rPr>
          <w:rFonts w:asciiTheme="minorHAnsi" w:eastAsia="SimSun" w:hAnsiTheme="minorHAnsi"/>
          <w:color w:val="000000"/>
          <w:sz w:val="24"/>
          <w:szCs w:val="24"/>
          <w:u w:val="single"/>
          <w:vertAlign w:val="superscript"/>
          <w:lang w:val="en-US" w:eastAsia="zh-CN"/>
        </w:rPr>
        <w:t>1</w:t>
      </w:r>
      <w:r w:rsidR="00627B44">
        <w:rPr>
          <w:rFonts w:asciiTheme="minorHAnsi" w:eastAsia="SimSun" w:hAnsiTheme="minorHAnsi"/>
          <w:color w:val="000000"/>
          <w:sz w:val="24"/>
          <w:szCs w:val="24"/>
          <w:u w:val="single"/>
          <w:vertAlign w:val="superscript"/>
          <w:lang w:val="en-US" w:eastAsia="zh-CN"/>
        </w:rPr>
        <w:t>*</w:t>
      </w:r>
      <w:r w:rsidR="00736B13" w:rsidRPr="00DE0019">
        <w:rPr>
          <w:rFonts w:asciiTheme="minorHAnsi" w:eastAsia="SimSun" w:hAnsiTheme="minorHAnsi"/>
          <w:color w:val="000000"/>
          <w:sz w:val="24"/>
          <w:szCs w:val="24"/>
          <w:lang w:val="en-US" w:eastAsia="zh-CN"/>
        </w:rPr>
        <w:t xml:space="preserve">, </w:t>
      </w:r>
      <w:r w:rsidR="00751AD0" w:rsidRPr="002F7913">
        <w:rPr>
          <w:rFonts w:asciiTheme="minorHAnsi" w:eastAsia="SimSun" w:hAnsiTheme="minorHAnsi" w:cstheme="minorHAnsi"/>
          <w:color w:val="000000"/>
          <w:sz w:val="24"/>
          <w:szCs w:val="24"/>
          <w:lang w:val="en-US" w:eastAsia="zh-CN"/>
        </w:rPr>
        <w:t>Martina Micheletti</w:t>
      </w:r>
      <w:r w:rsidR="00627B44">
        <w:rPr>
          <w:rFonts w:asciiTheme="minorHAnsi" w:eastAsia="SimSun" w:hAnsiTheme="minorHAnsi" w:cstheme="minorHAnsi"/>
          <w:color w:val="000000"/>
          <w:sz w:val="24"/>
          <w:szCs w:val="24"/>
          <w:vertAlign w:val="superscript"/>
          <w:lang w:val="en-US" w:eastAsia="zh-CN"/>
        </w:rPr>
        <w:t>1</w:t>
      </w:r>
      <w:r w:rsidR="00C57A7E">
        <w:rPr>
          <w:rFonts w:eastAsia="SimSun"/>
          <w:color w:val="000000"/>
          <w:lang w:val="en-US" w:eastAsia="zh-CN"/>
        </w:rPr>
        <w:t>,</w:t>
      </w:r>
      <w:r w:rsidR="00C57A7E" w:rsidRPr="00C57A7E">
        <w:rPr>
          <w:rFonts w:asciiTheme="minorHAnsi" w:eastAsia="SimSun" w:hAnsiTheme="minorHAnsi"/>
          <w:color w:val="000000"/>
          <w:sz w:val="24"/>
          <w:szCs w:val="24"/>
          <w:lang w:val="en-US" w:eastAsia="zh-CN"/>
        </w:rPr>
        <w:t xml:space="preserve"> </w:t>
      </w:r>
      <w:r w:rsidR="00C57A7E">
        <w:rPr>
          <w:rFonts w:asciiTheme="minorHAnsi" w:eastAsia="SimSun" w:hAnsiTheme="minorHAnsi"/>
          <w:color w:val="000000"/>
          <w:sz w:val="24"/>
          <w:szCs w:val="24"/>
          <w:lang w:val="en-US" w:eastAsia="zh-CN"/>
        </w:rPr>
        <w:t>Alexandros Kiparissides</w:t>
      </w:r>
      <w:r w:rsidR="00627B44" w:rsidRPr="00627B44">
        <w:rPr>
          <w:rFonts w:asciiTheme="minorHAnsi" w:eastAsia="SimSun" w:hAnsiTheme="minorHAnsi"/>
          <w:color w:val="000000"/>
          <w:sz w:val="24"/>
          <w:szCs w:val="24"/>
          <w:vertAlign w:val="superscript"/>
          <w:lang w:val="en-US" w:eastAsia="zh-CN"/>
        </w:rPr>
        <w:t>1</w:t>
      </w:r>
    </w:p>
    <w:p w:rsidR="00704BDF" w:rsidRPr="00A15531" w:rsidRDefault="00704BDF" w:rsidP="00A15531">
      <w:pPr>
        <w:snapToGrid w:val="0"/>
        <w:spacing w:after="120"/>
        <w:jc w:val="center"/>
        <w:rPr>
          <w:rFonts w:eastAsia="SimSun"/>
          <w:color w:val="000000"/>
          <w:lang w:val="en-US" w:eastAsia="zh-CN"/>
        </w:rPr>
      </w:pPr>
      <w:r w:rsidRPr="00627B44">
        <w:rPr>
          <w:rFonts w:asciiTheme="minorHAnsi" w:eastAsia="MS PGothic" w:hAnsiTheme="minorHAnsi" w:cstheme="minorHAnsi"/>
          <w:i/>
          <w:iCs/>
          <w:color w:val="000000"/>
          <w:sz w:val="20"/>
          <w:lang w:val="en-US"/>
        </w:rPr>
        <w:t>1</w:t>
      </w:r>
      <w:r w:rsidR="00627B44">
        <w:rPr>
          <w:rFonts w:eastAsia="MS PGothic"/>
          <w:i/>
          <w:iCs/>
          <w:color w:val="000000"/>
          <w:sz w:val="20"/>
          <w:lang w:val="en-US"/>
        </w:rPr>
        <w:t xml:space="preserve"> </w:t>
      </w:r>
      <w:r w:rsidR="00627B44" w:rsidRPr="00627B44">
        <w:rPr>
          <w:rFonts w:asciiTheme="minorHAnsi" w:eastAsia="MS PGothic" w:hAnsiTheme="minorHAnsi"/>
          <w:i/>
          <w:iCs/>
          <w:color w:val="000000"/>
          <w:sz w:val="20"/>
        </w:rPr>
        <w:t xml:space="preserve">University College London, Department of Biochemical Engineering, </w:t>
      </w:r>
      <w:r w:rsidR="00D01338">
        <w:rPr>
          <w:rFonts w:asciiTheme="minorHAnsi" w:eastAsia="MS PGothic" w:hAnsiTheme="minorHAnsi"/>
          <w:i/>
          <w:iCs/>
          <w:color w:val="000000"/>
          <w:sz w:val="20"/>
        </w:rPr>
        <w:br/>
      </w:r>
      <w:proofErr w:type="gramStart"/>
      <w:r w:rsidR="00627B44" w:rsidRPr="00627B44">
        <w:rPr>
          <w:rFonts w:asciiTheme="minorHAnsi" w:eastAsia="MS PGothic" w:hAnsiTheme="minorHAnsi"/>
          <w:i/>
          <w:iCs/>
          <w:color w:val="000000"/>
          <w:sz w:val="20"/>
        </w:rPr>
        <w:t>Torrington</w:t>
      </w:r>
      <w:proofErr w:type="gramEnd"/>
      <w:r w:rsidR="00627B44" w:rsidRPr="00627B44">
        <w:rPr>
          <w:rFonts w:asciiTheme="minorHAnsi" w:eastAsia="MS PGothic" w:hAnsiTheme="minorHAnsi"/>
          <w:i/>
          <w:iCs/>
          <w:color w:val="000000"/>
          <w:sz w:val="20"/>
        </w:rPr>
        <w:t xml:space="preserve"> Place, London, WC1E 7JE, UK</w:t>
      </w:r>
      <w:r w:rsidR="00D01338">
        <w:rPr>
          <w:rFonts w:asciiTheme="minorHAnsi" w:eastAsia="MS PGothic" w:hAnsiTheme="minorHAnsi"/>
          <w:i/>
          <w:iCs/>
          <w:color w:val="000000"/>
          <w:sz w:val="20"/>
        </w:rPr>
        <w:br/>
      </w: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A15531">
        <w:rPr>
          <w:rFonts w:asciiTheme="minorHAnsi" w:eastAsia="MS PGothic" w:hAnsiTheme="minorHAnsi"/>
          <w:bCs/>
          <w:i/>
          <w:iCs/>
          <w:sz w:val="20"/>
          <w:lang w:val="en-US"/>
        </w:rPr>
        <w:t>a.charalambidou@ucl.ac.uk</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D27549" w:rsidRPr="00D27549" w:rsidRDefault="00D27549" w:rsidP="00D27549">
      <w:pPr>
        <w:pStyle w:val="AbstractBody"/>
        <w:numPr>
          <w:ilvl w:val="0"/>
          <w:numId w:val="16"/>
        </w:numPr>
        <w:rPr>
          <w:rFonts w:asciiTheme="minorHAnsi" w:hAnsiTheme="minorHAnsi"/>
        </w:rPr>
      </w:pPr>
      <w:r w:rsidRPr="00D27549">
        <w:rPr>
          <w:rFonts w:asciiTheme="minorHAnsi" w:hAnsiTheme="minorHAnsi"/>
        </w:rPr>
        <w:t>Conduction of detailed single phase computational fluid dynamics (CFD) simulations in a 250 mL bioreactor</w:t>
      </w:r>
      <w:r>
        <w:rPr>
          <w:rFonts w:asciiTheme="minorHAnsi" w:hAnsiTheme="minorHAnsi"/>
        </w:rPr>
        <w:t>.</w:t>
      </w:r>
    </w:p>
    <w:p w:rsidR="00D27549" w:rsidRPr="001E5A8F" w:rsidRDefault="001E5A8F" w:rsidP="001E5A8F">
      <w:pPr>
        <w:pStyle w:val="AbstractBody"/>
        <w:numPr>
          <w:ilvl w:val="0"/>
          <w:numId w:val="16"/>
        </w:numPr>
        <w:rPr>
          <w:rFonts w:asciiTheme="minorHAnsi" w:hAnsiTheme="minorHAnsi"/>
        </w:rPr>
      </w:pPr>
      <w:r>
        <w:rPr>
          <w:rFonts w:asciiTheme="minorHAnsi" w:hAnsiTheme="minorHAnsi"/>
        </w:rPr>
        <w:t xml:space="preserve">Study of the impact of </w:t>
      </w:r>
      <w:r w:rsidR="00D27549" w:rsidRPr="001E5A8F">
        <w:rPr>
          <w:rFonts w:asciiTheme="minorHAnsi" w:hAnsiTheme="minorHAnsi"/>
        </w:rPr>
        <w:t xml:space="preserve">critical simulation parameters </w:t>
      </w:r>
      <w:r>
        <w:rPr>
          <w:rFonts w:asciiTheme="minorHAnsi" w:hAnsiTheme="minorHAnsi"/>
        </w:rPr>
        <w:t>on model output and accuracy</w:t>
      </w:r>
      <w:r w:rsidR="00D27549" w:rsidRPr="001E5A8F">
        <w:rPr>
          <w:rFonts w:asciiTheme="minorHAnsi" w:hAnsiTheme="minorHAnsi"/>
        </w:rPr>
        <w:t>.</w:t>
      </w:r>
    </w:p>
    <w:p w:rsidR="00704BDF" w:rsidRPr="00242311" w:rsidRDefault="001E5A8F" w:rsidP="00242311">
      <w:pPr>
        <w:pStyle w:val="AbstractBody"/>
        <w:numPr>
          <w:ilvl w:val="0"/>
          <w:numId w:val="16"/>
        </w:numPr>
        <w:spacing w:after="40"/>
        <w:ind w:left="1434" w:hanging="357"/>
        <w:rPr>
          <w:rFonts w:asciiTheme="minorHAnsi" w:hAnsiTheme="minorHAnsi"/>
        </w:rPr>
      </w:pPr>
      <w:r>
        <w:rPr>
          <w:rFonts w:asciiTheme="minorHAnsi" w:hAnsiTheme="minorHAnsi"/>
        </w:rPr>
        <w:t>E</w:t>
      </w:r>
      <w:r w:rsidR="00D27549" w:rsidRPr="00D27549">
        <w:rPr>
          <w:rFonts w:asciiTheme="minorHAnsi" w:hAnsiTheme="minorHAnsi"/>
        </w:rPr>
        <w:t xml:space="preserve">xperimental validation </w:t>
      </w:r>
      <w:r>
        <w:rPr>
          <w:rFonts w:asciiTheme="minorHAnsi" w:hAnsiTheme="minorHAnsi"/>
        </w:rPr>
        <w:t xml:space="preserve">of CFD simulation output </w:t>
      </w:r>
      <w:r w:rsidR="00D27549" w:rsidRPr="00D27549">
        <w:rPr>
          <w:rFonts w:asciiTheme="minorHAnsi" w:hAnsiTheme="minorHAnsi"/>
        </w:rPr>
        <w:t>via particle image velocimetry (PIV)</w:t>
      </w:r>
      <w:r>
        <w:rPr>
          <w:rFonts w:asciiTheme="minorHAnsi" w:hAnsiTheme="minorHAnsi"/>
        </w:rPr>
        <w:t xml:space="preserve"> measurements</w:t>
      </w:r>
      <w:r w:rsidR="00D27549" w:rsidRPr="00D27549">
        <w:rPr>
          <w:rFonts w:asciiTheme="minorHAnsi" w:hAnsiTheme="minorHAnsi"/>
        </w:rPr>
        <w:t>.</w:t>
      </w: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9440A5" w:rsidRDefault="00241E6F" w:rsidP="00C867B1">
      <w:pPr>
        <w:snapToGrid w:val="0"/>
        <w:spacing w:after="120"/>
        <w:rPr>
          <w:rFonts w:asciiTheme="minorHAnsi" w:hAnsiTheme="minorHAnsi" w:cstheme="minorHAnsi"/>
          <w:sz w:val="22"/>
          <w:szCs w:val="22"/>
        </w:rPr>
      </w:pPr>
      <w:r>
        <w:rPr>
          <w:rFonts w:asciiTheme="minorHAnsi" w:eastAsia="MS PGothic" w:hAnsiTheme="minorHAnsi"/>
          <w:color w:val="000000"/>
          <w:sz w:val="22"/>
          <w:szCs w:val="22"/>
          <w:lang w:val="en-US"/>
        </w:rPr>
        <w:t>The biopharmaceutical industry is in the forefront for the production of innovative drugs from mammalian cell cultures.</w:t>
      </w:r>
      <w:r w:rsidR="004D77AF">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Baffled or </w:t>
      </w:r>
      <w:proofErr w:type="spellStart"/>
      <w:r>
        <w:rPr>
          <w:rFonts w:asciiTheme="minorHAnsi" w:eastAsia="MS PGothic" w:hAnsiTheme="minorHAnsi"/>
          <w:color w:val="000000"/>
          <w:sz w:val="22"/>
          <w:szCs w:val="22"/>
          <w:lang w:val="en-US"/>
        </w:rPr>
        <w:t>unbaffled</w:t>
      </w:r>
      <w:proofErr w:type="spellEnd"/>
      <w:r>
        <w:rPr>
          <w:rFonts w:asciiTheme="minorHAnsi" w:eastAsia="MS PGothic" w:hAnsiTheme="minorHAnsi"/>
          <w:color w:val="000000"/>
          <w:sz w:val="22"/>
          <w:szCs w:val="22"/>
          <w:lang w:val="en-US"/>
        </w:rPr>
        <w:t xml:space="preserve"> stirred tank reactors (STRs) equipped with one or multiple impellers are most commonly used for the production of monoclonal antibodies </w:t>
      </w:r>
      <w:r w:rsidR="0067704B">
        <w:rPr>
          <w:rFonts w:asciiTheme="minorHAnsi" w:eastAsia="MS PGothic" w:hAnsiTheme="minorHAnsi"/>
          <w:color w:val="000000"/>
          <w:sz w:val="22"/>
          <w:szCs w:val="22"/>
          <w:lang w:val="en-US"/>
        </w:rPr>
        <w:t>(</w:t>
      </w:r>
      <w:proofErr w:type="spellStart"/>
      <w:r w:rsidR="0067704B">
        <w:rPr>
          <w:rFonts w:asciiTheme="minorHAnsi" w:eastAsia="MS PGothic" w:hAnsiTheme="minorHAnsi"/>
          <w:color w:val="000000"/>
          <w:sz w:val="22"/>
          <w:szCs w:val="22"/>
          <w:lang w:val="en-US"/>
        </w:rPr>
        <w:t>MAbs</w:t>
      </w:r>
      <w:proofErr w:type="spellEnd"/>
      <w:r w:rsidR="0067704B">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and recombinant proteins. Their flexibility arises from the ease to control several operating parameters such as impeller</w:t>
      </w:r>
      <w:r w:rsidR="004B3985">
        <w:rPr>
          <w:rFonts w:asciiTheme="minorHAnsi" w:eastAsia="MS PGothic" w:hAnsiTheme="minorHAnsi"/>
          <w:color w:val="000000"/>
          <w:sz w:val="22"/>
          <w:szCs w:val="22"/>
          <w:lang w:val="en-US"/>
        </w:rPr>
        <w:t xml:space="preserve"> speed and aeration techniques, which can improve homogeneity and </w:t>
      </w:r>
      <w:r w:rsidR="00FB6C8C">
        <w:rPr>
          <w:rFonts w:asciiTheme="minorHAnsi" w:eastAsia="MS PGothic" w:hAnsiTheme="minorHAnsi"/>
          <w:color w:val="000000"/>
          <w:sz w:val="22"/>
          <w:szCs w:val="22"/>
          <w:lang w:val="en-US"/>
        </w:rPr>
        <w:t xml:space="preserve">thus </w:t>
      </w:r>
      <w:r w:rsidR="004B3985">
        <w:rPr>
          <w:rFonts w:asciiTheme="minorHAnsi" w:eastAsia="MS PGothic" w:hAnsiTheme="minorHAnsi"/>
          <w:color w:val="000000"/>
          <w:sz w:val="22"/>
          <w:szCs w:val="22"/>
          <w:lang w:val="en-US"/>
        </w:rPr>
        <w:t xml:space="preserve">the transport processes in the interior of the vessel </w:t>
      </w:r>
      <w:r w:rsidR="004B3985">
        <w:rPr>
          <w:rFonts w:asciiTheme="minorHAnsi" w:eastAsia="MS PGothic" w:hAnsiTheme="minorHAnsi"/>
          <w:color w:val="000000"/>
          <w:sz w:val="22"/>
          <w:szCs w:val="22"/>
          <w:lang w:val="en-US"/>
        </w:rPr>
        <w:fldChar w:fldCharType="begin" w:fldLock="1"/>
      </w:r>
      <w:r w:rsidR="00BC1665">
        <w:rPr>
          <w:rFonts w:asciiTheme="minorHAnsi" w:eastAsia="MS PGothic" w:hAnsiTheme="minorHAnsi"/>
          <w:color w:val="000000"/>
          <w:sz w:val="22"/>
          <w:szCs w:val="22"/>
          <w:lang w:val="en-US"/>
        </w:rPr>
        <w:instrText>ADDIN CSL_CITATION { "citationItems" : [ { "id" : "ITEM-1", "itemData" : { "DOI" : "https://doi.org/10.1016/j.cherd.2013.03.005", "ISSN" : "0263-8762", "abstract" : "The mixing dynamics in a cylindrical shaken bioreactor are investigated by means of velocity and kinetic energy and mixing time measurements obtained with phase-resolved PIV and a dual pH indicator system, respectively. The objective of the work is to correlate the kinetic energy of the flow and the mixing number measured under different operating conditions. The results provide evidence that the onset of a laminar-turbulent flow transition occurs when the previously reported transition to out-of-phase flow takes place, and that the mixing number is highly dependent on the position of the feeding pipe. Insertion close to the vessel walls and thus outside the vortical structures present near the centre of the reactor can enhance mixing.", "author" : [ { "dropping-particle" : "", "family" : "Rodriguez", "given" : "G", "non-dropping-particle" : "", "parse-names" : false, "suffix" : "" }, { "dropping-particle" : "", "family" : "Weheliye", "given" : "W", "non-dropping-particle" : "", "parse-names" : false, "suffix" : "" }, { "dropping-particle" : "", "family" : "Anderlei", "given" : "T", "non-dropping-particle" : "", "parse-names" : false, "suffix" : "" }, { "dropping-particle" : "", "family" : "Micheletti", "given" : "M", "non-dropping-particle" : "", "parse-names" : false, "suffix" : "" }, { "dropping-particle" : "", "family" : "Yianneskis", "given" : "M", "non-dropping-particle" : "", "parse-names" : false, "suffix" : "" }, { "dropping-particle" : "", "family" : "Ducci", "given" : "A", "non-dropping-particle" : "", "parse-names" : false, "suffix" : "" } ], "container-title" : "Chemical Engineering Research and Design", "id" : "ITEM-1", "issue" : "11", "issued" : { "date-parts" : [ [ "2013" ] ] }, "note" : "Mixing", "page" : "2084-2097", "title" : "Mixing time and kinetic energy measurements in a shaken cylindrical bioreactor", "type" : "article-journal", "volume" : "91" }, "uris" : [ "http://www.mendeley.com/documents/?uuid=4e2ff383-f1b3-4b91-a92f-a5e3dda86b08" ] } ], "mendeley" : { "formattedCitation" : "(Rodriguez et al., 2013)", "plainTextFormattedCitation" : "(Rodriguez et al., 2013)", "previouslyFormattedCitation" : "(Rodriguez et al., 2013)" }, "properties" : { "noteIndex" : 0 }, "schema" : "https://github.com/citation-style-language/schema/raw/master/csl-citation.json" }</w:instrText>
      </w:r>
      <w:r w:rsidR="004B3985">
        <w:rPr>
          <w:rFonts w:asciiTheme="minorHAnsi" w:eastAsia="MS PGothic" w:hAnsiTheme="minorHAnsi"/>
          <w:color w:val="000000"/>
          <w:sz w:val="22"/>
          <w:szCs w:val="22"/>
          <w:lang w:val="en-US"/>
        </w:rPr>
        <w:fldChar w:fldCharType="separate"/>
      </w:r>
      <w:r w:rsidR="004B3985" w:rsidRPr="004B3985">
        <w:rPr>
          <w:rFonts w:asciiTheme="minorHAnsi" w:eastAsia="MS PGothic" w:hAnsiTheme="minorHAnsi"/>
          <w:noProof/>
          <w:color w:val="000000"/>
          <w:sz w:val="22"/>
          <w:szCs w:val="22"/>
          <w:lang w:val="en-US"/>
        </w:rPr>
        <w:t>(Rodriguez et al., 2013)</w:t>
      </w:r>
      <w:r w:rsidR="004B3985">
        <w:rPr>
          <w:rFonts w:asciiTheme="minorHAnsi" w:eastAsia="MS PGothic" w:hAnsiTheme="minorHAnsi"/>
          <w:color w:val="000000"/>
          <w:sz w:val="22"/>
          <w:szCs w:val="22"/>
          <w:lang w:val="en-US"/>
        </w:rPr>
        <w:fldChar w:fldCharType="end"/>
      </w:r>
      <w:r w:rsidR="004B3985">
        <w:rPr>
          <w:rFonts w:asciiTheme="minorHAnsi" w:eastAsia="MS PGothic" w:hAnsiTheme="minorHAnsi"/>
          <w:color w:val="000000"/>
          <w:sz w:val="22"/>
          <w:szCs w:val="22"/>
          <w:lang w:val="en-US"/>
        </w:rPr>
        <w:t xml:space="preserve">. </w:t>
      </w:r>
      <w:r w:rsidR="000560BF">
        <w:rPr>
          <w:rFonts w:asciiTheme="minorHAnsi" w:eastAsia="MS PGothic" w:hAnsiTheme="minorHAnsi"/>
          <w:color w:val="000000"/>
          <w:sz w:val="22"/>
          <w:szCs w:val="22"/>
          <w:lang w:val="en-US"/>
        </w:rPr>
        <w:t>Nevertheless</w:t>
      </w:r>
      <w:r w:rsidR="008E4B47">
        <w:rPr>
          <w:rFonts w:asciiTheme="minorHAnsi" w:eastAsia="MS PGothic" w:hAnsiTheme="minorHAnsi"/>
          <w:color w:val="000000"/>
          <w:sz w:val="22"/>
          <w:szCs w:val="22"/>
          <w:lang w:val="en-US"/>
        </w:rPr>
        <w:t>,</w:t>
      </w:r>
      <w:r w:rsidR="00BC1665">
        <w:rPr>
          <w:rFonts w:asciiTheme="minorHAnsi" w:eastAsia="MS PGothic" w:hAnsiTheme="minorHAnsi"/>
          <w:color w:val="000000"/>
          <w:sz w:val="22"/>
          <w:szCs w:val="22"/>
          <w:lang w:val="en-US"/>
        </w:rPr>
        <w:t xml:space="preserve"> </w:t>
      </w:r>
      <w:r w:rsidR="00BC1665">
        <w:rPr>
          <w:rFonts w:asciiTheme="minorHAnsi" w:hAnsiTheme="minorHAnsi" w:cstheme="minorHAnsi"/>
          <w:sz w:val="22"/>
          <w:szCs w:val="22"/>
        </w:rPr>
        <w:t>the large number of operating parameters makes the selection of an optimal</w:t>
      </w:r>
      <w:r w:rsidR="00FB6C8C">
        <w:rPr>
          <w:rFonts w:asciiTheme="minorHAnsi" w:hAnsiTheme="minorHAnsi" w:cstheme="minorHAnsi"/>
          <w:sz w:val="22"/>
          <w:szCs w:val="22"/>
        </w:rPr>
        <w:t xml:space="preserve"> configuration a laborious task and i</w:t>
      </w:r>
      <w:r w:rsidR="00BC1665">
        <w:rPr>
          <w:rFonts w:asciiTheme="minorHAnsi" w:hAnsiTheme="minorHAnsi" w:cstheme="minorHAnsi"/>
          <w:sz w:val="22"/>
          <w:szCs w:val="22"/>
        </w:rPr>
        <w:t xml:space="preserve">ts complexity arises from the lack of detailed </w:t>
      </w:r>
      <w:r w:rsidR="00FB6C8C">
        <w:rPr>
          <w:rFonts w:asciiTheme="minorHAnsi" w:hAnsiTheme="minorHAnsi" w:cstheme="minorHAnsi"/>
          <w:sz w:val="22"/>
          <w:szCs w:val="22"/>
        </w:rPr>
        <w:t>understanding</w:t>
      </w:r>
      <w:r w:rsidR="00BC1665">
        <w:rPr>
          <w:rFonts w:asciiTheme="minorHAnsi" w:hAnsiTheme="minorHAnsi" w:cstheme="minorHAnsi"/>
          <w:sz w:val="22"/>
          <w:szCs w:val="22"/>
        </w:rPr>
        <w:t xml:space="preserve"> of the underlying physics within a stirred vessel </w:t>
      </w:r>
      <w:r w:rsidR="00BC1665">
        <w:rPr>
          <w:rFonts w:asciiTheme="minorHAnsi" w:hAnsiTheme="minorHAnsi" w:cstheme="minorHAnsi"/>
          <w:sz w:val="22"/>
          <w:szCs w:val="22"/>
        </w:rPr>
        <w:fldChar w:fldCharType="begin" w:fldLock="1"/>
      </w:r>
      <w:r w:rsidR="001F2163">
        <w:rPr>
          <w:rFonts w:asciiTheme="minorHAnsi" w:hAnsiTheme="minorHAnsi" w:cstheme="minorHAnsi"/>
          <w:sz w:val="22"/>
          <w:szCs w:val="22"/>
        </w:rPr>
        <w:instrText>ADDIN CSL_CITATION { "citationItems" : [ { "id" : "ITEM-1", "itemData" : { "DOI" : "10.1002/cjce.20446", "abstract" : "Abstract A critical review of the published literature regarding the computational fluid dynamics (CFD) modelling of single-phase turbulent flow in stirred tank reactors is presented. In this part of review, CFD simulations of radial flow impellers (mainly disc turbine (DT)) in a fully baffled vessel operating in a turbulent regime have been presented. Simulated results obtained with different impeller modelling approaches (impeller boundary condition, multiple reference frame, computational snap shot and the sliding mesh approaches) and different turbulence models (standard k \u2212 \u03b5 model, RNG k \u2212 \u03b5 model, the Reynolds stress model (RSM) and large eddy simulation) have been compared with the in-house laser Doppler anemometry (LDA) experimental data. In addition, recently proposed modifications to the standard k \u2212 \u03b5 models were also evaluated. The model predictions (of all the mean velocities, turbulent kinetic energy and its dissipation rate) have been compared with the experimental measurements at various locations in the tank. A discussion is presented to highlight strengths and weaknesses of currently used CFD models. A preliminary analysis of sensitivity of modelling assumptions in the k \u2212 \u03b5 models and RSM has been carried out using LES database. The quantitative comparison of exact and modelled turbulence production, transport and dissipation terms has highlighted the reasons behind the partial success of various modifications of standard k \u2212 \u03b5 model as well as RSM. The volume integral of predicted energy dissipation rate is compared with the energy input rate. Based on these results, suggestions have been made for the future work in this area.", "author" : [ { "dropping-particle" : "", "family" : "Joshi", "given" : "Jyeshtharaj B", "non-dropping-particle" : "", "parse-names" : false, "suffix" : "" }, { "dropping-particle" : "", "family" : "Nere", "given" : "Nandkishor K", "non-dropping-particle" : "", "parse-names" : false, "suffix" : "" }, { "dropping-particle" : "V", "family" : "Rane", "given" : "Chinmay", "non-dropping-particle" : "", "parse-names" : false, "suffix" : "" }, { "dropping-particle" : "", "family" : "Murthy", "given" : "B N", "non-dropping-particle" : "", "parse-names" : false, "suffix" : "" }, { "dropping-particle" : "", "family" : "Mathpati", "given" : "Channamallikarjun S", "non-dropping-particle" : "", "parse-names" : false, "suffix" : "" }, { "dropping-particle" : "", "family" : "Patwardhan", "given" : "Ashwin W", "non-dropping-particle" : "", "parse-names" : false, "suffix" : "" }, { "dropping-particle" : "V", "family" : "Ranade", "given" : "Vivek", "non-dropping-particle" : "", "parse-names" : false, "suffix" : "" } ], "container-title" : "The Canadian Journal of Chemical Engineering", "id" : "ITEM-1", "issue" : "1", "issued" : { "date-parts" : [ [ "2011" ] ] }, "page" : "23-82", "title" : "CFD simulation of stirred tanks: Comparison of turbulence models. Part I: Radial flow impellers", "type" : "article-journal", "volume" : "89" }, "uris" : [ "http://www.mendeley.com/documents/?uuid=e0109293-164f-48cd-9ba7-ab24990d6d6e" ] } ], "mendeley" : { "formattedCitation" : "(Joshi et al., 2011)", "plainTextFormattedCitation" : "(Joshi et al., 2011)", "previouslyFormattedCitation" : "(Joshi et al., 2011)" }, "properties" : { "noteIndex" : 0 }, "schema" : "https://github.com/citation-style-language/schema/raw/master/csl-citation.json" }</w:instrText>
      </w:r>
      <w:r w:rsidR="00BC1665">
        <w:rPr>
          <w:rFonts w:asciiTheme="minorHAnsi" w:hAnsiTheme="minorHAnsi" w:cstheme="minorHAnsi"/>
          <w:sz w:val="22"/>
          <w:szCs w:val="22"/>
        </w:rPr>
        <w:fldChar w:fldCharType="separate"/>
      </w:r>
      <w:r w:rsidR="00BC1665" w:rsidRPr="00BC1665">
        <w:rPr>
          <w:rFonts w:asciiTheme="minorHAnsi" w:hAnsiTheme="minorHAnsi" w:cstheme="minorHAnsi"/>
          <w:noProof/>
          <w:sz w:val="22"/>
          <w:szCs w:val="22"/>
        </w:rPr>
        <w:t>(Joshi et al., 2011)</w:t>
      </w:r>
      <w:r w:rsidR="00BC1665">
        <w:rPr>
          <w:rFonts w:asciiTheme="minorHAnsi" w:hAnsiTheme="minorHAnsi" w:cstheme="minorHAnsi"/>
          <w:sz w:val="22"/>
          <w:szCs w:val="22"/>
        </w:rPr>
        <w:fldChar w:fldCharType="end"/>
      </w:r>
      <w:r w:rsidR="00BC1665">
        <w:rPr>
          <w:rFonts w:asciiTheme="minorHAnsi" w:hAnsiTheme="minorHAnsi" w:cstheme="minorHAnsi"/>
          <w:sz w:val="22"/>
          <w:szCs w:val="22"/>
        </w:rPr>
        <w:t xml:space="preserve">. Experimental and computational fluid dynamics are widely recognised tools that contribute in </w:t>
      </w:r>
      <w:r w:rsidR="001E5A8F">
        <w:rPr>
          <w:rFonts w:asciiTheme="minorHAnsi" w:hAnsiTheme="minorHAnsi" w:cstheme="minorHAnsi"/>
          <w:sz w:val="22"/>
          <w:szCs w:val="22"/>
        </w:rPr>
        <w:t xml:space="preserve">the </w:t>
      </w:r>
      <w:r w:rsidR="001F2163">
        <w:rPr>
          <w:rFonts w:asciiTheme="minorHAnsi" w:hAnsiTheme="minorHAnsi" w:cstheme="minorHAnsi"/>
          <w:sz w:val="22"/>
          <w:szCs w:val="22"/>
        </w:rPr>
        <w:t>prediction of</w:t>
      </w:r>
      <w:r w:rsidR="00BC1665">
        <w:rPr>
          <w:rFonts w:asciiTheme="minorHAnsi" w:hAnsiTheme="minorHAnsi" w:cstheme="minorHAnsi"/>
          <w:sz w:val="22"/>
          <w:szCs w:val="22"/>
        </w:rPr>
        <w:t xml:space="preserve"> flow mechanics in STRs </w:t>
      </w:r>
      <w:r w:rsidR="0067704B">
        <w:rPr>
          <w:rFonts w:asciiTheme="minorHAnsi" w:hAnsiTheme="minorHAnsi" w:cstheme="minorHAnsi"/>
          <w:sz w:val="22"/>
          <w:szCs w:val="22"/>
        </w:rPr>
        <w:t>and</w:t>
      </w:r>
      <w:r w:rsidR="001E5A8F">
        <w:rPr>
          <w:rFonts w:asciiTheme="minorHAnsi" w:hAnsiTheme="minorHAnsi" w:cstheme="minorHAnsi"/>
          <w:sz w:val="22"/>
          <w:szCs w:val="22"/>
        </w:rPr>
        <w:t xml:space="preserve"> </w:t>
      </w:r>
      <w:r w:rsidR="001F2163">
        <w:rPr>
          <w:rFonts w:asciiTheme="minorHAnsi" w:hAnsiTheme="minorHAnsi" w:cstheme="minorHAnsi"/>
          <w:sz w:val="22"/>
          <w:szCs w:val="22"/>
        </w:rPr>
        <w:t>estimation of turbulence associated quantities such as, microeddy formation, energy dissipation rate</w:t>
      </w:r>
      <w:r w:rsidR="0071556F">
        <w:rPr>
          <w:rFonts w:asciiTheme="minorHAnsi" w:hAnsiTheme="minorHAnsi" w:cstheme="minorHAnsi"/>
          <w:sz w:val="22"/>
          <w:szCs w:val="22"/>
        </w:rPr>
        <w:t xml:space="preserve"> (EDR)</w:t>
      </w:r>
      <w:r w:rsidR="001F2163">
        <w:rPr>
          <w:rFonts w:asciiTheme="minorHAnsi" w:hAnsiTheme="minorHAnsi" w:cstheme="minorHAnsi"/>
          <w:sz w:val="22"/>
          <w:szCs w:val="22"/>
        </w:rPr>
        <w:t xml:space="preserve"> and turbulence kinetic energy</w:t>
      </w:r>
      <w:r w:rsidR="0071556F">
        <w:rPr>
          <w:rFonts w:asciiTheme="minorHAnsi" w:hAnsiTheme="minorHAnsi" w:cstheme="minorHAnsi"/>
          <w:sz w:val="22"/>
          <w:szCs w:val="22"/>
        </w:rPr>
        <w:t xml:space="preserve"> (TKE)</w:t>
      </w:r>
      <w:r w:rsidR="001F2163">
        <w:rPr>
          <w:rFonts w:asciiTheme="minorHAnsi" w:hAnsiTheme="minorHAnsi" w:cstheme="minorHAnsi"/>
          <w:sz w:val="22"/>
          <w:szCs w:val="22"/>
        </w:rPr>
        <w:t xml:space="preserve"> which </w:t>
      </w:r>
      <w:r w:rsidR="000C2A05">
        <w:rPr>
          <w:rFonts w:asciiTheme="minorHAnsi" w:hAnsiTheme="minorHAnsi" w:cstheme="minorHAnsi"/>
          <w:sz w:val="22"/>
          <w:szCs w:val="22"/>
        </w:rPr>
        <w:t xml:space="preserve">might </w:t>
      </w:r>
      <w:r w:rsidR="001F2163">
        <w:rPr>
          <w:rFonts w:asciiTheme="minorHAnsi" w:hAnsiTheme="minorHAnsi" w:cstheme="minorHAnsi"/>
          <w:sz w:val="22"/>
          <w:szCs w:val="22"/>
        </w:rPr>
        <w:t>eventually affect cell morpholo</w:t>
      </w:r>
      <w:r w:rsidR="00FB6C8C">
        <w:rPr>
          <w:rFonts w:asciiTheme="minorHAnsi" w:hAnsiTheme="minorHAnsi" w:cstheme="minorHAnsi"/>
          <w:sz w:val="22"/>
          <w:szCs w:val="22"/>
        </w:rPr>
        <w:t xml:space="preserve">gy, viability and productivity </w:t>
      </w:r>
      <w:r w:rsidR="001F2163">
        <w:rPr>
          <w:rFonts w:asciiTheme="minorHAnsi" w:hAnsiTheme="minorHAnsi" w:cstheme="minorHAnsi"/>
          <w:sz w:val="22"/>
          <w:szCs w:val="22"/>
        </w:rPr>
        <w:fldChar w:fldCharType="begin" w:fldLock="1"/>
      </w:r>
      <w:r w:rsidR="003A5878">
        <w:rPr>
          <w:rFonts w:asciiTheme="minorHAnsi" w:hAnsiTheme="minorHAnsi" w:cstheme="minorHAnsi"/>
          <w:sz w:val="22"/>
          <w:szCs w:val="22"/>
        </w:rPr>
        <w:instrText>ADDIN CSL_CITATION { "citationItems" : [ { "id" : "ITEM-1", "itemData" : { "DOI" : "10.1002/aic.15442", "ISSN" : "1547-5905", "abstract" : "Industrialization of mammalian cell culture has been achieved by integrating knowledge from several applying core concepts of chemical engineering, cellular and molecular biology, and biochemistry. Modeling has been applied to biological and physical processes to gain additional insights into such processes. This article covers modeling of the bioreactor and metabolic processes as it applies to bioprocess. Hydrodynamics of a bioreactor is briefly described while additional focus is given to gas-liquid mass transfer. Biological modeling is presented in the order of increasing complexity. First steady state models are presented followed by dynamic models, cybernetic models, and finally bioreactor integrated models. The closing discussion summarizes challenges of implementation of model-based approaches in the biopharmaceutical industry. \u00a9 2016 American Institute of Chemical Engineers AIChE J, 63: 398\u2013408, 2017", "author" : [ { "dropping-particle" : "", "family" : "Farzan", "given" : "Parham", "non-dropping-particle" : "", "parse-names" : false, "suffix" : "" }, { "dropping-particle" : "", "family" : "Mistry", "given" : "Biren", "non-dropping-particle" : "", "parse-names" : false, "suffix" : "" }, { "dropping-particle" : "", "family" : "Ierapetritou", "given" : "Marianthi G", "non-dropping-particle" : "", "parse-names" : false, "suffix" : "" } ], "container-title" : "AIChE Journal", "id" : "ITEM-1", "issue" : "2", "issued" : { "date-parts" : [ [ "2017" ] ] }, "page" : "398-408", "publisher" : "Wiley Online Library", "title" : "Review of the important challenges and opportunities related to modeling of mammalian cell bioreactors", "type" : "article-journal", "volume" : "63" }, "uris" : [ "http://www.mendeley.com/documents/?uuid=1a721b6b-8456-4e1d-8fb2-d54e030d1445" ] }, { "id" : "ITEM-2", "itemData" : { "DOI" : "10.1002/aic.14238", "ISSN" : "1547-5905", "abstract" : "Lab-scale (70 L) and industrial scale (70 m3) aerated fermenters are simulated using a commercial computational fluid dynamics code. The model combines an Euler-Euler approach for the two-phase flow, a population balance model for biological adaptation to concentration gradients, and a kinetic model for biological reactions. Scale-up at constant volumetric mass transfer coefficient is performed, leading to concentration gradients at the large scale. The results show that for a given concentration field and a given circulation time tc, the population (physiological) state depends on the characteristic time of biological adaptation Ta. The population specific growth rate (Ta\u226btc) is found independent of the spatial location and closely related to the volume average concentration. Oppositely, the population specific uptake rate (Ta\u223ctc) is spatially heterogeneous. The resulting local disequilibria between the uptake rate and the growth rate provide an explanation for the decreased performances of poorly macromixed industrial bioreactors. \u00a9 2013 American Institute of Chemical Engineers AIChE J, 60: 27\u201340, 2014", "author" : [ { "dropping-particle" : "", "family" : "Morchain", "given" : "J\u00e9r\u00f4me", "non-dropping-particle" : "", "parse-names" : false, "suffix" : "" }, { "dropping-particle" : "", "family" : "Gabelle", "given" : "Jean\u2010Christophe", "non-dropping-particle" : "", "parse-names" : false, "suffix" : "" }, { "dropping-particle" : "", "family" : "Cockx", "given" : "Arnaud", "non-dropping-particle" : "", "parse-names" : false, "suffix" : "" } ], "container-title" : "AIChE Journal", "id" : "ITEM-2", "issue" : "1", "issued" : { "date-parts" : [ [ "2014" ] ] }, "page" : "27-40", "publisher" : "Wiley Online Library", "title" : "A coupled population balance model and CFD approach for the simulation of mixing issues in lab\u2010scale and industrial bioreactors", "type" : "article-journal", "volume" : "60" }, "uris" : [ "http://www.mendeley.com/documents/?uuid=2b214cd8-113f-4f44-9beb-5af7a457d159" ] } ], "mendeley" : { "formattedCitation" : "(Farzan, Mistry, &amp; Ierapetritou, 2017; Morchain, Gabelle, &amp; Cockx, 2014)", "plainTextFormattedCitation" : "(Farzan, Mistry, &amp; Ierapetritou, 2017; Morchain, Gabelle, &amp; Cockx, 2014)", "previouslyFormattedCitation" : "(Farzan, Mistry, &amp; Ierapetritou, 2017; Morchain et al., 2014)" }, "properties" : { "noteIndex" : 0 }, "schema" : "https://github.com/citation-style-language/schema/raw/master/csl-citation.json" }</w:instrText>
      </w:r>
      <w:r w:rsidR="001F2163">
        <w:rPr>
          <w:rFonts w:asciiTheme="minorHAnsi" w:hAnsiTheme="minorHAnsi" w:cstheme="minorHAnsi"/>
          <w:sz w:val="22"/>
          <w:szCs w:val="22"/>
        </w:rPr>
        <w:fldChar w:fldCharType="separate"/>
      </w:r>
      <w:r w:rsidR="003A5878" w:rsidRPr="003A5878">
        <w:rPr>
          <w:rFonts w:asciiTheme="minorHAnsi" w:hAnsiTheme="minorHAnsi" w:cstheme="minorHAnsi"/>
          <w:noProof/>
          <w:sz w:val="22"/>
          <w:szCs w:val="22"/>
        </w:rPr>
        <w:t>(Farzan, Mistry, &amp; Ierapetritou, 2017; Morchain, Gabelle, &amp; Cockx, 2014)</w:t>
      </w:r>
      <w:r w:rsidR="001F2163">
        <w:rPr>
          <w:rFonts w:asciiTheme="minorHAnsi" w:hAnsiTheme="minorHAnsi" w:cstheme="minorHAnsi"/>
          <w:sz w:val="22"/>
          <w:szCs w:val="22"/>
        </w:rPr>
        <w:fldChar w:fldCharType="end"/>
      </w:r>
      <w:r w:rsidR="001F2163">
        <w:rPr>
          <w:rFonts w:asciiTheme="minorHAnsi" w:hAnsiTheme="minorHAnsi" w:cstheme="minorHAnsi"/>
          <w:sz w:val="22"/>
          <w:szCs w:val="22"/>
        </w:rPr>
        <w:t xml:space="preserve">. </w:t>
      </w:r>
      <w:r w:rsidR="00477AB7">
        <w:rPr>
          <w:rFonts w:asciiTheme="minorHAnsi" w:eastAsia="SimSun" w:hAnsiTheme="minorHAnsi"/>
          <w:sz w:val="22"/>
          <w:szCs w:val="22"/>
          <w:lang w:eastAsia="zh-CN"/>
        </w:rPr>
        <w:t xml:space="preserve">However, although many attempts have been made to investigate the flow dynamics in STRs, a well-established and experimentally validated model for the meticulous description of </w:t>
      </w:r>
      <w:r w:rsidR="0077795B">
        <w:rPr>
          <w:rFonts w:asciiTheme="minorHAnsi" w:eastAsia="SimSun" w:hAnsiTheme="minorHAnsi"/>
          <w:sz w:val="22"/>
          <w:szCs w:val="22"/>
          <w:lang w:eastAsia="zh-CN"/>
        </w:rPr>
        <w:t>critical hydrodynamic parameters</w:t>
      </w:r>
      <w:r w:rsidR="00477AB7">
        <w:rPr>
          <w:rFonts w:asciiTheme="minorHAnsi" w:eastAsia="SimSun" w:hAnsiTheme="minorHAnsi"/>
          <w:sz w:val="22"/>
          <w:szCs w:val="22"/>
          <w:lang w:eastAsia="zh-CN"/>
        </w:rPr>
        <w:t xml:space="preserve"> in STRs does not exist.</w:t>
      </w:r>
      <w:r w:rsidR="001F2163">
        <w:rPr>
          <w:rFonts w:asciiTheme="minorHAnsi" w:hAnsiTheme="minorHAnsi" w:cstheme="minorHAnsi"/>
          <w:sz w:val="22"/>
          <w:szCs w:val="22"/>
        </w:rPr>
        <w:t xml:space="preserve"> </w:t>
      </w:r>
      <w:r w:rsidR="008E4B47">
        <w:rPr>
          <w:rFonts w:asciiTheme="minorHAnsi" w:hAnsiTheme="minorHAnsi" w:cstheme="minorHAnsi"/>
          <w:sz w:val="22"/>
          <w:szCs w:val="22"/>
        </w:rPr>
        <w:t>I</w:t>
      </w:r>
      <w:r w:rsidR="009B349C">
        <w:rPr>
          <w:rFonts w:asciiTheme="minorHAnsi" w:hAnsiTheme="minorHAnsi" w:cstheme="minorHAnsi"/>
          <w:sz w:val="22"/>
          <w:szCs w:val="22"/>
        </w:rPr>
        <w:t xml:space="preserve">n </w:t>
      </w:r>
      <w:r w:rsidR="008E4B47">
        <w:rPr>
          <w:rFonts w:asciiTheme="minorHAnsi" w:hAnsiTheme="minorHAnsi" w:cstheme="minorHAnsi"/>
          <w:sz w:val="22"/>
          <w:szCs w:val="22"/>
        </w:rPr>
        <w:t>this</w:t>
      </w:r>
      <w:r w:rsidR="009B349C">
        <w:rPr>
          <w:rFonts w:asciiTheme="minorHAnsi" w:hAnsiTheme="minorHAnsi" w:cstheme="minorHAnsi"/>
          <w:sz w:val="22"/>
          <w:szCs w:val="22"/>
        </w:rPr>
        <w:t xml:space="preserve"> study </w:t>
      </w:r>
      <w:r w:rsidR="008E4B47">
        <w:rPr>
          <w:rFonts w:asciiTheme="minorHAnsi" w:hAnsiTheme="minorHAnsi" w:cstheme="minorHAnsi"/>
          <w:sz w:val="22"/>
          <w:szCs w:val="22"/>
        </w:rPr>
        <w:t xml:space="preserve">we follow a systematic approach </w:t>
      </w:r>
      <w:r w:rsidR="00A47929">
        <w:rPr>
          <w:rFonts w:asciiTheme="minorHAnsi" w:hAnsiTheme="minorHAnsi" w:cstheme="minorHAnsi"/>
          <w:sz w:val="22"/>
          <w:szCs w:val="22"/>
        </w:rPr>
        <w:t xml:space="preserve">to </w:t>
      </w:r>
      <w:r w:rsidR="009B349C">
        <w:rPr>
          <w:rFonts w:asciiTheme="minorHAnsi" w:hAnsiTheme="minorHAnsi" w:cstheme="minorHAnsi"/>
          <w:sz w:val="22"/>
          <w:szCs w:val="22"/>
        </w:rPr>
        <w:t>establish</w:t>
      </w:r>
      <w:r w:rsidR="00A47929">
        <w:rPr>
          <w:rFonts w:asciiTheme="minorHAnsi" w:hAnsiTheme="minorHAnsi" w:cstheme="minorHAnsi"/>
          <w:sz w:val="22"/>
          <w:szCs w:val="22"/>
        </w:rPr>
        <w:t xml:space="preserve"> a </w:t>
      </w:r>
      <w:r w:rsidR="009B349C">
        <w:rPr>
          <w:rFonts w:asciiTheme="minorHAnsi" w:hAnsiTheme="minorHAnsi" w:cstheme="minorHAnsi"/>
          <w:sz w:val="22"/>
          <w:szCs w:val="22"/>
        </w:rPr>
        <w:t>robust</w:t>
      </w:r>
      <w:r w:rsidR="00731470">
        <w:rPr>
          <w:rFonts w:asciiTheme="minorHAnsi" w:hAnsiTheme="minorHAnsi" w:cstheme="minorHAnsi"/>
          <w:sz w:val="22"/>
          <w:szCs w:val="22"/>
        </w:rPr>
        <w:t xml:space="preserve"> and experimentally validated</w:t>
      </w:r>
      <w:r w:rsidR="00A47929">
        <w:rPr>
          <w:rFonts w:asciiTheme="minorHAnsi" w:hAnsiTheme="minorHAnsi" w:cstheme="minorHAnsi"/>
          <w:sz w:val="22"/>
          <w:szCs w:val="22"/>
        </w:rPr>
        <w:t xml:space="preserve"> CFD model based on a</w:t>
      </w:r>
      <w:r w:rsidR="009102A7">
        <w:rPr>
          <w:rFonts w:asciiTheme="minorHAnsi" w:hAnsiTheme="minorHAnsi" w:cstheme="minorHAnsi"/>
          <w:sz w:val="22"/>
          <w:szCs w:val="22"/>
        </w:rPr>
        <w:t xml:space="preserve"> 250 mL</w:t>
      </w:r>
      <w:r w:rsidR="00A47929">
        <w:rPr>
          <w:rFonts w:asciiTheme="minorHAnsi" w:hAnsiTheme="minorHAnsi" w:cstheme="minorHAnsi"/>
          <w:sz w:val="22"/>
          <w:szCs w:val="22"/>
        </w:rPr>
        <w:t xml:space="preserve"> STR</w:t>
      </w:r>
      <w:r w:rsidR="00E27B93">
        <w:rPr>
          <w:rFonts w:asciiTheme="minorHAnsi" w:hAnsiTheme="minorHAnsi" w:cstheme="minorHAnsi"/>
          <w:sz w:val="22"/>
          <w:szCs w:val="22"/>
        </w:rPr>
        <w:t xml:space="preserve"> configuration</w:t>
      </w:r>
      <w:r w:rsidR="00A47929">
        <w:rPr>
          <w:rFonts w:asciiTheme="minorHAnsi" w:hAnsiTheme="minorHAnsi" w:cstheme="minorHAnsi"/>
          <w:sz w:val="22"/>
          <w:szCs w:val="22"/>
        </w:rPr>
        <w:t xml:space="preserve"> </w:t>
      </w:r>
      <w:r w:rsidR="009B7F1D">
        <w:rPr>
          <w:rFonts w:asciiTheme="minorHAnsi" w:hAnsiTheme="minorHAnsi" w:cstheme="minorHAnsi"/>
          <w:sz w:val="22"/>
          <w:szCs w:val="22"/>
        </w:rPr>
        <w:t>with one Rushton turbine</w:t>
      </w:r>
      <w:r w:rsidR="00A47929">
        <w:rPr>
          <w:rFonts w:asciiTheme="minorHAnsi" w:hAnsiTheme="minorHAnsi" w:cstheme="minorHAnsi"/>
          <w:sz w:val="22"/>
          <w:szCs w:val="22"/>
        </w:rPr>
        <w:t>, to</w:t>
      </w:r>
      <w:r w:rsidR="00FB6C8C">
        <w:rPr>
          <w:rFonts w:asciiTheme="minorHAnsi" w:hAnsiTheme="minorHAnsi" w:cstheme="minorHAnsi"/>
          <w:sz w:val="22"/>
          <w:szCs w:val="22"/>
        </w:rPr>
        <w:t xml:space="preserve"> assess</w:t>
      </w:r>
      <w:r w:rsidR="00A47929">
        <w:rPr>
          <w:rFonts w:asciiTheme="minorHAnsi" w:hAnsiTheme="minorHAnsi" w:cstheme="minorHAnsi"/>
          <w:sz w:val="22"/>
          <w:szCs w:val="22"/>
        </w:rPr>
        <w:t xml:space="preserve"> </w:t>
      </w:r>
      <w:r w:rsidR="00FB6C8C">
        <w:rPr>
          <w:rFonts w:asciiTheme="minorHAnsi" w:hAnsiTheme="minorHAnsi" w:cstheme="minorHAnsi"/>
          <w:sz w:val="22"/>
          <w:szCs w:val="22"/>
        </w:rPr>
        <w:t>various</w:t>
      </w:r>
      <w:r w:rsidR="00A47929">
        <w:rPr>
          <w:rFonts w:asciiTheme="minorHAnsi" w:hAnsiTheme="minorHAnsi" w:cstheme="minorHAnsi"/>
          <w:sz w:val="22"/>
          <w:szCs w:val="22"/>
        </w:rPr>
        <w:t xml:space="preserve"> turbulent models</w:t>
      </w:r>
      <w:r w:rsidR="009440A5">
        <w:rPr>
          <w:rFonts w:asciiTheme="minorHAnsi" w:hAnsiTheme="minorHAnsi" w:cstheme="minorHAnsi"/>
          <w:sz w:val="22"/>
          <w:szCs w:val="22"/>
        </w:rPr>
        <w:t xml:space="preserve"> and mesh structures</w:t>
      </w:r>
      <w:r w:rsidR="009102A7">
        <w:rPr>
          <w:rFonts w:asciiTheme="minorHAnsi" w:hAnsiTheme="minorHAnsi" w:cstheme="minorHAnsi"/>
          <w:sz w:val="22"/>
          <w:szCs w:val="22"/>
        </w:rPr>
        <w:t xml:space="preserve"> as well as the effect of each o</w:t>
      </w:r>
      <w:r w:rsidR="00A47929">
        <w:rPr>
          <w:rFonts w:asciiTheme="minorHAnsi" w:hAnsiTheme="minorHAnsi" w:cstheme="minorHAnsi"/>
          <w:sz w:val="22"/>
          <w:szCs w:val="22"/>
        </w:rPr>
        <w:t xml:space="preserve">n the </w:t>
      </w:r>
      <w:r w:rsidR="00477AB7">
        <w:rPr>
          <w:rFonts w:asciiTheme="minorHAnsi" w:hAnsiTheme="minorHAnsi" w:cstheme="minorHAnsi"/>
          <w:sz w:val="22"/>
          <w:szCs w:val="22"/>
        </w:rPr>
        <w:t xml:space="preserve">estimation </w:t>
      </w:r>
      <w:r w:rsidR="00A47929">
        <w:rPr>
          <w:rFonts w:asciiTheme="minorHAnsi" w:hAnsiTheme="minorHAnsi" w:cstheme="minorHAnsi"/>
          <w:sz w:val="22"/>
          <w:szCs w:val="22"/>
        </w:rPr>
        <w:t>of key hydrodynamic parameters which influence mammalian cell cultures.</w:t>
      </w:r>
      <w:r w:rsidR="007D4FFE">
        <w:rPr>
          <w:rFonts w:asciiTheme="minorHAnsi" w:hAnsiTheme="minorHAnsi" w:cstheme="minorHAnsi"/>
          <w:sz w:val="22"/>
          <w:szCs w:val="22"/>
        </w:rPr>
        <w:t xml:space="preserve"> </w:t>
      </w:r>
    </w:p>
    <w:p w:rsidR="00704BDF" w:rsidRPr="008D0BEB" w:rsidRDefault="00704BDF" w:rsidP="009440A5">
      <w:pPr>
        <w:snapToGrid w:val="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203EF6" w:rsidRDefault="004C12D5" w:rsidP="008E4B47">
      <w:pPr>
        <w:snapToGrid w:val="0"/>
        <w:spacing w:after="120"/>
        <w:rPr>
          <w:rFonts w:asciiTheme="minorHAnsi" w:eastAsia="MS PGothic" w:hAnsiTheme="minorHAnsi"/>
          <w:i/>
          <w:color w:val="000000"/>
          <w:sz w:val="22"/>
          <w:szCs w:val="22"/>
        </w:rPr>
      </w:pPr>
      <w:r>
        <w:rPr>
          <w:rFonts w:asciiTheme="minorHAnsi" w:eastAsia="MS PGothic" w:hAnsiTheme="minorHAnsi"/>
          <w:color w:val="000000"/>
          <w:sz w:val="22"/>
          <w:szCs w:val="22"/>
          <w:lang w:val="en-US"/>
        </w:rPr>
        <w:t>C</w:t>
      </w:r>
      <w:r w:rsidR="00625C62">
        <w:rPr>
          <w:rFonts w:asciiTheme="minorHAnsi" w:eastAsia="MS PGothic" w:hAnsiTheme="minorHAnsi"/>
          <w:color w:val="000000"/>
          <w:sz w:val="22"/>
          <w:szCs w:val="22"/>
          <w:lang w:val="en-US"/>
        </w:rPr>
        <w:t xml:space="preserve">ommercial CFD software package ANSYS Fluent </w:t>
      </w:r>
      <w:r w:rsidR="00FB6C8C">
        <w:rPr>
          <w:rFonts w:asciiTheme="minorHAnsi" w:eastAsia="MS PGothic" w:hAnsiTheme="minorHAnsi"/>
          <w:color w:val="000000"/>
          <w:sz w:val="22"/>
          <w:szCs w:val="22"/>
          <w:lang w:val="en-US"/>
        </w:rPr>
        <w:t>19.0</w:t>
      </w:r>
      <w:r w:rsidR="00625C62">
        <w:rPr>
          <w:rFonts w:asciiTheme="minorHAnsi" w:eastAsia="MS PGothic" w:hAnsiTheme="minorHAnsi"/>
          <w:color w:val="000000"/>
          <w:sz w:val="22"/>
          <w:szCs w:val="22"/>
          <w:lang w:val="en-US"/>
        </w:rPr>
        <w:t xml:space="preserve"> is used </w:t>
      </w:r>
      <w:r w:rsidR="00A86BF7">
        <w:rPr>
          <w:rFonts w:asciiTheme="minorHAnsi" w:eastAsia="MS PGothic" w:hAnsiTheme="minorHAnsi"/>
          <w:color w:val="000000"/>
          <w:sz w:val="22"/>
          <w:szCs w:val="22"/>
          <w:lang w:val="en-US"/>
        </w:rPr>
        <w:t xml:space="preserve">to solve </w:t>
      </w:r>
      <w:r w:rsidR="00625C62">
        <w:rPr>
          <w:rFonts w:asciiTheme="minorHAnsi" w:eastAsia="MS PGothic" w:hAnsiTheme="minorHAnsi"/>
          <w:color w:val="000000"/>
          <w:sz w:val="22"/>
          <w:szCs w:val="22"/>
          <w:lang w:val="en-US"/>
        </w:rPr>
        <w:t>the liquid phase hydrodynamics</w:t>
      </w:r>
      <w:r w:rsidR="00FB6C8C">
        <w:rPr>
          <w:rFonts w:asciiTheme="minorHAnsi" w:eastAsia="MS PGothic" w:hAnsiTheme="minorHAnsi"/>
          <w:color w:val="000000"/>
          <w:sz w:val="22"/>
          <w:szCs w:val="22"/>
          <w:lang w:val="en-US"/>
        </w:rPr>
        <w:t xml:space="preserve"> in 3D</w:t>
      </w:r>
      <w:r w:rsidR="009B7F1D">
        <w:rPr>
          <w:rFonts w:asciiTheme="minorHAnsi" w:eastAsia="MS PGothic" w:hAnsiTheme="minorHAnsi"/>
          <w:color w:val="000000"/>
          <w:sz w:val="22"/>
          <w:szCs w:val="22"/>
          <w:lang w:val="en-US"/>
        </w:rPr>
        <w:t xml:space="preserve">. </w:t>
      </w:r>
      <w:r w:rsidR="00406EBA">
        <w:rPr>
          <w:rFonts w:asciiTheme="minorHAnsi" w:eastAsia="MS PGothic" w:hAnsiTheme="minorHAnsi"/>
          <w:color w:val="000000"/>
          <w:sz w:val="22"/>
          <w:szCs w:val="22"/>
          <w:lang w:val="en-US"/>
        </w:rPr>
        <w:t>The liquid used is water (</w:t>
      </w:r>
      <w:r w:rsidR="00406EBA">
        <w:rPr>
          <w:rFonts w:asciiTheme="minorHAnsi" w:eastAsia="MS PGothic" w:hAnsiTheme="minorHAnsi"/>
          <w:color w:val="000000"/>
          <w:sz w:val="22"/>
          <w:szCs w:val="22"/>
          <w:lang w:val="el-GR"/>
        </w:rPr>
        <w:t>ρ</w:t>
      </w:r>
      <w:r w:rsidR="00406EBA" w:rsidRPr="00406EBA">
        <w:rPr>
          <w:rFonts w:asciiTheme="minorHAnsi" w:eastAsia="MS PGothic" w:hAnsiTheme="minorHAnsi"/>
          <w:color w:val="000000"/>
          <w:sz w:val="22"/>
          <w:szCs w:val="22"/>
        </w:rPr>
        <w:t>=</w:t>
      </w:r>
      <w:r w:rsidR="00406EBA">
        <w:rPr>
          <w:rFonts w:asciiTheme="minorHAnsi" w:eastAsia="MS PGothic" w:hAnsiTheme="minorHAnsi"/>
          <w:color w:val="000000"/>
          <w:sz w:val="22"/>
          <w:szCs w:val="22"/>
          <w:lang w:val="en-US"/>
        </w:rPr>
        <w:t>998.2 kg m</w:t>
      </w:r>
      <w:r w:rsidR="00406EBA" w:rsidRPr="00406EBA">
        <w:rPr>
          <w:rFonts w:asciiTheme="minorHAnsi" w:eastAsia="MS PGothic" w:hAnsiTheme="minorHAnsi"/>
          <w:color w:val="000000"/>
          <w:sz w:val="22"/>
          <w:szCs w:val="22"/>
          <w:vertAlign w:val="superscript"/>
          <w:lang w:val="en-US"/>
        </w:rPr>
        <w:t>-3</w:t>
      </w:r>
      <w:r w:rsidR="00E05E4F">
        <w:rPr>
          <w:rFonts w:asciiTheme="minorHAnsi" w:eastAsia="MS PGothic" w:hAnsiTheme="minorHAnsi"/>
          <w:color w:val="000000"/>
          <w:sz w:val="22"/>
          <w:szCs w:val="22"/>
          <w:lang w:val="en-US"/>
        </w:rPr>
        <w:t>,</w:t>
      </w:r>
      <w:r w:rsidR="00E05E4F">
        <w:rPr>
          <w:rFonts w:asciiTheme="minorHAnsi" w:eastAsia="MS PGothic" w:hAnsiTheme="minorHAnsi"/>
          <w:color w:val="000000"/>
          <w:sz w:val="22"/>
          <w:szCs w:val="22"/>
          <w:vertAlign w:val="superscript"/>
          <w:lang w:val="en-US"/>
        </w:rPr>
        <w:t xml:space="preserve"> </w:t>
      </w:r>
      <w:r w:rsidR="00406EBA">
        <w:rPr>
          <w:rFonts w:asciiTheme="minorHAnsi" w:eastAsia="MS PGothic" w:hAnsiTheme="minorHAnsi"/>
          <w:color w:val="000000"/>
          <w:sz w:val="22"/>
          <w:szCs w:val="22"/>
          <w:lang w:val="el-GR"/>
        </w:rPr>
        <w:t>μ</w:t>
      </w:r>
      <w:r w:rsidR="00406EBA">
        <w:rPr>
          <w:rFonts w:asciiTheme="minorHAnsi" w:eastAsia="MS PGothic" w:hAnsiTheme="minorHAnsi"/>
          <w:color w:val="000000"/>
          <w:sz w:val="22"/>
          <w:szCs w:val="22"/>
        </w:rPr>
        <w:t>=</w:t>
      </w:r>
      <w:r w:rsidR="00E05E4F">
        <w:rPr>
          <w:rFonts w:asciiTheme="minorHAnsi" w:eastAsia="MS PGothic" w:hAnsiTheme="minorHAnsi"/>
          <w:color w:val="000000"/>
          <w:sz w:val="22"/>
          <w:szCs w:val="22"/>
        </w:rPr>
        <w:t>10</w:t>
      </w:r>
      <w:r w:rsidR="00E05E4F" w:rsidRPr="00E05E4F">
        <w:rPr>
          <w:rFonts w:asciiTheme="minorHAnsi" w:eastAsia="MS PGothic" w:hAnsiTheme="minorHAnsi"/>
          <w:color w:val="000000"/>
          <w:sz w:val="22"/>
          <w:szCs w:val="22"/>
          <w:vertAlign w:val="superscript"/>
        </w:rPr>
        <w:t>-3</w:t>
      </w:r>
      <w:r w:rsidR="00406EBA">
        <w:rPr>
          <w:rFonts w:asciiTheme="minorHAnsi" w:eastAsia="MS PGothic" w:hAnsiTheme="minorHAnsi"/>
          <w:color w:val="000000"/>
          <w:sz w:val="22"/>
          <w:szCs w:val="22"/>
        </w:rPr>
        <w:t xml:space="preserve"> Pa s)</w:t>
      </w:r>
      <w:r w:rsidR="009B7F1D">
        <w:rPr>
          <w:rFonts w:asciiTheme="minorHAnsi" w:eastAsia="MS PGothic" w:hAnsiTheme="minorHAnsi"/>
          <w:color w:val="000000"/>
          <w:sz w:val="22"/>
          <w:szCs w:val="22"/>
          <w:lang w:val="en-US"/>
        </w:rPr>
        <w:t xml:space="preserve"> and the impeller rotational speed </w:t>
      </w:r>
      <w:r w:rsidR="00E05E4F">
        <w:rPr>
          <w:rFonts w:asciiTheme="minorHAnsi" w:eastAsia="MS PGothic" w:hAnsiTheme="minorHAnsi"/>
          <w:color w:val="000000"/>
          <w:sz w:val="22"/>
          <w:szCs w:val="22"/>
          <w:lang w:val="en-US"/>
        </w:rPr>
        <w:t>is</w:t>
      </w:r>
      <w:r w:rsidR="009B7F1D">
        <w:rPr>
          <w:rFonts w:asciiTheme="minorHAnsi" w:eastAsia="MS PGothic" w:hAnsiTheme="minorHAnsi"/>
          <w:color w:val="000000"/>
          <w:sz w:val="22"/>
          <w:szCs w:val="22"/>
          <w:lang w:val="en-US"/>
        </w:rPr>
        <w:t xml:space="preserve"> initially set to 250 rpm, res</w:t>
      </w:r>
      <w:r w:rsidR="008E4B47">
        <w:rPr>
          <w:rFonts w:asciiTheme="minorHAnsi" w:eastAsia="MS PGothic" w:hAnsiTheme="minorHAnsi"/>
          <w:color w:val="000000"/>
          <w:sz w:val="22"/>
          <w:szCs w:val="22"/>
          <w:lang w:val="en-US"/>
        </w:rPr>
        <w:t>ulting in a Reynolds number of 5</w:t>
      </w:r>
      <w:r>
        <w:rPr>
          <w:rFonts w:asciiTheme="minorHAnsi" w:eastAsia="MS PGothic" w:hAnsiTheme="minorHAnsi"/>
          <w:color w:val="000000"/>
          <w:sz w:val="22"/>
          <w:szCs w:val="22"/>
          <w:lang w:val="en-US"/>
        </w:rPr>
        <w:t>,</w:t>
      </w:r>
      <w:r w:rsidR="009B7F1D">
        <w:rPr>
          <w:rFonts w:asciiTheme="minorHAnsi" w:eastAsia="MS PGothic" w:hAnsiTheme="minorHAnsi"/>
          <w:color w:val="000000"/>
          <w:sz w:val="22"/>
          <w:szCs w:val="22"/>
          <w:lang w:val="en-US"/>
        </w:rPr>
        <w:t xml:space="preserve">000. </w:t>
      </w:r>
      <w:r>
        <w:rPr>
          <w:rFonts w:asciiTheme="minorHAnsi" w:eastAsia="MS PGothic" w:hAnsiTheme="minorHAnsi"/>
          <w:color w:val="000000"/>
          <w:sz w:val="22"/>
          <w:szCs w:val="22"/>
          <w:lang w:val="en-US"/>
        </w:rPr>
        <w:t xml:space="preserve">Simulations are conducted in both steady state and transient mode via </w:t>
      </w:r>
      <w:r w:rsidR="009B7F1D">
        <w:rPr>
          <w:rFonts w:asciiTheme="minorHAnsi" w:eastAsia="MS PGothic" w:hAnsiTheme="minorHAnsi"/>
          <w:color w:val="000000"/>
          <w:sz w:val="22"/>
          <w:szCs w:val="22"/>
          <w:lang w:val="en-US"/>
        </w:rPr>
        <w:t xml:space="preserve">moving reference frame (MRF) </w:t>
      </w:r>
      <w:r>
        <w:rPr>
          <w:rFonts w:asciiTheme="minorHAnsi" w:eastAsia="MS PGothic" w:hAnsiTheme="minorHAnsi"/>
          <w:color w:val="000000"/>
          <w:sz w:val="22"/>
          <w:szCs w:val="22"/>
          <w:lang w:val="en-US"/>
        </w:rPr>
        <w:t>and sliding mesh (SM)</w:t>
      </w:r>
      <w:r w:rsidR="00FB6C8C">
        <w:rPr>
          <w:rFonts w:asciiTheme="minorHAnsi" w:eastAsia="MS PGothic" w:hAnsiTheme="minorHAnsi"/>
          <w:color w:val="000000"/>
          <w:sz w:val="22"/>
          <w:szCs w:val="22"/>
          <w:lang w:val="en-US"/>
        </w:rPr>
        <w:t xml:space="preserve"> technique</w:t>
      </w:r>
      <w:r>
        <w:rPr>
          <w:rFonts w:asciiTheme="minorHAnsi" w:eastAsia="MS PGothic" w:hAnsiTheme="minorHAnsi"/>
          <w:color w:val="000000"/>
          <w:sz w:val="22"/>
          <w:szCs w:val="22"/>
          <w:lang w:val="en-US"/>
        </w:rPr>
        <w:t xml:space="preserve"> respectively for the simulation of impeller rotation. </w:t>
      </w:r>
      <w:r w:rsidR="00E05E4F">
        <w:rPr>
          <w:rFonts w:asciiTheme="minorHAnsi" w:eastAsia="MS PGothic" w:hAnsiTheme="minorHAnsi"/>
          <w:color w:val="000000"/>
          <w:sz w:val="22"/>
          <w:szCs w:val="22"/>
        </w:rPr>
        <w:t xml:space="preserve">Convergence criteria were </w:t>
      </w:r>
      <w:r w:rsidR="00E05E4F">
        <w:rPr>
          <w:rFonts w:asciiTheme="minorHAnsi" w:eastAsia="MS PGothic" w:hAnsiTheme="minorHAnsi"/>
          <w:color w:val="000000"/>
          <w:sz w:val="22"/>
          <w:szCs w:val="22"/>
        </w:rPr>
        <w:lastRenderedPageBreak/>
        <w:t>10</w:t>
      </w:r>
      <w:r w:rsidR="00E05E4F" w:rsidRPr="00E05E4F">
        <w:rPr>
          <w:rFonts w:asciiTheme="minorHAnsi" w:eastAsia="MS PGothic" w:hAnsiTheme="minorHAnsi"/>
          <w:color w:val="000000"/>
          <w:sz w:val="22"/>
          <w:szCs w:val="22"/>
          <w:vertAlign w:val="superscript"/>
        </w:rPr>
        <w:t>-5</w:t>
      </w:r>
      <w:r w:rsidR="00E05E4F">
        <w:rPr>
          <w:rFonts w:asciiTheme="minorHAnsi" w:eastAsia="MS PGothic" w:hAnsiTheme="minorHAnsi"/>
          <w:color w:val="000000"/>
          <w:sz w:val="22"/>
          <w:szCs w:val="22"/>
        </w:rPr>
        <w:t xml:space="preserve"> and 10</w:t>
      </w:r>
      <w:r w:rsidR="00E05E4F" w:rsidRPr="00E05E4F">
        <w:rPr>
          <w:rFonts w:asciiTheme="minorHAnsi" w:eastAsia="MS PGothic" w:hAnsiTheme="minorHAnsi"/>
          <w:color w:val="000000"/>
          <w:sz w:val="22"/>
          <w:szCs w:val="22"/>
          <w:vertAlign w:val="superscript"/>
        </w:rPr>
        <w:t>-6</w:t>
      </w:r>
      <w:r w:rsidR="00E05E4F">
        <w:rPr>
          <w:rFonts w:asciiTheme="minorHAnsi" w:eastAsia="MS PGothic" w:hAnsiTheme="minorHAnsi"/>
          <w:color w:val="000000"/>
          <w:sz w:val="22"/>
          <w:szCs w:val="22"/>
        </w:rPr>
        <w:t xml:space="preserve"> for the continuity and turbulence closure equations respectively</w:t>
      </w:r>
      <w:r w:rsidR="00203EF6">
        <w:rPr>
          <w:rFonts w:asciiTheme="minorHAnsi" w:eastAsia="MS PGothic" w:hAnsiTheme="minorHAnsi"/>
          <w:color w:val="000000"/>
          <w:sz w:val="22"/>
          <w:szCs w:val="22"/>
        </w:rPr>
        <w:t>.</w:t>
      </w:r>
      <w:r w:rsidR="00A65E84">
        <w:rPr>
          <w:rFonts w:asciiTheme="minorHAnsi" w:eastAsia="MS PGothic" w:hAnsiTheme="minorHAnsi"/>
          <w:color w:val="000000"/>
          <w:sz w:val="22"/>
          <w:szCs w:val="22"/>
        </w:rPr>
        <w:t xml:space="preserve"> </w:t>
      </w:r>
      <w:r w:rsidR="008B3A23">
        <w:rPr>
          <w:rFonts w:asciiTheme="minorHAnsi" w:eastAsia="MS PGothic" w:hAnsiTheme="minorHAnsi"/>
          <w:color w:val="000000"/>
          <w:sz w:val="22"/>
          <w:szCs w:val="22"/>
        </w:rPr>
        <w:t>The grid of the rotational zone was</w:t>
      </w:r>
      <w:r w:rsidR="00E05E4F">
        <w:rPr>
          <w:rFonts w:asciiTheme="minorHAnsi" w:eastAsia="MS PGothic" w:hAnsiTheme="minorHAnsi"/>
          <w:color w:val="000000"/>
          <w:sz w:val="22"/>
          <w:szCs w:val="22"/>
        </w:rPr>
        <w:t xml:space="preserve"> formed to be</w:t>
      </w:r>
      <w:r w:rsidR="008B3A23">
        <w:rPr>
          <w:rFonts w:asciiTheme="minorHAnsi" w:eastAsia="MS PGothic" w:hAnsiTheme="minorHAnsi"/>
          <w:color w:val="000000"/>
          <w:sz w:val="22"/>
          <w:szCs w:val="22"/>
        </w:rPr>
        <w:t xml:space="preserve"> finer than the grid in the outer zone to achieve better accuracy. </w:t>
      </w:r>
      <w:r>
        <w:rPr>
          <w:rFonts w:asciiTheme="minorHAnsi" w:eastAsia="MS PGothic" w:hAnsiTheme="minorHAnsi"/>
          <w:color w:val="000000"/>
          <w:sz w:val="22"/>
          <w:szCs w:val="22"/>
        </w:rPr>
        <w:t>For mesh independence studies grid densities evaluated varied from</w:t>
      </w:r>
      <w:r w:rsidR="00E05E4F">
        <w:rPr>
          <w:rFonts w:asciiTheme="minorHAnsi" w:eastAsia="MS PGothic" w:hAnsiTheme="minorHAnsi"/>
          <w:color w:val="000000"/>
          <w:sz w:val="22"/>
          <w:szCs w:val="22"/>
        </w:rPr>
        <w:t xml:space="preserve"> </w:t>
      </w:r>
      <w:r w:rsidR="00FB6C8C">
        <w:rPr>
          <w:rFonts w:asciiTheme="minorHAnsi" w:eastAsia="MS PGothic" w:hAnsiTheme="minorHAnsi"/>
          <w:color w:val="000000"/>
          <w:sz w:val="22"/>
          <w:szCs w:val="22"/>
        </w:rPr>
        <w:t xml:space="preserve">280,638 </w:t>
      </w:r>
      <w:r>
        <w:rPr>
          <w:rFonts w:asciiTheme="minorHAnsi" w:eastAsia="MS PGothic" w:hAnsiTheme="minorHAnsi"/>
          <w:color w:val="000000"/>
          <w:sz w:val="22"/>
          <w:szCs w:val="22"/>
        </w:rPr>
        <w:t>to</w:t>
      </w:r>
      <w:r w:rsidR="00A65E84">
        <w:rPr>
          <w:rFonts w:asciiTheme="minorHAnsi" w:eastAsia="MS PGothic" w:hAnsiTheme="minorHAnsi"/>
          <w:color w:val="000000"/>
          <w:sz w:val="22"/>
          <w:szCs w:val="22"/>
        </w:rPr>
        <w:t xml:space="preserve"> 1,728,348 </w:t>
      </w:r>
      <w:r w:rsidR="00E05E4F">
        <w:rPr>
          <w:rFonts w:asciiTheme="minorHAnsi" w:eastAsia="MS PGothic" w:hAnsiTheme="minorHAnsi"/>
          <w:color w:val="000000"/>
          <w:sz w:val="22"/>
          <w:szCs w:val="22"/>
        </w:rPr>
        <w:t>tetrahedral cells</w:t>
      </w:r>
      <w:r>
        <w:rPr>
          <w:rFonts w:asciiTheme="minorHAnsi" w:eastAsia="MS PGothic" w:hAnsiTheme="minorHAnsi"/>
          <w:color w:val="000000"/>
          <w:sz w:val="22"/>
          <w:szCs w:val="22"/>
        </w:rPr>
        <w:t xml:space="preserve">. </w:t>
      </w:r>
    </w:p>
    <w:p w:rsidR="006B4227" w:rsidRDefault="00704BDF" w:rsidP="008E4B47">
      <w:pPr>
        <w:snapToGrid w:val="0"/>
        <w:spacing w:before="12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51AD0" w:rsidRPr="00477AB7" w:rsidRDefault="008D26F9" w:rsidP="00477AB7">
      <w:pPr>
        <w:snapToGrid w:val="0"/>
        <w:spacing w:line="276" w:lineRule="auto"/>
        <w:rPr>
          <w:rFonts w:asciiTheme="minorHAnsi" w:eastAsia="MS PGothic" w:hAnsiTheme="minorHAnsi"/>
          <w:b/>
          <w:bCs/>
          <w:color w:val="000000"/>
          <w:sz w:val="22"/>
          <w:szCs w:val="22"/>
          <w:lang w:val="en-US"/>
        </w:rPr>
      </w:pPr>
      <w:r w:rsidRPr="008D26F9">
        <w:rPr>
          <w:rFonts w:asciiTheme="minorHAnsi" w:eastAsia="MS PGothic" w:hAnsiTheme="minorHAnsi"/>
          <w:bCs/>
          <w:color w:val="000000"/>
          <w:sz w:val="22"/>
          <w:szCs w:val="22"/>
          <w:lang w:val="en-US"/>
        </w:rPr>
        <w:t xml:space="preserve">Figure 1 presents preliminary results of the mesh independence study conducted </w:t>
      </w:r>
      <w:r w:rsidR="001E5A8F">
        <w:rPr>
          <w:rFonts w:asciiTheme="minorHAnsi" w:eastAsia="MS PGothic" w:hAnsiTheme="minorHAnsi"/>
          <w:bCs/>
          <w:color w:val="000000"/>
          <w:sz w:val="22"/>
          <w:szCs w:val="22"/>
          <w:lang w:val="en-US"/>
        </w:rPr>
        <w:t>over</w:t>
      </w:r>
      <w:r w:rsidRPr="008D26F9">
        <w:rPr>
          <w:rFonts w:asciiTheme="minorHAnsi" w:eastAsia="MS PGothic" w:hAnsiTheme="minorHAnsi"/>
          <w:bCs/>
          <w:color w:val="000000"/>
          <w:sz w:val="22"/>
          <w:szCs w:val="22"/>
          <w:lang w:val="en-US"/>
        </w:rPr>
        <w:t xml:space="preserve"> a wide range of grid densities. </w:t>
      </w:r>
      <w:r>
        <w:rPr>
          <w:rFonts w:asciiTheme="minorHAnsi" w:eastAsia="MS PGothic" w:hAnsiTheme="minorHAnsi"/>
          <w:bCs/>
          <w:color w:val="000000"/>
          <w:sz w:val="22"/>
          <w:szCs w:val="22"/>
          <w:lang w:val="en-US"/>
        </w:rPr>
        <w:t xml:space="preserve">Reynolds Averaged </w:t>
      </w:r>
      <w:proofErr w:type="spellStart"/>
      <w:r>
        <w:rPr>
          <w:rFonts w:asciiTheme="minorHAnsi" w:eastAsia="MS PGothic" w:hAnsiTheme="minorHAnsi"/>
          <w:bCs/>
          <w:color w:val="000000"/>
          <w:sz w:val="22"/>
          <w:szCs w:val="22"/>
          <w:lang w:val="en-US"/>
        </w:rPr>
        <w:t>Navier</w:t>
      </w:r>
      <w:proofErr w:type="spellEnd"/>
      <w:r>
        <w:rPr>
          <w:rFonts w:asciiTheme="minorHAnsi" w:eastAsia="MS PGothic" w:hAnsiTheme="minorHAnsi"/>
          <w:bCs/>
          <w:color w:val="000000"/>
          <w:sz w:val="22"/>
          <w:szCs w:val="22"/>
          <w:lang w:val="en-US"/>
        </w:rPr>
        <w:t xml:space="preserve">-Stokes equations (RANS) approach coupled with k-epsilon Realizable turbulence model is initially used due to its success to satisfactorily model rotational flows. </w:t>
      </w:r>
      <w:r w:rsidR="006B4227">
        <w:rPr>
          <w:rFonts w:asciiTheme="minorHAnsi" w:eastAsia="MS PGothic" w:hAnsiTheme="minorHAnsi"/>
          <w:bCs/>
          <w:color w:val="000000"/>
          <w:sz w:val="22"/>
          <w:szCs w:val="22"/>
          <w:lang w:val="en-US"/>
        </w:rPr>
        <w:t xml:space="preserve">Global maximum for radial velocity and EDR was located at the impeller plane. </w:t>
      </w:r>
      <w:r w:rsidR="00D864DA">
        <w:rPr>
          <w:rFonts w:asciiTheme="minorHAnsi" w:eastAsia="MS PGothic" w:hAnsiTheme="minorHAnsi"/>
          <w:bCs/>
          <w:color w:val="000000"/>
          <w:sz w:val="22"/>
          <w:szCs w:val="22"/>
          <w:lang w:val="en-US"/>
        </w:rPr>
        <w:t xml:space="preserve">Minor differentiations </w:t>
      </w:r>
      <w:r w:rsidR="00A11E5C">
        <w:rPr>
          <w:rFonts w:asciiTheme="minorHAnsi" w:eastAsia="MS PGothic" w:hAnsiTheme="minorHAnsi"/>
          <w:bCs/>
          <w:color w:val="000000"/>
          <w:sz w:val="22"/>
          <w:szCs w:val="22"/>
          <w:lang w:val="en-US"/>
        </w:rPr>
        <w:t>were</w:t>
      </w:r>
      <w:r w:rsidR="00D864DA">
        <w:rPr>
          <w:rFonts w:asciiTheme="minorHAnsi" w:eastAsia="MS PGothic" w:hAnsiTheme="minorHAnsi"/>
          <w:bCs/>
          <w:color w:val="000000"/>
          <w:sz w:val="22"/>
          <w:szCs w:val="22"/>
          <w:lang w:val="en-US"/>
        </w:rPr>
        <w:t xml:space="preserve"> exhibited among the grid densities for </w:t>
      </w:r>
      <w:r w:rsidR="006B4227">
        <w:rPr>
          <w:rFonts w:asciiTheme="minorHAnsi" w:eastAsia="MS PGothic" w:hAnsiTheme="minorHAnsi"/>
          <w:bCs/>
          <w:color w:val="000000"/>
          <w:sz w:val="22"/>
          <w:szCs w:val="22"/>
          <w:lang w:val="en-US"/>
        </w:rPr>
        <w:t xml:space="preserve">radial velocity profiles (Fig. 1(a)). The consistency of the results was </w:t>
      </w:r>
      <w:r w:rsidR="006459E8">
        <w:rPr>
          <w:rFonts w:asciiTheme="minorHAnsi" w:eastAsia="MS PGothic" w:hAnsiTheme="minorHAnsi"/>
          <w:bCs/>
          <w:color w:val="000000"/>
          <w:sz w:val="22"/>
          <w:szCs w:val="22"/>
          <w:lang w:val="en-US"/>
        </w:rPr>
        <w:t>tested</w:t>
      </w:r>
      <w:r w:rsidR="006B4227">
        <w:rPr>
          <w:rFonts w:asciiTheme="minorHAnsi" w:eastAsia="MS PGothic" w:hAnsiTheme="minorHAnsi"/>
          <w:bCs/>
          <w:color w:val="000000"/>
          <w:sz w:val="22"/>
          <w:szCs w:val="22"/>
          <w:lang w:val="en-US"/>
        </w:rPr>
        <w:t xml:space="preserve"> via calculating average velocities in dispersed control volumes in the interior of the bioreactor (results not shown). </w:t>
      </w:r>
      <w:r w:rsidR="00431DA2">
        <w:rPr>
          <w:rFonts w:asciiTheme="minorHAnsi" w:eastAsia="MS PGothic" w:hAnsiTheme="minorHAnsi"/>
          <w:bCs/>
          <w:color w:val="000000"/>
          <w:sz w:val="22"/>
          <w:szCs w:val="22"/>
          <w:lang w:val="en-US"/>
        </w:rPr>
        <w:t>Lower grid density resulted in lower global maximum for EDR (Fig.</w:t>
      </w:r>
      <w:r w:rsidR="002A5D37">
        <w:rPr>
          <w:rFonts w:asciiTheme="minorHAnsi" w:eastAsia="MS PGothic" w:hAnsiTheme="minorHAnsi"/>
          <w:bCs/>
          <w:color w:val="000000"/>
          <w:sz w:val="22"/>
          <w:szCs w:val="22"/>
          <w:lang w:val="en-US"/>
        </w:rPr>
        <w:t xml:space="preserve"> </w:t>
      </w:r>
      <w:r w:rsidR="00431DA2">
        <w:rPr>
          <w:rFonts w:asciiTheme="minorHAnsi" w:eastAsia="MS PGothic" w:hAnsiTheme="minorHAnsi"/>
          <w:bCs/>
          <w:color w:val="000000"/>
          <w:sz w:val="22"/>
          <w:szCs w:val="22"/>
          <w:lang w:val="en-US"/>
        </w:rPr>
        <w:t>1(b))</w:t>
      </w:r>
      <w:r w:rsidR="002A5D37">
        <w:rPr>
          <w:rFonts w:asciiTheme="minorHAnsi" w:eastAsia="MS PGothic" w:hAnsiTheme="minorHAnsi"/>
          <w:bCs/>
          <w:color w:val="000000"/>
          <w:sz w:val="22"/>
          <w:szCs w:val="22"/>
          <w:lang w:val="en-US"/>
        </w:rPr>
        <w:t xml:space="preserve"> leading to the conclusion that the corresponding solution is not optimum. </w:t>
      </w:r>
      <w:r w:rsidR="0071556F" w:rsidRPr="0071556F">
        <w:rPr>
          <w:noProof/>
          <w:lang w:eastAsia="en-GB"/>
        </w:rPr>
        <w:t xml:space="preserve"> </w:t>
      </w:r>
      <w:r w:rsidR="003A5878">
        <w:rPr>
          <w:noProof/>
          <w:lang w:eastAsia="en-GB"/>
        </w:rPr>
        <w:drawing>
          <wp:inline distT="0" distB="0" distL="0" distR="0" wp14:anchorId="18CE88DE">
            <wp:extent cx="5332491" cy="2399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688" t="5590" r="3764" b="1784"/>
                    <a:stretch/>
                  </pic:blipFill>
                  <pic:spPr bwMode="auto">
                    <a:xfrm>
                      <a:off x="0" y="0"/>
                      <a:ext cx="5340737" cy="2402740"/>
                    </a:xfrm>
                    <a:prstGeom prst="rect">
                      <a:avLst/>
                    </a:prstGeom>
                    <a:noFill/>
                    <a:ln>
                      <a:noFill/>
                    </a:ln>
                    <a:extLst>
                      <a:ext uri="{53640926-AAD7-44D8-BBD7-CCE9431645EC}">
                        <a14:shadowObscured xmlns:a14="http://schemas.microsoft.com/office/drawing/2010/main"/>
                      </a:ext>
                    </a:extLst>
                  </pic:spPr>
                </pic:pic>
              </a:graphicData>
            </a:graphic>
          </wp:inline>
        </w:drawing>
      </w:r>
    </w:p>
    <w:p w:rsidR="00751AD0" w:rsidRPr="00751AD0" w:rsidRDefault="00751AD0" w:rsidP="00923555">
      <w:pPr>
        <w:pStyle w:val="Caption"/>
        <w:rPr>
          <w:rFonts w:asciiTheme="minorHAnsi" w:eastAsia="MS PGothic" w:hAnsiTheme="minorHAnsi" w:cstheme="minorHAnsi"/>
          <w:b w:val="0"/>
          <w:color w:val="auto"/>
          <w:sz w:val="22"/>
          <w:szCs w:val="22"/>
        </w:rPr>
      </w:pPr>
      <w:r w:rsidRPr="00751AD0">
        <w:rPr>
          <w:rFonts w:asciiTheme="minorHAnsi" w:hAnsiTheme="minorHAnsi" w:cstheme="minorHAnsi"/>
          <w:color w:val="auto"/>
        </w:rPr>
        <w:t xml:space="preserve">Figure </w:t>
      </w:r>
      <w:r w:rsidRPr="00751AD0">
        <w:rPr>
          <w:rFonts w:asciiTheme="minorHAnsi" w:hAnsiTheme="minorHAnsi" w:cstheme="minorHAnsi"/>
          <w:color w:val="auto"/>
        </w:rPr>
        <w:fldChar w:fldCharType="begin"/>
      </w:r>
      <w:r w:rsidRPr="00751AD0">
        <w:rPr>
          <w:rFonts w:asciiTheme="minorHAnsi" w:hAnsiTheme="minorHAnsi" w:cstheme="minorHAnsi"/>
          <w:color w:val="auto"/>
        </w:rPr>
        <w:instrText xml:space="preserve"> SEQ Figure \* ARABIC </w:instrText>
      </w:r>
      <w:r w:rsidRPr="00751AD0">
        <w:rPr>
          <w:rFonts w:asciiTheme="minorHAnsi" w:hAnsiTheme="minorHAnsi" w:cstheme="minorHAnsi"/>
          <w:color w:val="auto"/>
        </w:rPr>
        <w:fldChar w:fldCharType="separate"/>
      </w:r>
      <w:r w:rsidRPr="00751AD0">
        <w:rPr>
          <w:rFonts w:asciiTheme="minorHAnsi" w:hAnsiTheme="minorHAnsi" w:cstheme="minorHAnsi"/>
          <w:noProof/>
          <w:color w:val="auto"/>
        </w:rPr>
        <w:t>1</w:t>
      </w:r>
      <w:r w:rsidRPr="00751AD0">
        <w:rPr>
          <w:rFonts w:asciiTheme="minorHAnsi" w:hAnsiTheme="minorHAnsi" w:cstheme="minorHAnsi"/>
          <w:color w:val="auto"/>
        </w:rPr>
        <w:fldChar w:fldCharType="end"/>
      </w:r>
      <w:r w:rsidRPr="00751AD0">
        <w:rPr>
          <w:rFonts w:asciiTheme="minorHAnsi" w:hAnsiTheme="minorHAnsi" w:cstheme="minorHAnsi"/>
          <w:color w:val="auto"/>
        </w:rPr>
        <w:t>.</w:t>
      </w:r>
      <w:r w:rsidRPr="00751AD0">
        <w:rPr>
          <w:rFonts w:asciiTheme="minorHAnsi" w:hAnsiTheme="minorHAnsi" w:cstheme="minorHAnsi"/>
          <w:b w:val="0"/>
          <w:color w:val="auto"/>
        </w:rPr>
        <w:t xml:space="preserve"> Local effect of grid density in the prediction of selected variables. Axial profiles close to the blade tip (r=T/4) of (a) radial velocity, (b) </w:t>
      </w:r>
      <w:r w:rsidR="0071556F">
        <w:rPr>
          <w:rFonts w:asciiTheme="minorHAnsi" w:hAnsiTheme="minorHAnsi" w:cstheme="minorHAnsi"/>
          <w:b w:val="0"/>
          <w:color w:val="auto"/>
        </w:rPr>
        <w:t>EDR</w:t>
      </w:r>
      <w:r w:rsidR="00923555">
        <w:rPr>
          <w:rFonts w:asciiTheme="minorHAnsi" w:hAnsiTheme="minorHAnsi" w:cstheme="minorHAnsi"/>
          <w:b w:val="0"/>
          <w:color w:val="auto"/>
        </w:rPr>
        <w:t>.</w:t>
      </w:r>
    </w:p>
    <w:p w:rsidR="00751AD0" w:rsidRPr="008D0BEB" w:rsidRDefault="00751AD0" w:rsidP="008E4B47">
      <w:pPr>
        <w:snapToGrid w:val="0"/>
        <w:spacing w:before="12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A11E5C" w:rsidRDefault="00AA6D3C" w:rsidP="00250EEB">
      <w:pPr>
        <w:snapToGrid w:val="0"/>
        <w:spacing w:after="120"/>
        <w:rPr>
          <w:rFonts w:asciiTheme="minorHAnsi" w:eastAsia="MS PGothic" w:hAnsiTheme="minorHAnsi" w:cstheme="minorHAnsi"/>
          <w:sz w:val="22"/>
          <w:szCs w:val="22"/>
        </w:rPr>
      </w:pPr>
      <w:r>
        <w:rPr>
          <w:rFonts w:asciiTheme="minorHAnsi" w:eastAsia="MS PGothic" w:hAnsiTheme="minorHAnsi" w:cstheme="minorHAnsi"/>
          <w:sz w:val="22"/>
          <w:szCs w:val="22"/>
        </w:rPr>
        <w:t xml:space="preserve"> </w:t>
      </w:r>
      <w:r w:rsidR="006459E8">
        <w:rPr>
          <w:rFonts w:asciiTheme="minorHAnsi" w:eastAsia="MS PGothic" w:hAnsiTheme="minorHAnsi" w:cstheme="minorHAnsi"/>
          <w:sz w:val="22"/>
          <w:szCs w:val="22"/>
        </w:rPr>
        <w:t>A variety of different grid densities gave</w:t>
      </w:r>
      <w:r w:rsidR="00923555">
        <w:rPr>
          <w:rFonts w:asciiTheme="minorHAnsi" w:eastAsia="MS PGothic" w:hAnsiTheme="minorHAnsi" w:cstheme="minorHAnsi"/>
          <w:sz w:val="22"/>
          <w:szCs w:val="22"/>
        </w:rPr>
        <w:t xml:space="preserve"> acceptable approximations for the critical parameters evaluated</w:t>
      </w:r>
      <w:r>
        <w:rPr>
          <w:rFonts w:asciiTheme="minorHAnsi" w:eastAsia="MS PGothic" w:hAnsiTheme="minorHAnsi" w:cstheme="minorHAnsi"/>
          <w:sz w:val="22"/>
          <w:szCs w:val="22"/>
        </w:rPr>
        <w:t xml:space="preserve"> when RANS approach was used</w:t>
      </w:r>
      <w:r w:rsidR="00923555">
        <w:rPr>
          <w:rFonts w:asciiTheme="minorHAnsi" w:eastAsia="MS PGothic" w:hAnsiTheme="minorHAnsi" w:cstheme="minorHAnsi"/>
          <w:sz w:val="22"/>
          <w:szCs w:val="22"/>
        </w:rPr>
        <w:t>.</w:t>
      </w:r>
      <w:r w:rsidR="00581095">
        <w:rPr>
          <w:rFonts w:asciiTheme="minorHAnsi" w:eastAsia="MS PGothic" w:hAnsiTheme="minorHAnsi" w:cstheme="minorHAnsi"/>
          <w:sz w:val="22"/>
          <w:szCs w:val="22"/>
        </w:rPr>
        <w:t xml:space="preserve"> For both EDR and TKE the res</w:t>
      </w:r>
      <w:r w:rsidR="006459E8">
        <w:rPr>
          <w:rFonts w:asciiTheme="minorHAnsi" w:eastAsia="MS PGothic" w:hAnsiTheme="minorHAnsi" w:cstheme="minorHAnsi"/>
          <w:sz w:val="22"/>
          <w:szCs w:val="22"/>
        </w:rPr>
        <w:t>ults obtained were similar and</w:t>
      </w:r>
      <w:r w:rsidR="00581095">
        <w:rPr>
          <w:rFonts w:asciiTheme="minorHAnsi" w:eastAsia="MS PGothic" w:hAnsiTheme="minorHAnsi" w:cstheme="minorHAnsi"/>
          <w:sz w:val="22"/>
          <w:szCs w:val="22"/>
        </w:rPr>
        <w:t xml:space="preserve"> 11% increase was observed from the coarser to the finer grid density. At the next stage, s</w:t>
      </w:r>
      <w:r w:rsidR="00101084">
        <w:rPr>
          <w:rFonts w:asciiTheme="minorHAnsi" w:eastAsia="MS PGothic" w:hAnsiTheme="minorHAnsi" w:cstheme="minorHAnsi"/>
          <w:sz w:val="22"/>
          <w:szCs w:val="22"/>
        </w:rPr>
        <w:t xml:space="preserve">imulations will be run with structured mesh and </w:t>
      </w:r>
      <w:r w:rsidR="008E4B47">
        <w:rPr>
          <w:rFonts w:asciiTheme="minorHAnsi" w:eastAsia="MS PGothic" w:hAnsiTheme="minorHAnsi" w:cstheme="minorHAnsi"/>
          <w:sz w:val="22"/>
          <w:szCs w:val="22"/>
        </w:rPr>
        <w:t>different</w:t>
      </w:r>
      <w:r w:rsidR="00101084">
        <w:rPr>
          <w:rFonts w:asciiTheme="minorHAnsi" w:eastAsia="MS PGothic" w:hAnsiTheme="minorHAnsi" w:cstheme="minorHAnsi"/>
          <w:sz w:val="22"/>
          <w:szCs w:val="22"/>
        </w:rPr>
        <w:t xml:space="preserve"> turbulence models to assess</w:t>
      </w:r>
      <w:r w:rsidR="00581095">
        <w:rPr>
          <w:rFonts w:asciiTheme="minorHAnsi" w:eastAsia="MS PGothic" w:hAnsiTheme="minorHAnsi" w:cstheme="minorHAnsi"/>
          <w:sz w:val="22"/>
          <w:szCs w:val="22"/>
        </w:rPr>
        <w:t xml:space="preserve"> </w:t>
      </w:r>
      <w:r w:rsidR="00101084">
        <w:rPr>
          <w:rFonts w:asciiTheme="minorHAnsi" w:eastAsia="MS PGothic" w:hAnsiTheme="minorHAnsi" w:cstheme="minorHAnsi"/>
          <w:sz w:val="22"/>
          <w:szCs w:val="22"/>
        </w:rPr>
        <w:t>results</w:t>
      </w:r>
      <w:r w:rsidR="006459E8">
        <w:rPr>
          <w:rFonts w:asciiTheme="minorHAnsi" w:eastAsia="MS PGothic" w:hAnsiTheme="minorHAnsi" w:cstheme="minorHAnsi"/>
          <w:sz w:val="22"/>
          <w:szCs w:val="22"/>
        </w:rPr>
        <w:t xml:space="preserve"> quality</w:t>
      </w:r>
      <w:r w:rsidR="008B3462">
        <w:rPr>
          <w:rFonts w:asciiTheme="minorHAnsi" w:eastAsia="MS PGothic" w:hAnsiTheme="minorHAnsi" w:cstheme="minorHAnsi"/>
          <w:sz w:val="22"/>
          <w:szCs w:val="22"/>
        </w:rPr>
        <w:t xml:space="preserve"> and accuracy while e</w:t>
      </w:r>
      <w:r w:rsidR="008E4B47">
        <w:rPr>
          <w:rFonts w:asciiTheme="minorHAnsi" w:eastAsia="MS PGothic" w:hAnsiTheme="minorHAnsi" w:cstheme="minorHAnsi"/>
          <w:sz w:val="22"/>
          <w:szCs w:val="22"/>
        </w:rPr>
        <w:t>xperimental validation will</w:t>
      </w:r>
      <w:r w:rsidR="008B3462">
        <w:rPr>
          <w:rFonts w:asciiTheme="minorHAnsi" w:eastAsia="MS PGothic" w:hAnsiTheme="minorHAnsi" w:cstheme="minorHAnsi"/>
          <w:sz w:val="22"/>
          <w:szCs w:val="22"/>
        </w:rPr>
        <w:t xml:space="preserve"> mainly contribute in the clarification of the location and intensity of critical hydrodynamic parameters </w:t>
      </w:r>
      <w:r w:rsidR="000560BF">
        <w:rPr>
          <w:rFonts w:asciiTheme="minorHAnsi" w:eastAsia="MS PGothic" w:hAnsiTheme="minorHAnsi" w:cstheme="minorHAnsi"/>
          <w:sz w:val="22"/>
          <w:szCs w:val="22"/>
        </w:rPr>
        <w:t xml:space="preserve">to ultimately quantify potentially </w:t>
      </w:r>
      <w:r w:rsidR="008B3462">
        <w:rPr>
          <w:rFonts w:asciiTheme="minorHAnsi" w:eastAsia="MS PGothic" w:hAnsiTheme="minorHAnsi" w:cstheme="minorHAnsi"/>
          <w:sz w:val="22"/>
          <w:szCs w:val="22"/>
        </w:rPr>
        <w:t>destructive effects on mammalian cell</w:t>
      </w:r>
      <w:r w:rsidR="003F7117">
        <w:rPr>
          <w:rFonts w:asciiTheme="minorHAnsi" w:eastAsia="MS PGothic" w:hAnsiTheme="minorHAnsi" w:cstheme="minorHAnsi"/>
          <w:sz w:val="22"/>
          <w:szCs w:val="22"/>
        </w:rPr>
        <w:t>s</w:t>
      </w:r>
      <w:r w:rsidR="008B3462">
        <w:rPr>
          <w:rFonts w:asciiTheme="minorHAnsi" w:eastAsia="MS PGothic" w:hAnsiTheme="minorHAnsi" w:cstheme="minorHAnsi"/>
          <w:sz w:val="22"/>
          <w:szCs w:val="22"/>
        </w:rPr>
        <w:t xml:space="preserve">. </w:t>
      </w:r>
    </w:p>
    <w:p w:rsidR="00704BDF" w:rsidRDefault="00704BDF" w:rsidP="00EF04A9">
      <w:pPr>
        <w:snapToGrid w:val="0"/>
        <w:spacing w:before="12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r w:rsidR="00933331">
        <w:rPr>
          <w:rFonts w:asciiTheme="minorHAnsi" w:eastAsia="MS PGothic" w:hAnsiTheme="minorHAnsi"/>
          <w:b/>
          <w:bCs/>
          <w:color w:val="000000"/>
          <w:sz w:val="20"/>
          <w:lang w:val="en-US"/>
        </w:rPr>
        <w:t xml:space="preserve"> </w:t>
      </w:r>
    </w:p>
    <w:p w:rsidR="002D3E25" w:rsidRPr="00627B44" w:rsidRDefault="0001623F" w:rsidP="002D3E25">
      <w:pPr>
        <w:widowControl w:val="0"/>
        <w:autoSpaceDE w:val="0"/>
        <w:autoSpaceDN w:val="0"/>
        <w:adjustRightInd w:val="0"/>
        <w:spacing w:line="240" w:lineRule="auto"/>
        <w:ind w:left="480" w:hanging="480"/>
        <w:rPr>
          <w:rFonts w:ascii="Calibri" w:hAnsi="Calibri" w:cs="Calibri"/>
          <w:noProof/>
          <w:sz w:val="20"/>
          <w:szCs w:val="24"/>
        </w:rPr>
      </w:pPr>
      <w:r>
        <w:rPr>
          <w:rFonts w:asciiTheme="minorHAnsi" w:eastAsia="SimSun" w:hAnsiTheme="minorHAnsi"/>
          <w:bCs/>
          <w:color w:val="000000"/>
          <w:lang w:val="en-US" w:eastAsia="zh-CN"/>
        </w:rPr>
        <w:t xml:space="preserve">[1] </w:t>
      </w:r>
      <w:r w:rsidR="002D3E25" w:rsidRPr="00627B44">
        <w:rPr>
          <w:rFonts w:asciiTheme="minorHAnsi" w:eastAsia="SimSun" w:hAnsiTheme="minorHAnsi"/>
          <w:bCs/>
          <w:color w:val="000000"/>
          <w:lang w:val="en-US" w:eastAsia="zh-CN"/>
        </w:rPr>
        <w:t xml:space="preserve">P. </w:t>
      </w:r>
      <w:r w:rsidR="002D3E25" w:rsidRPr="00627B44">
        <w:rPr>
          <w:rFonts w:asciiTheme="minorHAnsi" w:eastAsia="SimSun" w:hAnsiTheme="minorHAnsi"/>
          <w:bCs/>
          <w:color w:val="000000"/>
          <w:lang w:eastAsia="zh-CN"/>
        </w:rPr>
        <w:fldChar w:fldCharType="begin" w:fldLock="1"/>
      </w:r>
      <w:r w:rsidR="002D3E25" w:rsidRPr="00627B44">
        <w:rPr>
          <w:rFonts w:asciiTheme="minorHAnsi" w:eastAsia="SimSun" w:hAnsiTheme="minorHAnsi"/>
          <w:bCs/>
          <w:color w:val="000000"/>
          <w:lang w:eastAsia="zh-CN"/>
        </w:rPr>
        <w:instrText xml:space="preserve">ADDIN Mendeley Bibliography CSL_BIBLIOGRAPHY </w:instrText>
      </w:r>
      <w:r w:rsidR="002D3E25" w:rsidRPr="00627B44">
        <w:rPr>
          <w:rFonts w:asciiTheme="minorHAnsi" w:eastAsia="SimSun" w:hAnsiTheme="minorHAnsi"/>
          <w:bCs/>
          <w:color w:val="000000"/>
          <w:lang w:eastAsia="zh-CN"/>
        </w:rPr>
        <w:fldChar w:fldCharType="separate"/>
      </w:r>
      <w:r w:rsidR="002D3E25" w:rsidRPr="00627B44">
        <w:rPr>
          <w:rFonts w:ascii="Calibri" w:hAnsi="Calibri" w:cs="Calibri"/>
          <w:noProof/>
          <w:sz w:val="20"/>
          <w:szCs w:val="24"/>
        </w:rPr>
        <w:t xml:space="preserve">Farzan, B. Mistry, M. G. Ierapetritou, </w:t>
      </w:r>
      <w:r w:rsidR="002D3E25" w:rsidRPr="00627B44">
        <w:rPr>
          <w:rFonts w:ascii="Calibri" w:hAnsi="Calibri" w:cs="Calibri"/>
          <w:i/>
          <w:iCs/>
          <w:noProof/>
          <w:sz w:val="20"/>
          <w:szCs w:val="24"/>
        </w:rPr>
        <w:t>AIChE Journal 63(2)</w:t>
      </w:r>
      <w:r w:rsidR="002D3E25" w:rsidRPr="00627B44">
        <w:rPr>
          <w:rFonts w:ascii="Calibri" w:hAnsi="Calibri" w:cs="Calibri"/>
          <w:noProof/>
          <w:sz w:val="20"/>
          <w:szCs w:val="24"/>
        </w:rPr>
        <w:t xml:space="preserve"> (2017) 398–408. </w:t>
      </w:r>
    </w:p>
    <w:p w:rsidR="002D3E25" w:rsidRPr="00627B44" w:rsidRDefault="0001623F" w:rsidP="002D3E25">
      <w:pPr>
        <w:widowControl w:val="0"/>
        <w:autoSpaceDE w:val="0"/>
        <w:autoSpaceDN w:val="0"/>
        <w:adjustRightInd w:val="0"/>
        <w:spacing w:line="240" w:lineRule="auto"/>
        <w:ind w:left="480" w:hanging="480"/>
        <w:rPr>
          <w:rFonts w:ascii="Calibri" w:hAnsi="Calibri" w:cs="Calibri"/>
          <w:noProof/>
          <w:sz w:val="20"/>
          <w:szCs w:val="24"/>
        </w:rPr>
      </w:pPr>
      <w:r>
        <w:rPr>
          <w:rFonts w:ascii="Calibri" w:hAnsi="Calibri" w:cs="Calibri"/>
          <w:noProof/>
          <w:sz w:val="20"/>
          <w:szCs w:val="24"/>
        </w:rPr>
        <w:t xml:space="preserve">[2] </w:t>
      </w:r>
      <w:r w:rsidR="002D3E25" w:rsidRPr="00627B44">
        <w:rPr>
          <w:rFonts w:ascii="Calibri" w:hAnsi="Calibri" w:cs="Calibri"/>
          <w:noProof/>
          <w:sz w:val="20"/>
          <w:szCs w:val="24"/>
        </w:rPr>
        <w:t xml:space="preserve">J.B. Joshi, N. K. Nere, C.V.  Rane, B. N. Murthy, C. S. Mathpati, A. W. Patwardhan, V. V. Ranade, </w:t>
      </w:r>
      <w:r w:rsidR="002D3E25" w:rsidRPr="00627B44">
        <w:rPr>
          <w:rFonts w:ascii="Calibri" w:hAnsi="Calibri" w:cs="Calibri"/>
          <w:i/>
          <w:iCs/>
          <w:noProof/>
          <w:sz w:val="20"/>
          <w:szCs w:val="24"/>
        </w:rPr>
        <w:t>The Canadian Journal of Chemical Engineering</w:t>
      </w:r>
      <w:r w:rsidR="002D3E25" w:rsidRPr="00627B44">
        <w:rPr>
          <w:rFonts w:ascii="Calibri" w:hAnsi="Calibri" w:cs="Calibri"/>
          <w:noProof/>
          <w:sz w:val="20"/>
          <w:szCs w:val="24"/>
        </w:rPr>
        <w:t xml:space="preserve"> </w:t>
      </w:r>
      <w:r w:rsidR="002D3E25" w:rsidRPr="00627B44">
        <w:rPr>
          <w:rFonts w:ascii="Calibri" w:hAnsi="Calibri" w:cs="Calibri"/>
          <w:i/>
          <w:iCs/>
          <w:noProof/>
          <w:sz w:val="20"/>
          <w:szCs w:val="24"/>
        </w:rPr>
        <w:t>89</w:t>
      </w:r>
      <w:r w:rsidR="002D3E25" w:rsidRPr="00627B44">
        <w:rPr>
          <w:rFonts w:ascii="Calibri" w:hAnsi="Calibri" w:cs="Calibri"/>
          <w:noProof/>
          <w:sz w:val="20"/>
          <w:szCs w:val="24"/>
        </w:rPr>
        <w:t xml:space="preserve">(1) (2011) 23–82. </w:t>
      </w:r>
    </w:p>
    <w:p w:rsidR="002D3E25" w:rsidRPr="00627B44" w:rsidRDefault="0001623F" w:rsidP="002D3E25">
      <w:pPr>
        <w:widowControl w:val="0"/>
        <w:autoSpaceDE w:val="0"/>
        <w:autoSpaceDN w:val="0"/>
        <w:adjustRightInd w:val="0"/>
        <w:spacing w:line="240" w:lineRule="auto"/>
        <w:ind w:left="480" w:hanging="480"/>
        <w:rPr>
          <w:rFonts w:ascii="Calibri" w:hAnsi="Calibri" w:cs="Calibri"/>
          <w:noProof/>
          <w:sz w:val="20"/>
          <w:szCs w:val="24"/>
        </w:rPr>
      </w:pPr>
      <w:r>
        <w:rPr>
          <w:rFonts w:ascii="Calibri" w:hAnsi="Calibri" w:cs="Calibri"/>
          <w:noProof/>
          <w:sz w:val="20"/>
          <w:szCs w:val="24"/>
        </w:rPr>
        <w:t xml:space="preserve">[3] </w:t>
      </w:r>
      <w:r w:rsidR="002D3E25" w:rsidRPr="00627B44">
        <w:rPr>
          <w:rFonts w:ascii="Calibri" w:hAnsi="Calibri" w:cs="Calibri"/>
          <w:noProof/>
          <w:sz w:val="20"/>
          <w:szCs w:val="24"/>
        </w:rPr>
        <w:t xml:space="preserve">J. Morchain, J. Gabelle, A. Cockx, </w:t>
      </w:r>
      <w:r w:rsidR="002D3E25" w:rsidRPr="00627B44">
        <w:rPr>
          <w:rFonts w:ascii="Calibri" w:hAnsi="Calibri" w:cs="Calibri"/>
          <w:i/>
          <w:iCs/>
          <w:noProof/>
          <w:sz w:val="20"/>
          <w:szCs w:val="24"/>
        </w:rPr>
        <w:t>AIChE Journal</w:t>
      </w:r>
      <w:r w:rsidR="002D3E25" w:rsidRPr="00627B44">
        <w:rPr>
          <w:rFonts w:ascii="Calibri" w:hAnsi="Calibri" w:cs="Calibri"/>
          <w:noProof/>
          <w:sz w:val="20"/>
          <w:szCs w:val="24"/>
        </w:rPr>
        <w:t xml:space="preserve">, </w:t>
      </w:r>
      <w:r w:rsidR="002D3E25" w:rsidRPr="00627B44">
        <w:rPr>
          <w:rFonts w:ascii="Calibri" w:hAnsi="Calibri" w:cs="Calibri"/>
          <w:i/>
          <w:iCs/>
          <w:noProof/>
          <w:sz w:val="20"/>
          <w:szCs w:val="24"/>
        </w:rPr>
        <w:t>60</w:t>
      </w:r>
      <w:r w:rsidR="002D3E25" w:rsidRPr="00627B44">
        <w:rPr>
          <w:rFonts w:ascii="Calibri" w:hAnsi="Calibri" w:cs="Calibri"/>
          <w:noProof/>
          <w:sz w:val="20"/>
          <w:szCs w:val="24"/>
        </w:rPr>
        <w:t xml:space="preserve">(1) (2014) 27–40. </w:t>
      </w:r>
    </w:p>
    <w:p w:rsidR="000C2A05" w:rsidRPr="00477AB7" w:rsidRDefault="0001623F" w:rsidP="00EF04A9">
      <w:pPr>
        <w:widowControl w:val="0"/>
        <w:autoSpaceDE w:val="0"/>
        <w:autoSpaceDN w:val="0"/>
        <w:adjustRightInd w:val="0"/>
        <w:spacing w:line="240" w:lineRule="auto"/>
        <w:ind w:left="480" w:hanging="480"/>
        <w:rPr>
          <w:rFonts w:asciiTheme="minorHAnsi" w:eastAsia="SimSun" w:hAnsiTheme="minorHAnsi"/>
          <w:sz w:val="22"/>
          <w:szCs w:val="22"/>
          <w:lang w:eastAsia="zh-CN"/>
        </w:rPr>
      </w:pPr>
      <w:r>
        <w:rPr>
          <w:rFonts w:ascii="Calibri" w:hAnsi="Calibri" w:cs="Calibri"/>
          <w:noProof/>
          <w:sz w:val="20"/>
          <w:szCs w:val="24"/>
        </w:rPr>
        <w:t xml:space="preserve">[4] </w:t>
      </w:r>
      <w:bookmarkStart w:id="0" w:name="_GoBack"/>
      <w:bookmarkEnd w:id="0"/>
      <w:r w:rsidR="002D3E25" w:rsidRPr="00627B44">
        <w:rPr>
          <w:rFonts w:ascii="Calibri" w:hAnsi="Calibri" w:cs="Calibri"/>
          <w:noProof/>
          <w:sz w:val="20"/>
          <w:szCs w:val="24"/>
        </w:rPr>
        <w:t xml:space="preserve">G. Rodriguez, W. Weheliye, T. Anderlei, M. Micheletti, M. Yianneskis, A. Ducci, </w:t>
      </w:r>
      <w:r w:rsidR="002D3E25" w:rsidRPr="00627B44">
        <w:rPr>
          <w:rFonts w:ascii="Calibri" w:hAnsi="Calibri" w:cs="Calibri"/>
          <w:i/>
          <w:iCs/>
          <w:noProof/>
          <w:sz w:val="20"/>
          <w:szCs w:val="24"/>
        </w:rPr>
        <w:t>Chemical Engineering Research and Design</w:t>
      </w:r>
      <w:r w:rsidR="002D3E25" w:rsidRPr="00627B44">
        <w:rPr>
          <w:rFonts w:ascii="Calibri" w:hAnsi="Calibri" w:cs="Calibri"/>
          <w:noProof/>
          <w:sz w:val="20"/>
          <w:szCs w:val="24"/>
        </w:rPr>
        <w:t xml:space="preserve"> 91(11) (2013) 2084–2097.</w:t>
      </w:r>
      <w:r w:rsidR="002D3E25" w:rsidRPr="00627B44">
        <w:rPr>
          <w:rFonts w:asciiTheme="minorHAnsi" w:eastAsia="SimSun" w:hAnsiTheme="minorHAnsi"/>
          <w:bCs/>
          <w:color w:val="000000"/>
          <w:lang w:eastAsia="zh-CN"/>
        </w:rPr>
        <w:fldChar w:fldCharType="end"/>
      </w:r>
    </w:p>
    <w:sectPr w:rsidR="000C2A05" w:rsidRPr="00477AB7"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134" w:rsidRDefault="00941134" w:rsidP="004F5E36">
      <w:r>
        <w:separator/>
      </w:r>
    </w:p>
  </w:endnote>
  <w:endnote w:type="continuationSeparator" w:id="0">
    <w:p w:rsidR="00941134" w:rsidRDefault="0094113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134" w:rsidRDefault="00941134" w:rsidP="004F5E36">
      <w:r>
        <w:separator/>
      </w:r>
    </w:p>
  </w:footnote>
  <w:footnote w:type="continuationSeparator" w:id="0">
    <w:p w:rsidR="00941134" w:rsidRDefault="00941134"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03DA0"/>
    <w:rsid w:val="000117CB"/>
    <w:rsid w:val="0001623F"/>
    <w:rsid w:val="0003148D"/>
    <w:rsid w:val="00047439"/>
    <w:rsid w:val="000560BF"/>
    <w:rsid w:val="00062A9A"/>
    <w:rsid w:val="000A03B2"/>
    <w:rsid w:val="000C2A05"/>
    <w:rsid w:val="000D34BE"/>
    <w:rsid w:val="000E36F1"/>
    <w:rsid w:val="000E3A73"/>
    <w:rsid w:val="000E414A"/>
    <w:rsid w:val="00101084"/>
    <w:rsid w:val="0010422B"/>
    <w:rsid w:val="0013121F"/>
    <w:rsid w:val="00134DE4"/>
    <w:rsid w:val="00144CF9"/>
    <w:rsid w:val="00150E59"/>
    <w:rsid w:val="00184AD6"/>
    <w:rsid w:val="00192E16"/>
    <w:rsid w:val="001B65C1"/>
    <w:rsid w:val="001C684B"/>
    <w:rsid w:val="001D10B9"/>
    <w:rsid w:val="001D53FC"/>
    <w:rsid w:val="001E5A8F"/>
    <w:rsid w:val="001F2163"/>
    <w:rsid w:val="001F2EC7"/>
    <w:rsid w:val="00203EF6"/>
    <w:rsid w:val="002065DB"/>
    <w:rsid w:val="00241E6F"/>
    <w:rsid w:val="00242311"/>
    <w:rsid w:val="002447EF"/>
    <w:rsid w:val="00250EEB"/>
    <w:rsid w:val="00251550"/>
    <w:rsid w:val="0027221A"/>
    <w:rsid w:val="00275B61"/>
    <w:rsid w:val="002A5D37"/>
    <w:rsid w:val="002B6F98"/>
    <w:rsid w:val="002D1F12"/>
    <w:rsid w:val="002D3E25"/>
    <w:rsid w:val="002F7913"/>
    <w:rsid w:val="003009B7"/>
    <w:rsid w:val="0030469C"/>
    <w:rsid w:val="00335320"/>
    <w:rsid w:val="00350BF9"/>
    <w:rsid w:val="003723D4"/>
    <w:rsid w:val="003A1960"/>
    <w:rsid w:val="003A5878"/>
    <w:rsid w:val="003A7D1C"/>
    <w:rsid w:val="003F7117"/>
    <w:rsid w:val="00406EBA"/>
    <w:rsid w:val="004265AA"/>
    <w:rsid w:val="00431DA2"/>
    <w:rsid w:val="004340DD"/>
    <w:rsid w:val="0046164A"/>
    <w:rsid w:val="00462DCD"/>
    <w:rsid w:val="00477AB7"/>
    <w:rsid w:val="00480B5C"/>
    <w:rsid w:val="0049388C"/>
    <w:rsid w:val="0049607F"/>
    <w:rsid w:val="004B3985"/>
    <w:rsid w:val="004C12D5"/>
    <w:rsid w:val="004D1162"/>
    <w:rsid w:val="004D5839"/>
    <w:rsid w:val="004D77AF"/>
    <w:rsid w:val="004E4DD6"/>
    <w:rsid w:val="004F5E36"/>
    <w:rsid w:val="005119A5"/>
    <w:rsid w:val="00524AC8"/>
    <w:rsid w:val="005278B7"/>
    <w:rsid w:val="005346C8"/>
    <w:rsid w:val="005411D6"/>
    <w:rsid w:val="00581095"/>
    <w:rsid w:val="00585C36"/>
    <w:rsid w:val="005927AF"/>
    <w:rsid w:val="00594E9F"/>
    <w:rsid w:val="005A4E8F"/>
    <w:rsid w:val="005B61E6"/>
    <w:rsid w:val="005C77E1"/>
    <w:rsid w:val="005D6A2F"/>
    <w:rsid w:val="005D6FDF"/>
    <w:rsid w:val="005E1A82"/>
    <w:rsid w:val="005F0A28"/>
    <w:rsid w:val="005F0E5E"/>
    <w:rsid w:val="005F18CB"/>
    <w:rsid w:val="00620DEE"/>
    <w:rsid w:val="00625639"/>
    <w:rsid w:val="00625C62"/>
    <w:rsid w:val="00627B44"/>
    <w:rsid w:val="0064184D"/>
    <w:rsid w:val="006459E8"/>
    <w:rsid w:val="006541D9"/>
    <w:rsid w:val="00660E3E"/>
    <w:rsid w:val="00662190"/>
    <w:rsid w:val="00662E74"/>
    <w:rsid w:val="0067704B"/>
    <w:rsid w:val="006A3A3F"/>
    <w:rsid w:val="006A58D2"/>
    <w:rsid w:val="006B16D6"/>
    <w:rsid w:val="006B4227"/>
    <w:rsid w:val="006C5579"/>
    <w:rsid w:val="00704BDF"/>
    <w:rsid w:val="0071556F"/>
    <w:rsid w:val="00731470"/>
    <w:rsid w:val="00736B13"/>
    <w:rsid w:val="007447F3"/>
    <w:rsid w:val="00751AD0"/>
    <w:rsid w:val="007661C8"/>
    <w:rsid w:val="0077795B"/>
    <w:rsid w:val="007B6C06"/>
    <w:rsid w:val="007C30B2"/>
    <w:rsid w:val="007D4FFE"/>
    <w:rsid w:val="007D52CD"/>
    <w:rsid w:val="008123DE"/>
    <w:rsid w:val="00813288"/>
    <w:rsid w:val="008168FC"/>
    <w:rsid w:val="008479A2"/>
    <w:rsid w:val="0087637F"/>
    <w:rsid w:val="008A1512"/>
    <w:rsid w:val="008B3462"/>
    <w:rsid w:val="008B3A23"/>
    <w:rsid w:val="008C4394"/>
    <w:rsid w:val="008D0BEB"/>
    <w:rsid w:val="008D26F9"/>
    <w:rsid w:val="008E4B47"/>
    <w:rsid w:val="008E566E"/>
    <w:rsid w:val="00901EB6"/>
    <w:rsid w:val="009102A7"/>
    <w:rsid w:val="00923555"/>
    <w:rsid w:val="00933331"/>
    <w:rsid w:val="00936074"/>
    <w:rsid w:val="00941134"/>
    <w:rsid w:val="009440A5"/>
    <w:rsid w:val="009450CE"/>
    <w:rsid w:val="0095164B"/>
    <w:rsid w:val="00984E53"/>
    <w:rsid w:val="00986CB7"/>
    <w:rsid w:val="00996483"/>
    <w:rsid w:val="009B349C"/>
    <w:rsid w:val="009B7F1D"/>
    <w:rsid w:val="009C144B"/>
    <w:rsid w:val="009E01CC"/>
    <w:rsid w:val="009E3EAA"/>
    <w:rsid w:val="009E5371"/>
    <w:rsid w:val="009E788A"/>
    <w:rsid w:val="009F669F"/>
    <w:rsid w:val="00A11E5C"/>
    <w:rsid w:val="00A15531"/>
    <w:rsid w:val="00A1763D"/>
    <w:rsid w:val="00A17CEC"/>
    <w:rsid w:val="00A27EF0"/>
    <w:rsid w:val="00A47929"/>
    <w:rsid w:val="00A5486D"/>
    <w:rsid w:val="00A62BF2"/>
    <w:rsid w:val="00A65E84"/>
    <w:rsid w:val="00A76EFC"/>
    <w:rsid w:val="00A86BF7"/>
    <w:rsid w:val="00A9626B"/>
    <w:rsid w:val="00A97F29"/>
    <w:rsid w:val="00AA6D3C"/>
    <w:rsid w:val="00AB0964"/>
    <w:rsid w:val="00AE377D"/>
    <w:rsid w:val="00B16DDF"/>
    <w:rsid w:val="00B61DBF"/>
    <w:rsid w:val="00BC1665"/>
    <w:rsid w:val="00BC30C9"/>
    <w:rsid w:val="00BE3E58"/>
    <w:rsid w:val="00BF4CEB"/>
    <w:rsid w:val="00C01616"/>
    <w:rsid w:val="00C0162B"/>
    <w:rsid w:val="00C22981"/>
    <w:rsid w:val="00C345B1"/>
    <w:rsid w:val="00C366D7"/>
    <w:rsid w:val="00C40142"/>
    <w:rsid w:val="00C57182"/>
    <w:rsid w:val="00C57A7E"/>
    <w:rsid w:val="00C655FD"/>
    <w:rsid w:val="00C867B1"/>
    <w:rsid w:val="00C94434"/>
    <w:rsid w:val="00CA1C95"/>
    <w:rsid w:val="00CA5A9C"/>
    <w:rsid w:val="00CC0015"/>
    <w:rsid w:val="00CD5FE2"/>
    <w:rsid w:val="00CF692B"/>
    <w:rsid w:val="00CF6D71"/>
    <w:rsid w:val="00D01338"/>
    <w:rsid w:val="00D02B4C"/>
    <w:rsid w:val="00D23ECA"/>
    <w:rsid w:val="00D27549"/>
    <w:rsid w:val="00D84576"/>
    <w:rsid w:val="00D864DA"/>
    <w:rsid w:val="00DE0019"/>
    <w:rsid w:val="00DE264A"/>
    <w:rsid w:val="00DF74A8"/>
    <w:rsid w:val="00E041E7"/>
    <w:rsid w:val="00E05E4F"/>
    <w:rsid w:val="00E2378A"/>
    <w:rsid w:val="00E23CA1"/>
    <w:rsid w:val="00E27B93"/>
    <w:rsid w:val="00E409A8"/>
    <w:rsid w:val="00E62D5D"/>
    <w:rsid w:val="00E7209D"/>
    <w:rsid w:val="00E82C2B"/>
    <w:rsid w:val="00EA0530"/>
    <w:rsid w:val="00EA50E1"/>
    <w:rsid w:val="00EE0131"/>
    <w:rsid w:val="00EE04AE"/>
    <w:rsid w:val="00EF04A9"/>
    <w:rsid w:val="00F0714B"/>
    <w:rsid w:val="00F2067A"/>
    <w:rsid w:val="00F30C64"/>
    <w:rsid w:val="00F352CA"/>
    <w:rsid w:val="00F55A08"/>
    <w:rsid w:val="00FB6C8C"/>
    <w:rsid w:val="00FB730C"/>
    <w:rsid w:val="00FC2695"/>
    <w:rsid w:val="00FC3E03"/>
    <w:rsid w:val="00FD7DA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D7335"/>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812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7E19F-EFBE-4475-B6F5-D1CF5E53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2404</Words>
  <Characters>13709</Characters>
  <Application>Microsoft Office Word</Application>
  <DocSecurity>0</DocSecurity>
  <Lines>114</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Charalambidou, Artemis</cp:lastModifiedBy>
  <cp:revision>6</cp:revision>
  <cp:lastPrinted>2015-05-12T18:31:00Z</cp:lastPrinted>
  <dcterms:created xsi:type="dcterms:W3CDTF">2019-02-27T20:05:00Z</dcterms:created>
  <dcterms:modified xsi:type="dcterms:W3CDTF">2019-02-27T20:21:00Z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http://www.zotero.org/styles/harvard-imperial-college-london</vt:lpwstr>
  </property>
  <property fmtid="{D5CDD505-2E9C-101B-9397-08002B2CF9AE}" pid="17" name="Mendeley Recent Style Name 7_1">
    <vt:lpwstr>Imperial College London - Harvard</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da19c925-148c-348f-be3a-dc55304eb6f1</vt:lpwstr>
  </property>
  <property fmtid="{D5CDD505-2E9C-101B-9397-08002B2CF9AE}" pid="24" name="Mendeley Citation Style_1">
    <vt:lpwstr>http://www.zotero.org/styles/apa</vt:lpwstr>
  </property>
</Properties>
</file>